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FD" w:rsidRDefault="00AD31A6" w:rsidP="00FC5678">
      <w:pPr>
        <w:pBdr>
          <w:bottom w:val="single" w:sz="4" w:space="1" w:color="auto"/>
        </w:pBdr>
        <w:spacing w:line="240" w:lineRule="auto"/>
        <w:jc w:val="center"/>
        <w:rPr>
          <w:rFonts w:ascii="Times New Roman" w:hAnsi="Times New Roman"/>
          <w:b/>
          <w:smallCaps/>
          <w:sz w:val="36"/>
          <w14:shadow w14:blurRad="50800" w14:dist="38100" w14:dir="2700000" w14:sx="100000" w14:sy="100000" w14:kx="0" w14:ky="0" w14:algn="tl">
            <w14:srgbClr w14:val="000000">
              <w14:alpha w14:val="60000"/>
            </w14:srgbClr>
          </w14:shadow>
        </w:rPr>
      </w:pPr>
      <w:r>
        <w:rPr>
          <w:rFonts w:ascii="Times New Roman" w:hAnsi="Times New Roman"/>
          <w:b/>
          <w:smallCaps/>
          <w:sz w:val="36"/>
          <w14:shadow w14:blurRad="50800" w14:dist="38100" w14:dir="2700000" w14:sx="100000" w14:sy="100000" w14:kx="0" w14:ky="0" w14:algn="tl">
            <w14:srgbClr w14:val="000000">
              <w14:alpha w14:val="60000"/>
            </w14:srgbClr>
          </w14:shadow>
        </w:rPr>
        <w:t xml:space="preserve">Le </w:t>
      </w:r>
      <w:r w:rsidR="00FC5678" w:rsidRPr="00FC5678">
        <w:rPr>
          <w:rFonts w:ascii="Times New Roman" w:hAnsi="Times New Roman"/>
          <w:b/>
          <w:smallCaps/>
          <w:sz w:val="36"/>
          <w14:shadow w14:blurRad="50800" w14:dist="38100" w14:dir="2700000" w14:sx="100000" w14:sy="100000" w14:kx="0" w14:ky="0" w14:algn="tl">
            <w14:srgbClr w14:val="000000">
              <w14:alpha w14:val="60000"/>
            </w14:srgbClr>
          </w14:shadow>
        </w:rPr>
        <w:t xml:space="preserve">« </w:t>
      </w:r>
      <w:r w:rsidR="007C17D3" w:rsidRPr="007C17D3">
        <w:rPr>
          <w:rFonts w:ascii="Times New Roman" w:hAnsi="Times New Roman"/>
          <w:b/>
          <w:i/>
          <w:smallCaps/>
          <w:sz w:val="36"/>
          <w14:shadow w14:blurRad="50800" w14:dist="38100" w14:dir="2700000" w14:sx="100000" w14:sy="100000" w14:kx="0" w14:ky="0" w14:algn="tl">
            <w14:srgbClr w14:val="000000">
              <w14:alpha w14:val="60000"/>
            </w14:srgbClr>
          </w14:shadow>
        </w:rPr>
        <w:t>In the money</w:t>
      </w:r>
      <w:r w:rsidR="00FC5678" w:rsidRPr="00FC5678">
        <w:rPr>
          <w:rFonts w:ascii="Times New Roman" w:hAnsi="Times New Roman"/>
          <w:b/>
          <w:smallCaps/>
          <w:sz w:val="36"/>
          <w14:shadow w14:blurRad="50800" w14:dist="38100" w14:dir="2700000" w14:sx="100000" w14:sy="100000" w14:kx="0" w14:ky="0" w14:algn="tl">
            <w14:srgbClr w14:val="000000">
              <w14:alpha w14:val="60000"/>
            </w14:srgbClr>
          </w14:shadow>
        </w:rPr>
        <w:t xml:space="preserve"> » en d</w:t>
      </w:r>
      <w:r w:rsidR="00870BFD">
        <w:rPr>
          <w:rFonts w:ascii="Times New Roman" w:hAnsi="Times New Roman"/>
          <w:b/>
          <w:smallCaps/>
          <w:sz w:val="36"/>
          <w14:shadow w14:blurRad="50800" w14:dist="38100" w14:dir="2700000" w14:sx="100000" w14:sy="100000" w14:kx="0" w14:ky="0" w14:algn="tl">
            <w14:srgbClr w14:val="000000">
              <w14:alpha w14:val="60000"/>
            </w14:srgbClr>
          </w14:shadow>
        </w:rPr>
        <w:t xml:space="preserve">roit Belge de l’insolvabilité </w:t>
      </w:r>
    </w:p>
    <w:p w:rsidR="00AD31A6" w:rsidRDefault="00AD31A6" w:rsidP="00FC5678">
      <w:pPr>
        <w:pBdr>
          <w:bottom w:val="single" w:sz="4" w:space="1" w:color="auto"/>
        </w:pBdr>
        <w:spacing w:line="240" w:lineRule="auto"/>
        <w:jc w:val="center"/>
        <w:rPr>
          <w:rFonts w:ascii="Times New Roman" w:hAnsi="Times New Roman"/>
          <w:b/>
          <w:smallCaps/>
          <w:sz w:val="36"/>
          <w14:shadow w14:blurRad="50800" w14:dist="38100" w14:dir="2700000" w14:sx="100000" w14:sy="100000" w14:kx="0" w14:ky="0" w14:algn="tl">
            <w14:srgbClr w14:val="000000">
              <w14:alpha w14:val="60000"/>
            </w14:srgbClr>
          </w14:shadow>
        </w:rPr>
      </w:pPr>
    </w:p>
    <w:p w:rsidR="008064D7" w:rsidRPr="00955DEF" w:rsidRDefault="00AD31A6" w:rsidP="00E07A10">
      <w:pPr>
        <w:pBdr>
          <w:bottom w:val="single" w:sz="4" w:space="1" w:color="auto"/>
        </w:pBdr>
        <w:spacing w:line="240" w:lineRule="auto"/>
        <w:jc w:val="center"/>
        <w:rPr>
          <w:rFonts w:ascii="Times New Roman" w:hAnsi="Times New Roman"/>
          <w:b/>
          <w:smallCaps/>
          <w:sz w:val="24"/>
          <w:szCs w:val="24"/>
          <w14:shadow w14:blurRad="50800" w14:dist="38100" w14:dir="2700000" w14:sx="100000" w14:sy="100000" w14:kx="0" w14:ky="0" w14:algn="tl">
            <w14:srgbClr w14:val="000000">
              <w14:alpha w14:val="60000"/>
            </w14:srgbClr>
          </w14:shadow>
        </w:rPr>
      </w:pPr>
      <w:r>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Comment </w:t>
      </w:r>
      <w:r w:rsidR="00CC5766">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penser l’insolvabilité en référence </w:t>
      </w:r>
      <w:r w:rsidR="00BB3950">
        <w:rPr>
          <w:rFonts w:ascii="Times New Roman" w:hAnsi="Times New Roman"/>
          <w:b/>
          <w:smallCaps/>
          <w:sz w:val="24"/>
          <w:szCs w:val="24"/>
          <w14:shadow w14:blurRad="50800" w14:dist="38100" w14:dir="2700000" w14:sx="100000" w14:sy="100000" w14:kx="0" w14:ky="0" w14:algn="tl">
            <w14:srgbClr w14:val="000000">
              <w14:alpha w14:val="60000"/>
            </w14:srgbClr>
          </w14:shadow>
        </w:rPr>
        <w:t>à</w:t>
      </w:r>
      <w:r>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 la valeur de l’ent</w:t>
      </w:r>
      <w:r w:rsidR="00CC5766">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reprise </w:t>
      </w:r>
      <w:r w:rsidR="00FC5678" w:rsidRPr="00955DEF">
        <w:rPr>
          <w:rFonts w:ascii="Times New Roman" w:hAnsi="Times New Roman"/>
          <w:b/>
          <w:smallCaps/>
          <w:sz w:val="24"/>
          <w:szCs w:val="24"/>
          <w14:shadow w14:blurRad="50800" w14:dist="38100" w14:dir="2700000" w14:sx="100000" w14:sy="100000" w14:kx="0" w14:ky="0" w14:algn="tl">
            <w14:srgbClr w14:val="000000">
              <w14:alpha w14:val="60000"/>
            </w14:srgbClr>
          </w14:shadow>
        </w:rPr>
        <w:t xml:space="preserve">? </w:t>
      </w:r>
      <w:r w:rsidR="008064D7">
        <w:rPr>
          <w:rStyle w:val="Appelnotedebasdep"/>
          <w:rFonts w:ascii="Times New Roman" w:hAnsi="Times New Roman"/>
          <w:smallCaps/>
          <w:szCs w:val="22"/>
          <w14:shadow w14:blurRad="50800" w14:dist="38100" w14:dir="2700000" w14:sx="100000" w14:sy="100000" w14:kx="0" w14:ky="0" w14:algn="tl">
            <w14:srgbClr w14:val="000000">
              <w14:alpha w14:val="60000"/>
            </w14:srgbClr>
          </w14:shadow>
        </w:rPr>
        <w:footnoteReference w:id="1"/>
      </w:r>
    </w:p>
    <w:p w:rsidR="008064D7" w:rsidRDefault="008064D7" w:rsidP="00FC5678">
      <w:pPr>
        <w:pBdr>
          <w:bottom w:val="single" w:sz="4" w:space="1" w:color="auto"/>
        </w:pBdr>
        <w:spacing w:line="240" w:lineRule="auto"/>
        <w:jc w:val="center"/>
        <w:rPr>
          <w:rFonts w:ascii="Times New Roman" w:hAnsi="Times New Roman"/>
          <w:b/>
          <w:smallCaps/>
          <w:sz w:val="36"/>
          <w14:shadow w14:blurRad="50800" w14:dist="38100" w14:dir="2700000" w14:sx="100000" w14:sy="100000" w14:kx="0" w14:ky="0" w14:algn="tl">
            <w14:srgbClr w14:val="000000">
              <w14:alpha w14:val="60000"/>
            </w14:srgbClr>
          </w14:shadow>
        </w:rPr>
      </w:pPr>
    </w:p>
    <w:p w:rsidR="008064D7" w:rsidRPr="00B90C47" w:rsidRDefault="008064D7" w:rsidP="00FC5678">
      <w:pPr>
        <w:pBdr>
          <w:bottom w:val="single" w:sz="4" w:space="1" w:color="auto"/>
        </w:pBdr>
        <w:spacing w:line="240" w:lineRule="auto"/>
        <w:jc w:val="center"/>
        <w:rPr>
          <w:rFonts w:ascii="Times New Roman" w:hAnsi="Times New Roman"/>
          <w:smallCaps/>
          <w:szCs w:val="22"/>
          <w14:shadow w14:blurRad="50800" w14:dist="38100" w14:dir="2700000" w14:sx="100000" w14:sy="100000" w14:kx="0" w14:ky="0" w14:algn="tl">
            <w14:srgbClr w14:val="000000">
              <w14:alpha w14:val="60000"/>
            </w14:srgbClr>
          </w14:shadow>
        </w:rPr>
      </w:pPr>
      <w:r>
        <w:rPr>
          <w:rFonts w:ascii="Times New Roman" w:hAnsi="Times New Roman"/>
          <w:smallCaps/>
          <w:szCs w:val="22"/>
          <w14:shadow w14:blurRad="50800" w14:dist="38100" w14:dir="2700000" w14:sx="100000" w14:sy="100000" w14:kx="0" w14:ky="0" w14:algn="tl">
            <w14:srgbClr w14:val="000000">
              <w14:alpha w14:val="60000"/>
            </w14:srgbClr>
          </w14:shadow>
        </w:rPr>
        <w:t xml:space="preserve">Par Yves Brulard </w:t>
      </w:r>
      <w:r>
        <w:rPr>
          <w:rStyle w:val="Appelnotedebasdep"/>
          <w:rFonts w:ascii="Times New Roman" w:hAnsi="Times New Roman"/>
          <w:smallCaps/>
          <w:szCs w:val="22"/>
          <w14:shadow w14:blurRad="50800" w14:dist="38100" w14:dir="2700000" w14:sx="100000" w14:sy="100000" w14:kx="0" w14:ky="0" w14:algn="tl">
            <w14:srgbClr w14:val="000000">
              <w14:alpha w14:val="60000"/>
            </w14:srgbClr>
          </w14:shadow>
        </w:rPr>
        <w:footnoteReference w:id="2"/>
      </w:r>
      <w:r>
        <w:rPr>
          <w:rFonts w:ascii="Times New Roman" w:hAnsi="Times New Roman"/>
          <w:smallCaps/>
          <w:szCs w:val="22"/>
          <w14:shadow w14:blurRad="50800" w14:dist="38100" w14:dir="2700000" w14:sx="100000" w14:sy="100000" w14:kx="0" w14:ky="0" w14:algn="tl">
            <w14:srgbClr w14:val="000000">
              <w14:alpha w14:val="60000"/>
            </w14:srgbClr>
          </w14:shadow>
        </w:rPr>
        <w:t xml:space="preserve"> </w:t>
      </w:r>
    </w:p>
    <w:sdt>
      <w:sdtPr>
        <w:rPr>
          <w:rFonts w:ascii="Arial" w:eastAsia="Times New Roman" w:hAnsi="Arial" w:cs="Times New Roman"/>
          <w:color w:val="auto"/>
          <w:sz w:val="22"/>
          <w:szCs w:val="20"/>
          <w:lang w:val="fr-FR" w:eastAsia="fr-FR"/>
        </w:rPr>
        <w:id w:val="754555269"/>
        <w:docPartObj>
          <w:docPartGallery w:val="Table of Contents"/>
          <w:docPartUnique/>
        </w:docPartObj>
      </w:sdtPr>
      <w:sdtEndPr>
        <w:rPr>
          <w:b/>
          <w:bCs/>
        </w:rPr>
      </w:sdtEndPr>
      <w:sdtContent>
        <w:p w:rsidR="008064D7" w:rsidRDefault="008064D7" w:rsidP="00E07A10">
          <w:pPr>
            <w:pStyle w:val="En-ttedetabledesmatires"/>
            <w:jc w:val="center"/>
            <w:rPr>
              <w:lang w:val="fr-FR"/>
            </w:rPr>
          </w:pPr>
          <w:r>
            <w:rPr>
              <w:lang w:val="fr-FR"/>
            </w:rPr>
            <w:t>Table des matières</w:t>
          </w:r>
        </w:p>
        <w:p w:rsidR="002D56AE" w:rsidRDefault="008064D7">
          <w:pPr>
            <w:pStyle w:val="TM1"/>
            <w:tabs>
              <w:tab w:val="right" w:leader="dot" w:pos="9060"/>
            </w:tabs>
            <w:rPr>
              <w:rFonts w:eastAsiaTheme="minorEastAsia" w:cstheme="minorBidi"/>
              <w:b w:val="0"/>
              <w:bCs w:val="0"/>
              <w:caps w:val="0"/>
              <w:noProof/>
              <w:sz w:val="22"/>
              <w:szCs w:val="22"/>
              <w:lang w:eastAsia="fr-BE"/>
            </w:rPr>
          </w:pPr>
          <w:r>
            <w:fldChar w:fldCharType="begin"/>
          </w:r>
          <w:r>
            <w:instrText xml:space="preserve"> TOC \o "1-3" \h \z \u </w:instrText>
          </w:r>
          <w:r>
            <w:fldChar w:fldCharType="separate"/>
          </w:r>
          <w:hyperlink w:anchor="_Toc55407447"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Objet de la contribution</w:t>
            </w:r>
            <w:r w:rsidR="002D56AE">
              <w:rPr>
                <w:noProof/>
                <w:webHidden/>
              </w:rPr>
              <w:tab/>
            </w:r>
            <w:r w:rsidR="002D56AE">
              <w:rPr>
                <w:noProof/>
                <w:webHidden/>
              </w:rPr>
              <w:fldChar w:fldCharType="begin"/>
            </w:r>
            <w:r w:rsidR="002D56AE">
              <w:rPr>
                <w:noProof/>
                <w:webHidden/>
              </w:rPr>
              <w:instrText xml:space="preserve"> PAGEREF _Toc55407447 \h </w:instrText>
            </w:r>
            <w:r w:rsidR="002D56AE">
              <w:rPr>
                <w:noProof/>
                <w:webHidden/>
              </w:rPr>
            </w:r>
            <w:r w:rsidR="002D56AE">
              <w:rPr>
                <w:noProof/>
                <w:webHidden/>
              </w:rPr>
              <w:fldChar w:fldCharType="separate"/>
            </w:r>
            <w:r w:rsidR="002D56AE">
              <w:rPr>
                <w:noProof/>
                <w:webHidden/>
              </w:rPr>
              <w:t>3</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48" w:history="1">
            <w:r w:rsidR="002D56AE" w:rsidRPr="00431897">
              <w:rPr>
                <w:rStyle w:val="Lienhypertexte"/>
                <w:rFonts w:ascii="Times New Roman" w:hAnsi="Times New Roman" w:cs="Times New Roman"/>
                <w:noProof/>
                <w:lang w:val="en-US"/>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lang w:val="en-US"/>
              </w:rPr>
              <w:t>Le concept « </w:t>
            </w:r>
            <w:r w:rsidR="002D56AE" w:rsidRPr="00431897">
              <w:rPr>
                <w:rStyle w:val="Lienhypertexte"/>
                <w:rFonts w:ascii="Times New Roman" w:hAnsi="Times New Roman" w:cs="Times New Roman"/>
                <w:i/>
                <w:noProof/>
                <w:lang w:val="en-US"/>
              </w:rPr>
              <w:t>In the money</w:t>
            </w:r>
            <w:r w:rsidR="002D56AE" w:rsidRPr="00431897">
              <w:rPr>
                <w:rStyle w:val="Lienhypertexte"/>
                <w:rFonts w:ascii="Times New Roman" w:hAnsi="Times New Roman" w:cs="Times New Roman"/>
                <w:noProof/>
                <w:lang w:val="en-US"/>
              </w:rPr>
              <w:t> »</w:t>
            </w:r>
            <w:r w:rsidR="002D56AE">
              <w:rPr>
                <w:noProof/>
                <w:webHidden/>
              </w:rPr>
              <w:tab/>
            </w:r>
            <w:r w:rsidR="002D56AE">
              <w:rPr>
                <w:noProof/>
                <w:webHidden/>
              </w:rPr>
              <w:fldChar w:fldCharType="begin"/>
            </w:r>
            <w:r w:rsidR="002D56AE">
              <w:rPr>
                <w:noProof/>
                <w:webHidden/>
              </w:rPr>
              <w:instrText xml:space="preserve"> PAGEREF _Toc55407448 \h </w:instrText>
            </w:r>
            <w:r w:rsidR="002D56AE">
              <w:rPr>
                <w:noProof/>
                <w:webHidden/>
              </w:rPr>
            </w:r>
            <w:r w:rsidR="002D56AE">
              <w:rPr>
                <w:noProof/>
                <w:webHidden/>
              </w:rPr>
              <w:fldChar w:fldCharType="separate"/>
            </w:r>
            <w:r w:rsidR="002D56AE">
              <w:rPr>
                <w:noProof/>
                <w:webHidden/>
              </w:rPr>
              <w:t>4</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49"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Un besoin du marché d’un nouveau droit de l’insolvabilité</w:t>
            </w:r>
            <w:r w:rsidR="002D56AE">
              <w:rPr>
                <w:noProof/>
                <w:webHidden/>
              </w:rPr>
              <w:tab/>
            </w:r>
            <w:r w:rsidR="002D56AE">
              <w:rPr>
                <w:noProof/>
                <w:webHidden/>
              </w:rPr>
              <w:fldChar w:fldCharType="begin"/>
            </w:r>
            <w:r w:rsidR="002D56AE">
              <w:rPr>
                <w:noProof/>
                <w:webHidden/>
              </w:rPr>
              <w:instrText xml:space="preserve"> PAGEREF _Toc55407449 \h </w:instrText>
            </w:r>
            <w:r w:rsidR="002D56AE">
              <w:rPr>
                <w:noProof/>
                <w:webHidden/>
              </w:rPr>
            </w:r>
            <w:r w:rsidR="002D56AE">
              <w:rPr>
                <w:noProof/>
                <w:webHidden/>
              </w:rPr>
              <w:fldChar w:fldCharType="separate"/>
            </w:r>
            <w:r w:rsidR="002D56AE">
              <w:rPr>
                <w:noProof/>
                <w:webHidden/>
              </w:rPr>
              <w:t>10</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50"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 « </w:t>
            </w:r>
            <w:r w:rsidR="002D56AE" w:rsidRPr="00431897">
              <w:rPr>
                <w:rStyle w:val="Lienhypertexte"/>
                <w:rFonts w:ascii="Times New Roman" w:hAnsi="Times New Roman" w:cs="Times New Roman"/>
                <w:i/>
                <w:noProof/>
              </w:rPr>
              <w:t>In the money</w:t>
            </w:r>
            <w:r w:rsidR="002D56AE" w:rsidRPr="00431897">
              <w:rPr>
                <w:rStyle w:val="Lienhypertexte"/>
                <w:rFonts w:ascii="Times New Roman" w:hAnsi="Times New Roman" w:cs="Times New Roman"/>
                <w:noProof/>
              </w:rPr>
              <w:t> » est pratiqué avec succès</w:t>
            </w:r>
            <w:r w:rsidR="002D56AE">
              <w:rPr>
                <w:noProof/>
                <w:webHidden/>
              </w:rPr>
              <w:tab/>
            </w:r>
            <w:r w:rsidR="002D56AE">
              <w:rPr>
                <w:noProof/>
                <w:webHidden/>
              </w:rPr>
              <w:fldChar w:fldCharType="begin"/>
            </w:r>
            <w:r w:rsidR="002D56AE">
              <w:rPr>
                <w:noProof/>
                <w:webHidden/>
              </w:rPr>
              <w:instrText xml:space="preserve"> PAGEREF _Toc55407450 \h </w:instrText>
            </w:r>
            <w:r w:rsidR="002D56AE">
              <w:rPr>
                <w:noProof/>
                <w:webHidden/>
              </w:rPr>
            </w:r>
            <w:r w:rsidR="002D56AE">
              <w:rPr>
                <w:noProof/>
                <w:webHidden/>
              </w:rPr>
              <w:fldChar w:fldCharType="separate"/>
            </w:r>
            <w:r w:rsidR="002D56AE">
              <w:rPr>
                <w:noProof/>
                <w:webHidden/>
              </w:rPr>
              <w:t>11</w:t>
            </w:r>
            <w:r w:rsidR="002D56AE">
              <w:rPr>
                <w:noProof/>
                <w:webHidden/>
              </w:rPr>
              <w:fldChar w:fldCharType="end"/>
            </w:r>
          </w:hyperlink>
        </w:p>
        <w:p w:rsidR="002D56AE" w:rsidRDefault="004F523B">
          <w:pPr>
            <w:pStyle w:val="TM2"/>
            <w:tabs>
              <w:tab w:val="left" w:pos="880"/>
              <w:tab w:val="right" w:leader="dot" w:pos="9060"/>
            </w:tabs>
            <w:rPr>
              <w:rFonts w:eastAsiaTheme="minorEastAsia" w:cstheme="minorBidi"/>
              <w:smallCaps w:val="0"/>
              <w:noProof/>
              <w:sz w:val="22"/>
              <w:szCs w:val="22"/>
              <w:lang w:eastAsia="fr-BE"/>
            </w:rPr>
          </w:pPr>
          <w:hyperlink w:anchor="_Toc55407451" w:history="1">
            <w:r w:rsidR="002D56AE" w:rsidRPr="00431897">
              <w:rPr>
                <w:rStyle w:val="Lienhypertexte"/>
                <w:rFonts w:ascii="Times New Roman" w:hAnsi="Times New Roman" w:cs="Times New Roman"/>
                <w:noProof/>
              </w:rPr>
              <w:t xml:space="preserve">D) </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Des règles « </w:t>
            </w:r>
            <w:r w:rsidR="002D56AE" w:rsidRPr="00431897">
              <w:rPr>
                <w:rStyle w:val="Lienhypertexte"/>
                <w:rFonts w:ascii="Times New Roman" w:hAnsi="Times New Roman" w:cs="Times New Roman"/>
                <w:i/>
                <w:noProof/>
              </w:rPr>
              <w:t>In the money</w:t>
            </w:r>
            <w:r w:rsidR="002D56AE" w:rsidRPr="00431897">
              <w:rPr>
                <w:rStyle w:val="Lienhypertexte"/>
                <w:rFonts w:ascii="Times New Roman" w:hAnsi="Times New Roman" w:cs="Times New Roman"/>
                <w:noProof/>
              </w:rPr>
              <w:t> » sont déjà dans le livre XX</w:t>
            </w:r>
            <w:r w:rsidR="002D56AE">
              <w:rPr>
                <w:noProof/>
                <w:webHidden/>
              </w:rPr>
              <w:tab/>
            </w:r>
            <w:r w:rsidR="002D56AE">
              <w:rPr>
                <w:noProof/>
                <w:webHidden/>
              </w:rPr>
              <w:fldChar w:fldCharType="begin"/>
            </w:r>
            <w:r w:rsidR="002D56AE">
              <w:rPr>
                <w:noProof/>
                <w:webHidden/>
              </w:rPr>
              <w:instrText xml:space="preserve"> PAGEREF _Toc55407451 \h </w:instrText>
            </w:r>
            <w:r w:rsidR="002D56AE">
              <w:rPr>
                <w:noProof/>
                <w:webHidden/>
              </w:rPr>
            </w:r>
            <w:r w:rsidR="002D56AE">
              <w:rPr>
                <w:noProof/>
                <w:webHidden/>
              </w:rPr>
              <w:fldChar w:fldCharType="separate"/>
            </w:r>
            <w:r w:rsidR="002D56AE">
              <w:rPr>
                <w:noProof/>
                <w:webHidden/>
              </w:rPr>
              <w:t>17</w:t>
            </w:r>
            <w:r w:rsidR="002D56AE">
              <w:rPr>
                <w:noProof/>
                <w:webHidden/>
              </w:rPr>
              <w:fldChar w:fldCharType="end"/>
            </w:r>
          </w:hyperlink>
        </w:p>
        <w:p w:rsidR="002D56AE" w:rsidRDefault="004F523B">
          <w:pPr>
            <w:pStyle w:val="TM1"/>
            <w:tabs>
              <w:tab w:val="left" w:pos="440"/>
              <w:tab w:val="right" w:leader="dot" w:pos="9060"/>
            </w:tabs>
            <w:rPr>
              <w:rFonts w:eastAsiaTheme="minorEastAsia" w:cstheme="minorBidi"/>
              <w:b w:val="0"/>
              <w:bCs w:val="0"/>
              <w:caps w:val="0"/>
              <w:noProof/>
              <w:sz w:val="22"/>
              <w:szCs w:val="22"/>
              <w:lang w:eastAsia="fr-BE"/>
            </w:rPr>
          </w:pPr>
          <w:hyperlink w:anchor="_Toc55407452"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I.</w:t>
            </w:r>
            <w:r w:rsidR="002D56AE">
              <w:rPr>
                <w:rFonts w:eastAsiaTheme="minorEastAsia" w:cstheme="minorBidi"/>
                <w:b w:val="0"/>
                <w:bCs w:val="0"/>
                <w:caps w:val="0"/>
                <w:noProof/>
                <w:sz w:val="22"/>
                <w:szCs w:val="22"/>
                <w:lang w:eastAsia="fr-BE"/>
              </w:rPr>
              <w:tab/>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 xml:space="preserve">La valeur </w:t>
            </w:r>
            <w:r w:rsidR="002D56AE" w:rsidRPr="00431897">
              <w:rPr>
                <w:rStyle w:val="Lienhypertexte"/>
                <w:rFonts w:ascii="Times New Roman" w:hAnsi="Times New Roman" w:cs="Times New Roman"/>
                <w:i/>
                <w:noProof/>
                <w14:shadow w14:blurRad="50800" w14:dist="38100" w14:dir="2700000" w14:sx="100000" w14:sy="100000" w14:kx="0" w14:ky="0" w14:algn="tl">
                  <w14:srgbClr w14:val="000000">
                    <w14:alpha w14:val="60000"/>
                  </w14:srgbClr>
                </w14:shadow>
              </w:rPr>
              <w:t>going-concern</w:t>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 xml:space="preserve"> des actifs  ou du débiteur</w:t>
            </w:r>
            <w:r w:rsidR="002D56AE">
              <w:rPr>
                <w:noProof/>
                <w:webHidden/>
              </w:rPr>
              <w:tab/>
            </w:r>
            <w:r w:rsidR="002D56AE">
              <w:rPr>
                <w:noProof/>
                <w:webHidden/>
              </w:rPr>
              <w:fldChar w:fldCharType="begin"/>
            </w:r>
            <w:r w:rsidR="002D56AE">
              <w:rPr>
                <w:noProof/>
                <w:webHidden/>
              </w:rPr>
              <w:instrText xml:space="preserve"> PAGEREF _Toc55407452 \h </w:instrText>
            </w:r>
            <w:r w:rsidR="002D56AE">
              <w:rPr>
                <w:noProof/>
                <w:webHidden/>
              </w:rPr>
            </w:r>
            <w:r w:rsidR="002D56AE">
              <w:rPr>
                <w:noProof/>
                <w:webHidden/>
              </w:rPr>
              <w:fldChar w:fldCharType="separate"/>
            </w:r>
            <w:r w:rsidR="002D56AE">
              <w:rPr>
                <w:noProof/>
                <w:webHidden/>
              </w:rPr>
              <w:t>21</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53"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Intérêt de la question</w:t>
            </w:r>
            <w:r w:rsidR="002D56AE">
              <w:rPr>
                <w:noProof/>
                <w:webHidden/>
              </w:rPr>
              <w:tab/>
            </w:r>
            <w:r w:rsidR="002D56AE">
              <w:rPr>
                <w:noProof/>
                <w:webHidden/>
              </w:rPr>
              <w:fldChar w:fldCharType="begin"/>
            </w:r>
            <w:r w:rsidR="002D56AE">
              <w:rPr>
                <w:noProof/>
                <w:webHidden/>
              </w:rPr>
              <w:instrText xml:space="preserve"> PAGEREF _Toc55407453 \h </w:instrText>
            </w:r>
            <w:r w:rsidR="002D56AE">
              <w:rPr>
                <w:noProof/>
                <w:webHidden/>
              </w:rPr>
            </w:r>
            <w:r w:rsidR="002D56AE">
              <w:rPr>
                <w:noProof/>
                <w:webHidden/>
              </w:rPr>
              <w:fldChar w:fldCharType="separate"/>
            </w:r>
            <w:r w:rsidR="002D56AE">
              <w:rPr>
                <w:noProof/>
                <w:webHidden/>
              </w:rPr>
              <w:t>21</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54"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Évaluation des actifs corporels</w:t>
            </w:r>
            <w:r w:rsidR="002D56AE">
              <w:rPr>
                <w:noProof/>
                <w:webHidden/>
              </w:rPr>
              <w:tab/>
            </w:r>
            <w:r w:rsidR="002D56AE">
              <w:rPr>
                <w:noProof/>
                <w:webHidden/>
              </w:rPr>
              <w:fldChar w:fldCharType="begin"/>
            </w:r>
            <w:r w:rsidR="002D56AE">
              <w:rPr>
                <w:noProof/>
                <w:webHidden/>
              </w:rPr>
              <w:instrText xml:space="preserve"> PAGEREF _Toc55407454 \h </w:instrText>
            </w:r>
            <w:r w:rsidR="002D56AE">
              <w:rPr>
                <w:noProof/>
                <w:webHidden/>
              </w:rPr>
            </w:r>
            <w:r w:rsidR="002D56AE">
              <w:rPr>
                <w:noProof/>
                <w:webHidden/>
              </w:rPr>
              <w:fldChar w:fldCharType="separate"/>
            </w:r>
            <w:r w:rsidR="002D56AE">
              <w:rPr>
                <w:noProof/>
                <w:webHidden/>
              </w:rPr>
              <w:t>23</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55"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La valeur des actifs incorporels</w:t>
            </w:r>
            <w:r w:rsidR="002D56AE">
              <w:rPr>
                <w:noProof/>
                <w:webHidden/>
              </w:rPr>
              <w:tab/>
            </w:r>
            <w:r w:rsidR="002D56AE">
              <w:rPr>
                <w:noProof/>
                <w:webHidden/>
              </w:rPr>
              <w:fldChar w:fldCharType="begin"/>
            </w:r>
            <w:r w:rsidR="002D56AE">
              <w:rPr>
                <w:noProof/>
                <w:webHidden/>
              </w:rPr>
              <w:instrText xml:space="preserve"> PAGEREF _Toc55407455 \h </w:instrText>
            </w:r>
            <w:r w:rsidR="002D56AE">
              <w:rPr>
                <w:noProof/>
                <w:webHidden/>
              </w:rPr>
            </w:r>
            <w:r w:rsidR="002D56AE">
              <w:rPr>
                <w:noProof/>
                <w:webHidden/>
              </w:rPr>
              <w:fldChar w:fldCharType="separate"/>
            </w:r>
            <w:r w:rsidR="002D56AE">
              <w:rPr>
                <w:noProof/>
                <w:webHidden/>
              </w:rPr>
              <w:t>26</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56" w:history="1">
            <w:r w:rsidR="002D56AE" w:rsidRPr="00431897">
              <w:rPr>
                <w:rStyle w:val="Lienhypertexte"/>
                <w:rFonts w:ascii="Times New Roman" w:hAnsi="Times New Roman" w:cs="Times New Roman"/>
                <w:noProof/>
              </w:rPr>
              <w:t>D)</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Propriété intellectuelle</w:t>
            </w:r>
            <w:r w:rsidR="002D56AE">
              <w:rPr>
                <w:noProof/>
                <w:webHidden/>
              </w:rPr>
              <w:tab/>
            </w:r>
            <w:r w:rsidR="002D56AE">
              <w:rPr>
                <w:noProof/>
                <w:webHidden/>
              </w:rPr>
              <w:fldChar w:fldCharType="begin"/>
            </w:r>
            <w:r w:rsidR="002D56AE">
              <w:rPr>
                <w:noProof/>
                <w:webHidden/>
              </w:rPr>
              <w:instrText xml:space="preserve"> PAGEREF _Toc55407456 \h </w:instrText>
            </w:r>
            <w:r w:rsidR="002D56AE">
              <w:rPr>
                <w:noProof/>
                <w:webHidden/>
              </w:rPr>
            </w:r>
            <w:r w:rsidR="002D56AE">
              <w:rPr>
                <w:noProof/>
                <w:webHidden/>
              </w:rPr>
              <w:fldChar w:fldCharType="separate"/>
            </w:r>
            <w:r w:rsidR="002D56AE">
              <w:rPr>
                <w:noProof/>
                <w:webHidden/>
              </w:rPr>
              <w:t>26</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57" w:history="1">
            <w:r w:rsidR="002D56AE" w:rsidRPr="00431897">
              <w:rPr>
                <w:rStyle w:val="Lienhypertexte"/>
                <w:rFonts w:ascii="Times New Roman" w:hAnsi="Times New Roman" w:cs="Times New Roman"/>
                <w:noProof/>
              </w:rPr>
              <w:t>E)</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La valeur des actions des sociétés cotées</w:t>
            </w:r>
            <w:r w:rsidR="002D56AE">
              <w:rPr>
                <w:noProof/>
                <w:webHidden/>
              </w:rPr>
              <w:tab/>
            </w:r>
            <w:r w:rsidR="002D56AE">
              <w:rPr>
                <w:noProof/>
                <w:webHidden/>
              </w:rPr>
              <w:fldChar w:fldCharType="begin"/>
            </w:r>
            <w:r w:rsidR="002D56AE">
              <w:rPr>
                <w:noProof/>
                <w:webHidden/>
              </w:rPr>
              <w:instrText xml:space="preserve"> PAGEREF _Toc55407457 \h </w:instrText>
            </w:r>
            <w:r w:rsidR="002D56AE">
              <w:rPr>
                <w:noProof/>
                <w:webHidden/>
              </w:rPr>
            </w:r>
            <w:r w:rsidR="002D56AE">
              <w:rPr>
                <w:noProof/>
                <w:webHidden/>
              </w:rPr>
              <w:fldChar w:fldCharType="separate"/>
            </w:r>
            <w:r w:rsidR="002D56AE">
              <w:rPr>
                <w:noProof/>
                <w:webHidden/>
              </w:rPr>
              <w:t>28</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58" w:history="1">
            <w:r w:rsidR="002D56AE" w:rsidRPr="00431897">
              <w:rPr>
                <w:rStyle w:val="Lienhypertexte"/>
                <w:rFonts w:ascii="Times New Roman" w:hAnsi="Times New Roman" w:cs="Times New Roman"/>
                <w:noProof/>
              </w:rPr>
              <w:t>F)</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La valeur des actions non cotées</w:t>
            </w:r>
            <w:r w:rsidR="002D56AE">
              <w:rPr>
                <w:noProof/>
                <w:webHidden/>
              </w:rPr>
              <w:tab/>
            </w:r>
            <w:r w:rsidR="002D56AE">
              <w:rPr>
                <w:noProof/>
                <w:webHidden/>
              </w:rPr>
              <w:fldChar w:fldCharType="begin"/>
            </w:r>
            <w:r w:rsidR="002D56AE">
              <w:rPr>
                <w:noProof/>
                <w:webHidden/>
              </w:rPr>
              <w:instrText xml:space="preserve"> PAGEREF _Toc55407458 \h </w:instrText>
            </w:r>
            <w:r w:rsidR="002D56AE">
              <w:rPr>
                <w:noProof/>
                <w:webHidden/>
              </w:rPr>
            </w:r>
            <w:r w:rsidR="002D56AE">
              <w:rPr>
                <w:noProof/>
                <w:webHidden/>
              </w:rPr>
              <w:fldChar w:fldCharType="separate"/>
            </w:r>
            <w:r w:rsidR="002D56AE">
              <w:rPr>
                <w:noProof/>
                <w:webHidden/>
              </w:rPr>
              <w:t>37</w:t>
            </w:r>
            <w:r w:rsidR="002D56AE">
              <w:rPr>
                <w:noProof/>
                <w:webHidden/>
              </w:rPr>
              <w:fldChar w:fldCharType="end"/>
            </w:r>
          </w:hyperlink>
        </w:p>
        <w:p w:rsidR="002D56AE" w:rsidRDefault="004F523B">
          <w:pPr>
            <w:pStyle w:val="TM3"/>
            <w:tabs>
              <w:tab w:val="left" w:pos="880"/>
              <w:tab w:val="right" w:leader="dot" w:pos="9060"/>
            </w:tabs>
            <w:rPr>
              <w:rFonts w:eastAsiaTheme="minorEastAsia" w:cstheme="minorBidi"/>
              <w:i w:val="0"/>
              <w:iCs w:val="0"/>
              <w:noProof/>
              <w:sz w:val="22"/>
              <w:szCs w:val="22"/>
              <w:lang w:eastAsia="fr-BE"/>
            </w:rPr>
          </w:pPr>
          <w:hyperlink w:anchor="_Toc55407459" w:history="1">
            <w:r w:rsidR="002D56AE" w:rsidRPr="00431897">
              <w:rPr>
                <w:rStyle w:val="Lienhypertexte"/>
                <w:b/>
                <w:noProof/>
              </w:rPr>
              <w:t>1.</w:t>
            </w:r>
            <w:r w:rsidR="002D56AE">
              <w:rPr>
                <w:rFonts w:eastAsiaTheme="minorEastAsia" w:cstheme="minorBidi"/>
                <w:i w:val="0"/>
                <w:iCs w:val="0"/>
                <w:noProof/>
                <w:sz w:val="22"/>
                <w:szCs w:val="22"/>
                <w:lang w:eastAsia="fr-BE"/>
              </w:rPr>
              <w:tab/>
            </w:r>
            <w:r w:rsidR="002D56AE" w:rsidRPr="00431897">
              <w:rPr>
                <w:rStyle w:val="Lienhypertexte"/>
                <w:b/>
                <w:noProof/>
              </w:rPr>
              <w:t>Partie théorique</w:t>
            </w:r>
            <w:r w:rsidR="002D56AE">
              <w:rPr>
                <w:noProof/>
                <w:webHidden/>
              </w:rPr>
              <w:tab/>
            </w:r>
            <w:r w:rsidR="002D56AE">
              <w:rPr>
                <w:noProof/>
                <w:webHidden/>
              </w:rPr>
              <w:fldChar w:fldCharType="begin"/>
            </w:r>
            <w:r w:rsidR="002D56AE">
              <w:rPr>
                <w:noProof/>
                <w:webHidden/>
              </w:rPr>
              <w:instrText xml:space="preserve"> PAGEREF _Toc55407459 \h </w:instrText>
            </w:r>
            <w:r w:rsidR="002D56AE">
              <w:rPr>
                <w:noProof/>
                <w:webHidden/>
              </w:rPr>
            </w:r>
            <w:r w:rsidR="002D56AE">
              <w:rPr>
                <w:noProof/>
                <w:webHidden/>
              </w:rPr>
              <w:fldChar w:fldCharType="separate"/>
            </w:r>
            <w:r w:rsidR="002D56AE">
              <w:rPr>
                <w:noProof/>
                <w:webHidden/>
              </w:rPr>
              <w:t>37</w:t>
            </w:r>
            <w:r w:rsidR="002D56AE">
              <w:rPr>
                <w:noProof/>
                <w:webHidden/>
              </w:rPr>
              <w:fldChar w:fldCharType="end"/>
            </w:r>
          </w:hyperlink>
        </w:p>
        <w:p w:rsidR="002D56AE" w:rsidRDefault="004F523B">
          <w:pPr>
            <w:pStyle w:val="TM3"/>
            <w:tabs>
              <w:tab w:val="left" w:pos="880"/>
              <w:tab w:val="right" w:leader="dot" w:pos="9060"/>
            </w:tabs>
            <w:rPr>
              <w:rFonts w:eastAsiaTheme="minorEastAsia" w:cstheme="minorBidi"/>
              <w:i w:val="0"/>
              <w:iCs w:val="0"/>
              <w:noProof/>
              <w:sz w:val="22"/>
              <w:szCs w:val="22"/>
              <w:lang w:eastAsia="fr-BE"/>
            </w:rPr>
          </w:pPr>
          <w:hyperlink w:anchor="_Toc55407460" w:history="1">
            <w:r w:rsidR="002D56AE" w:rsidRPr="00431897">
              <w:rPr>
                <w:rStyle w:val="Lienhypertexte"/>
                <w:b/>
                <w:noProof/>
              </w:rPr>
              <w:t>2.</w:t>
            </w:r>
            <w:r w:rsidR="002D56AE">
              <w:rPr>
                <w:rFonts w:eastAsiaTheme="minorEastAsia" w:cstheme="minorBidi"/>
                <w:i w:val="0"/>
                <w:iCs w:val="0"/>
                <w:noProof/>
                <w:sz w:val="22"/>
                <w:szCs w:val="22"/>
                <w:lang w:eastAsia="fr-BE"/>
              </w:rPr>
              <w:tab/>
            </w:r>
            <w:r w:rsidR="002D56AE" w:rsidRPr="00431897">
              <w:rPr>
                <w:rStyle w:val="Lienhypertexte"/>
                <w:b/>
                <w:noProof/>
              </w:rPr>
              <w:t>Partie pratique</w:t>
            </w:r>
            <w:r w:rsidR="002D56AE">
              <w:rPr>
                <w:noProof/>
                <w:webHidden/>
              </w:rPr>
              <w:tab/>
            </w:r>
            <w:r w:rsidR="002D56AE">
              <w:rPr>
                <w:noProof/>
                <w:webHidden/>
              </w:rPr>
              <w:fldChar w:fldCharType="begin"/>
            </w:r>
            <w:r w:rsidR="002D56AE">
              <w:rPr>
                <w:noProof/>
                <w:webHidden/>
              </w:rPr>
              <w:instrText xml:space="preserve"> PAGEREF _Toc55407460 \h </w:instrText>
            </w:r>
            <w:r w:rsidR="002D56AE">
              <w:rPr>
                <w:noProof/>
                <w:webHidden/>
              </w:rPr>
            </w:r>
            <w:r w:rsidR="002D56AE">
              <w:rPr>
                <w:noProof/>
                <w:webHidden/>
              </w:rPr>
              <w:fldChar w:fldCharType="separate"/>
            </w:r>
            <w:r w:rsidR="002D56AE">
              <w:rPr>
                <w:noProof/>
                <w:webHidden/>
              </w:rPr>
              <w:t>47</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61" w:history="1">
            <w:r w:rsidR="002D56AE" w:rsidRPr="00431897">
              <w:rPr>
                <w:rStyle w:val="Lienhypertexte"/>
                <w:rFonts w:ascii="Times New Roman" w:hAnsi="Times New Roman"/>
                <w:noProof/>
              </w:rPr>
              <w:t>G)</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noProof/>
              </w:rPr>
              <w:t>Conclusions provisoire</w:t>
            </w:r>
            <w:r w:rsidR="002D56AE">
              <w:rPr>
                <w:noProof/>
                <w:webHidden/>
              </w:rPr>
              <w:tab/>
            </w:r>
            <w:r w:rsidR="002D56AE">
              <w:rPr>
                <w:noProof/>
                <w:webHidden/>
              </w:rPr>
              <w:fldChar w:fldCharType="begin"/>
            </w:r>
            <w:r w:rsidR="002D56AE">
              <w:rPr>
                <w:noProof/>
                <w:webHidden/>
              </w:rPr>
              <w:instrText xml:space="preserve"> PAGEREF _Toc55407461 \h </w:instrText>
            </w:r>
            <w:r w:rsidR="002D56AE">
              <w:rPr>
                <w:noProof/>
                <w:webHidden/>
              </w:rPr>
            </w:r>
            <w:r w:rsidR="002D56AE">
              <w:rPr>
                <w:noProof/>
                <w:webHidden/>
              </w:rPr>
              <w:fldChar w:fldCharType="separate"/>
            </w:r>
            <w:r w:rsidR="002D56AE">
              <w:rPr>
                <w:noProof/>
                <w:webHidden/>
              </w:rPr>
              <w:t>54</w:t>
            </w:r>
            <w:r w:rsidR="002D56AE">
              <w:rPr>
                <w:noProof/>
                <w:webHidden/>
              </w:rPr>
              <w:fldChar w:fldCharType="end"/>
            </w:r>
          </w:hyperlink>
        </w:p>
        <w:p w:rsidR="002D56AE" w:rsidRDefault="004F523B">
          <w:pPr>
            <w:pStyle w:val="TM1"/>
            <w:tabs>
              <w:tab w:val="left" w:pos="440"/>
              <w:tab w:val="right" w:leader="dot" w:pos="9060"/>
            </w:tabs>
            <w:rPr>
              <w:rFonts w:eastAsiaTheme="minorEastAsia" w:cstheme="minorBidi"/>
              <w:b w:val="0"/>
              <w:bCs w:val="0"/>
              <w:caps w:val="0"/>
              <w:noProof/>
              <w:sz w:val="22"/>
              <w:szCs w:val="22"/>
              <w:lang w:eastAsia="fr-BE"/>
            </w:rPr>
          </w:pPr>
          <w:hyperlink w:anchor="_Toc55407462"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II.</w:t>
            </w:r>
            <w:r w:rsidR="002D56AE">
              <w:rPr>
                <w:rFonts w:eastAsiaTheme="minorEastAsia" w:cstheme="minorBidi"/>
                <w:b w:val="0"/>
                <w:bCs w:val="0"/>
                <w:caps w:val="0"/>
                <w:noProof/>
                <w:sz w:val="22"/>
                <w:szCs w:val="22"/>
                <w:lang w:eastAsia="fr-BE"/>
              </w:rPr>
              <w:tab/>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Valeur de liquidation des actifs ou du débiteur</w:t>
            </w:r>
            <w:r w:rsidR="002D56AE">
              <w:rPr>
                <w:noProof/>
                <w:webHidden/>
              </w:rPr>
              <w:tab/>
            </w:r>
            <w:r w:rsidR="002D56AE">
              <w:rPr>
                <w:noProof/>
                <w:webHidden/>
              </w:rPr>
              <w:fldChar w:fldCharType="begin"/>
            </w:r>
            <w:r w:rsidR="002D56AE">
              <w:rPr>
                <w:noProof/>
                <w:webHidden/>
              </w:rPr>
              <w:instrText xml:space="preserve"> PAGEREF _Toc55407462 \h </w:instrText>
            </w:r>
            <w:r w:rsidR="002D56AE">
              <w:rPr>
                <w:noProof/>
                <w:webHidden/>
              </w:rPr>
            </w:r>
            <w:r w:rsidR="002D56AE">
              <w:rPr>
                <w:noProof/>
                <w:webHidden/>
              </w:rPr>
              <w:fldChar w:fldCharType="separate"/>
            </w:r>
            <w:r w:rsidR="002D56AE">
              <w:rPr>
                <w:noProof/>
                <w:webHidden/>
              </w:rPr>
              <w:t>56</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63"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Position de la question</w:t>
            </w:r>
            <w:r w:rsidR="002D56AE">
              <w:rPr>
                <w:noProof/>
                <w:webHidden/>
              </w:rPr>
              <w:tab/>
            </w:r>
            <w:r w:rsidR="002D56AE">
              <w:rPr>
                <w:noProof/>
                <w:webHidden/>
              </w:rPr>
              <w:fldChar w:fldCharType="begin"/>
            </w:r>
            <w:r w:rsidR="002D56AE">
              <w:rPr>
                <w:noProof/>
                <w:webHidden/>
              </w:rPr>
              <w:instrText xml:space="preserve"> PAGEREF _Toc55407463 \h </w:instrText>
            </w:r>
            <w:r w:rsidR="002D56AE">
              <w:rPr>
                <w:noProof/>
                <w:webHidden/>
              </w:rPr>
            </w:r>
            <w:r w:rsidR="002D56AE">
              <w:rPr>
                <w:noProof/>
                <w:webHidden/>
              </w:rPr>
              <w:fldChar w:fldCharType="separate"/>
            </w:r>
            <w:r w:rsidR="002D56AE">
              <w:rPr>
                <w:noProof/>
                <w:webHidden/>
              </w:rPr>
              <w:t>56</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64"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Différents types de valeur de liquidation</w:t>
            </w:r>
            <w:r w:rsidR="002D56AE">
              <w:rPr>
                <w:noProof/>
                <w:webHidden/>
              </w:rPr>
              <w:tab/>
            </w:r>
            <w:r w:rsidR="002D56AE">
              <w:rPr>
                <w:noProof/>
                <w:webHidden/>
              </w:rPr>
              <w:fldChar w:fldCharType="begin"/>
            </w:r>
            <w:r w:rsidR="002D56AE">
              <w:rPr>
                <w:noProof/>
                <w:webHidden/>
              </w:rPr>
              <w:instrText xml:space="preserve"> PAGEREF _Toc55407464 \h </w:instrText>
            </w:r>
            <w:r w:rsidR="002D56AE">
              <w:rPr>
                <w:noProof/>
                <w:webHidden/>
              </w:rPr>
            </w:r>
            <w:r w:rsidR="002D56AE">
              <w:rPr>
                <w:noProof/>
                <w:webHidden/>
              </w:rPr>
              <w:fldChar w:fldCharType="separate"/>
            </w:r>
            <w:r w:rsidR="002D56AE">
              <w:rPr>
                <w:noProof/>
                <w:webHidden/>
              </w:rPr>
              <w:t>56</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65"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Valeur de liquidation en droit actuel</w:t>
            </w:r>
            <w:r w:rsidR="002D56AE">
              <w:rPr>
                <w:noProof/>
                <w:webHidden/>
              </w:rPr>
              <w:tab/>
            </w:r>
            <w:r w:rsidR="002D56AE">
              <w:rPr>
                <w:noProof/>
                <w:webHidden/>
              </w:rPr>
              <w:fldChar w:fldCharType="begin"/>
            </w:r>
            <w:r w:rsidR="002D56AE">
              <w:rPr>
                <w:noProof/>
                <w:webHidden/>
              </w:rPr>
              <w:instrText xml:space="preserve"> PAGEREF _Toc55407465 \h </w:instrText>
            </w:r>
            <w:r w:rsidR="002D56AE">
              <w:rPr>
                <w:noProof/>
                <w:webHidden/>
              </w:rPr>
            </w:r>
            <w:r w:rsidR="002D56AE">
              <w:rPr>
                <w:noProof/>
                <w:webHidden/>
              </w:rPr>
              <w:fldChar w:fldCharType="separate"/>
            </w:r>
            <w:r w:rsidR="002D56AE">
              <w:rPr>
                <w:noProof/>
                <w:webHidden/>
              </w:rPr>
              <w:t>59</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66" w:history="1">
            <w:r w:rsidR="002D56AE" w:rsidRPr="00431897">
              <w:rPr>
                <w:rStyle w:val="Lienhypertexte"/>
                <w:rFonts w:ascii="Times New Roman" w:hAnsi="Times New Roman" w:cs="Times New Roman"/>
                <w:noProof/>
              </w:rPr>
              <w:t>D)</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Test implicite de marché pour la valeur liquidative</w:t>
            </w:r>
            <w:r w:rsidR="002D56AE">
              <w:rPr>
                <w:noProof/>
                <w:webHidden/>
              </w:rPr>
              <w:tab/>
            </w:r>
            <w:r w:rsidR="002D56AE">
              <w:rPr>
                <w:noProof/>
                <w:webHidden/>
              </w:rPr>
              <w:fldChar w:fldCharType="begin"/>
            </w:r>
            <w:r w:rsidR="002D56AE">
              <w:rPr>
                <w:noProof/>
                <w:webHidden/>
              </w:rPr>
              <w:instrText xml:space="preserve"> PAGEREF _Toc55407466 \h </w:instrText>
            </w:r>
            <w:r w:rsidR="002D56AE">
              <w:rPr>
                <w:noProof/>
                <w:webHidden/>
              </w:rPr>
            </w:r>
            <w:r w:rsidR="002D56AE">
              <w:rPr>
                <w:noProof/>
                <w:webHidden/>
              </w:rPr>
              <w:fldChar w:fldCharType="separate"/>
            </w:r>
            <w:r w:rsidR="002D56AE">
              <w:rPr>
                <w:noProof/>
                <w:webHidden/>
              </w:rPr>
              <w:t>60</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67" w:history="1">
            <w:r w:rsidR="002D56AE" w:rsidRPr="00431897">
              <w:rPr>
                <w:rStyle w:val="Lienhypertexte"/>
                <w:rFonts w:ascii="Times New Roman" w:hAnsi="Times New Roman" w:cs="Times New Roman"/>
                <w:noProof/>
              </w:rPr>
              <w:t>E)</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Dans la directive</w:t>
            </w:r>
            <w:r w:rsidR="002D56AE">
              <w:rPr>
                <w:noProof/>
                <w:webHidden/>
              </w:rPr>
              <w:tab/>
            </w:r>
            <w:r w:rsidR="002D56AE">
              <w:rPr>
                <w:noProof/>
                <w:webHidden/>
              </w:rPr>
              <w:fldChar w:fldCharType="begin"/>
            </w:r>
            <w:r w:rsidR="002D56AE">
              <w:rPr>
                <w:noProof/>
                <w:webHidden/>
              </w:rPr>
              <w:instrText xml:space="preserve"> PAGEREF _Toc55407467 \h </w:instrText>
            </w:r>
            <w:r w:rsidR="002D56AE">
              <w:rPr>
                <w:noProof/>
                <w:webHidden/>
              </w:rPr>
            </w:r>
            <w:r w:rsidR="002D56AE">
              <w:rPr>
                <w:noProof/>
                <w:webHidden/>
              </w:rPr>
              <w:fldChar w:fldCharType="separate"/>
            </w:r>
            <w:r w:rsidR="002D56AE">
              <w:rPr>
                <w:noProof/>
                <w:webHidden/>
              </w:rPr>
              <w:t>60</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68" w:history="1">
            <w:r w:rsidR="002D56AE" w:rsidRPr="00431897">
              <w:rPr>
                <w:rStyle w:val="Lienhypertexte"/>
                <w:rFonts w:ascii="Times New Roman" w:hAnsi="Times New Roman" w:cs="Times New Roman"/>
                <w:noProof/>
              </w:rPr>
              <w:t>F)</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 xml:space="preserve">Test du </w:t>
            </w:r>
            <w:r w:rsidR="002D56AE" w:rsidRPr="00431897">
              <w:rPr>
                <w:rStyle w:val="Lienhypertexte"/>
                <w:rFonts w:ascii="Times New Roman" w:hAnsi="Times New Roman" w:cs="Times New Roman"/>
                <w:i/>
                <w:noProof/>
              </w:rPr>
              <w:t>Best interest of creditors</w:t>
            </w:r>
            <w:r w:rsidR="002D56AE" w:rsidRPr="00431897">
              <w:rPr>
                <w:rStyle w:val="Lienhypertexte"/>
                <w:rFonts w:ascii="Times New Roman" w:hAnsi="Times New Roman" w:cs="Times New Roman"/>
                <w:noProof/>
              </w:rPr>
              <w:t xml:space="preserve"> en droit Américain</w:t>
            </w:r>
            <w:r w:rsidR="002D56AE">
              <w:rPr>
                <w:noProof/>
                <w:webHidden/>
              </w:rPr>
              <w:tab/>
            </w:r>
            <w:r w:rsidR="002D56AE">
              <w:rPr>
                <w:noProof/>
                <w:webHidden/>
              </w:rPr>
              <w:fldChar w:fldCharType="begin"/>
            </w:r>
            <w:r w:rsidR="002D56AE">
              <w:rPr>
                <w:noProof/>
                <w:webHidden/>
              </w:rPr>
              <w:instrText xml:space="preserve"> PAGEREF _Toc55407468 \h </w:instrText>
            </w:r>
            <w:r w:rsidR="002D56AE">
              <w:rPr>
                <w:noProof/>
                <w:webHidden/>
              </w:rPr>
            </w:r>
            <w:r w:rsidR="002D56AE">
              <w:rPr>
                <w:noProof/>
                <w:webHidden/>
              </w:rPr>
              <w:fldChar w:fldCharType="separate"/>
            </w:r>
            <w:r w:rsidR="002D56AE">
              <w:rPr>
                <w:noProof/>
                <w:webHidden/>
              </w:rPr>
              <w:t>61</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69" w:history="1">
            <w:r w:rsidR="002D56AE" w:rsidRPr="00431897">
              <w:rPr>
                <w:rStyle w:val="Lienhypertexte"/>
                <w:rFonts w:ascii="Times New Roman" w:hAnsi="Times New Roman" w:cs="Times New Roman"/>
                <w:noProof/>
              </w:rPr>
              <w:t>G)</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Synthèse provisoire</w:t>
            </w:r>
            <w:r w:rsidR="002D56AE">
              <w:rPr>
                <w:noProof/>
                <w:webHidden/>
              </w:rPr>
              <w:tab/>
            </w:r>
            <w:r w:rsidR="002D56AE">
              <w:rPr>
                <w:noProof/>
                <w:webHidden/>
              </w:rPr>
              <w:fldChar w:fldCharType="begin"/>
            </w:r>
            <w:r w:rsidR="002D56AE">
              <w:rPr>
                <w:noProof/>
                <w:webHidden/>
              </w:rPr>
              <w:instrText xml:space="preserve"> PAGEREF _Toc55407469 \h </w:instrText>
            </w:r>
            <w:r w:rsidR="002D56AE">
              <w:rPr>
                <w:noProof/>
                <w:webHidden/>
              </w:rPr>
            </w:r>
            <w:r w:rsidR="002D56AE">
              <w:rPr>
                <w:noProof/>
                <w:webHidden/>
              </w:rPr>
              <w:fldChar w:fldCharType="separate"/>
            </w:r>
            <w:r w:rsidR="002D56AE">
              <w:rPr>
                <w:noProof/>
                <w:webHidden/>
              </w:rPr>
              <w:t>62</w:t>
            </w:r>
            <w:r w:rsidR="002D56AE">
              <w:rPr>
                <w:noProof/>
                <w:webHidden/>
              </w:rPr>
              <w:fldChar w:fldCharType="end"/>
            </w:r>
          </w:hyperlink>
        </w:p>
        <w:p w:rsidR="002D56AE" w:rsidRDefault="004F523B">
          <w:pPr>
            <w:pStyle w:val="TM1"/>
            <w:tabs>
              <w:tab w:val="left" w:pos="660"/>
              <w:tab w:val="right" w:leader="dot" w:pos="9060"/>
            </w:tabs>
            <w:rPr>
              <w:rFonts w:eastAsiaTheme="minorEastAsia" w:cstheme="minorBidi"/>
              <w:b w:val="0"/>
              <w:bCs w:val="0"/>
              <w:caps w:val="0"/>
              <w:noProof/>
              <w:sz w:val="22"/>
              <w:szCs w:val="22"/>
              <w:lang w:eastAsia="fr-BE"/>
            </w:rPr>
          </w:pPr>
          <w:hyperlink w:anchor="_Toc55407470"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III.</w:t>
            </w:r>
            <w:r w:rsidR="002D56AE">
              <w:rPr>
                <w:rFonts w:eastAsiaTheme="minorEastAsia" w:cstheme="minorBidi"/>
                <w:b w:val="0"/>
                <w:bCs w:val="0"/>
                <w:caps w:val="0"/>
                <w:noProof/>
                <w:sz w:val="22"/>
                <w:szCs w:val="22"/>
                <w:lang w:eastAsia="fr-BE"/>
              </w:rPr>
              <w:tab/>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Valeur et financement – un nouvel paradigme</w:t>
            </w:r>
            <w:r w:rsidR="002D56AE">
              <w:rPr>
                <w:noProof/>
                <w:webHidden/>
              </w:rPr>
              <w:tab/>
            </w:r>
            <w:r w:rsidR="002D56AE">
              <w:rPr>
                <w:noProof/>
                <w:webHidden/>
              </w:rPr>
              <w:fldChar w:fldCharType="begin"/>
            </w:r>
            <w:r w:rsidR="002D56AE">
              <w:rPr>
                <w:noProof/>
                <w:webHidden/>
              </w:rPr>
              <w:instrText xml:space="preserve"> PAGEREF _Toc55407470 \h </w:instrText>
            </w:r>
            <w:r w:rsidR="002D56AE">
              <w:rPr>
                <w:noProof/>
                <w:webHidden/>
              </w:rPr>
            </w:r>
            <w:r w:rsidR="002D56AE">
              <w:rPr>
                <w:noProof/>
                <w:webHidden/>
              </w:rPr>
              <w:fldChar w:fldCharType="separate"/>
            </w:r>
            <w:r w:rsidR="002D56AE">
              <w:rPr>
                <w:noProof/>
                <w:webHidden/>
              </w:rPr>
              <w:t>63</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71"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La position de la question</w:t>
            </w:r>
            <w:r w:rsidR="002D56AE">
              <w:rPr>
                <w:noProof/>
                <w:webHidden/>
              </w:rPr>
              <w:tab/>
            </w:r>
            <w:r w:rsidR="002D56AE">
              <w:rPr>
                <w:noProof/>
                <w:webHidden/>
              </w:rPr>
              <w:fldChar w:fldCharType="begin"/>
            </w:r>
            <w:r w:rsidR="002D56AE">
              <w:rPr>
                <w:noProof/>
                <w:webHidden/>
              </w:rPr>
              <w:instrText xml:space="preserve"> PAGEREF _Toc55407471 \h </w:instrText>
            </w:r>
            <w:r w:rsidR="002D56AE">
              <w:rPr>
                <w:noProof/>
                <w:webHidden/>
              </w:rPr>
            </w:r>
            <w:r w:rsidR="002D56AE">
              <w:rPr>
                <w:noProof/>
                <w:webHidden/>
              </w:rPr>
              <w:fldChar w:fldCharType="separate"/>
            </w:r>
            <w:r w:rsidR="002D56AE">
              <w:rPr>
                <w:noProof/>
                <w:webHidden/>
              </w:rPr>
              <w:t>63</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72"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Solutions actuelles du droit belge</w:t>
            </w:r>
            <w:r w:rsidR="002D56AE">
              <w:rPr>
                <w:noProof/>
                <w:webHidden/>
              </w:rPr>
              <w:tab/>
            </w:r>
            <w:r w:rsidR="002D56AE">
              <w:rPr>
                <w:noProof/>
                <w:webHidden/>
              </w:rPr>
              <w:fldChar w:fldCharType="begin"/>
            </w:r>
            <w:r w:rsidR="002D56AE">
              <w:rPr>
                <w:noProof/>
                <w:webHidden/>
              </w:rPr>
              <w:instrText xml:space="preserve"> PAGEREF _Toc55407472 \h </w:instrText>
            </w:r>
            <w:r w:rsidR="002D56AE">
              <w:rPr>
                <w:noProof/>
                <w:webHidden/>
              </w:rPr>
            </w:r>
            <w:r w:rsidR="002D56AE">
              <w:rPr>
                <w:noProof/>
                <w:webHidden/>
              </w:rPr>
              <w:fldChar w:fldCharType="separate"/>
            </w:r>
            <w:r w:rsidR="002D56AE">
              <w:rPr>
                <w:noProof/>
                <w:webHidden/>
              </w:rPr>
              <w:t>64</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73"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Solutions de la directive</w:t>
            </w:r>
            <w:r w:rsidR="002D56AE">
              <w:rPr>
                <w:noProof/>
                <w:webHidden/>
              </w:rPr>
              <w:tab/>
            </w:r>
            <w:r w:rsidR="002D56AE">
              <w:rPr>
                <w:noProof/>
                <w:webHidden/>
              </w:rPr>
              <w:fldChar w:fldCharType="begin"/>
            </w:r>
            <w:r w:rsidR="002D56AE">
              <w:rPr>
                <w:noProof/>
                <w:webHidden/>
              </w:rPr>
              <w:instrText xml:space="preserve"> PAGEREF _Toc55407473 \h </w:instrText>
            </w:r>
            <w:r w:rsidR="002D56AE">
              <w:rPr>
                <w:noProof/>
                <w:webHidden/>
              </w:rPr>
            </w:r>
            <w:r w:rsidR="002D56AE">
              <w:rPr>
                <w:noProof/>
                <w:webHidden/>
              </w:rPr>
              <w:fldChar w:fldCharType="separate"/>
            </w:r>
            <w:r w:rsidR="002D56AE">
              <w:rPr>
                <w:noProof/>
                <w:webHidden/>
              </w:rPr>
              <w:t>65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74"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Solutions issues du droit Américain</w:t>
            </w:r>
            <w:r w:rsidR="002D56AE">
              <w:rPr>
                <w:noProof/>
                <w:webHidden/>
              </w:rPr>
              <w:tab/>
            </w:r>
            <w:r w:rsidR="002D56AE">
              <w:rPr>
                <w:noProof/>
                <w:webHidden/>
              </w:rPr>
              <w:fldChar w:fldCharType="begin"/>
            </w:r>
            <w:r w:rsidR="002D56AE">
              <w:rPr>
                <w:noProof/>
                <w:webHidden/>
              </w:rPr>
              <w:instrText xml:space="preserve"> PAGEREF _Toc55407474 \h </w:instrText>
            </w:r>
            <w:r w:rsidR="002D56AE">
              <w:rPr>
                <w:noProof/>
                <w:webHidden/>
              </w:rPr>
            </w:r>
            <w:r w:rsidR="002D56AE">
              <w:rPr>
                <w:noProof/>
                <w:webHidden/>
              </w:rPr>
              <w:fldChar w:fldCharType="separate"/>
            </w:r>
            <w:r w:rsidR="002D56AE">
              <w:rPr>
                <w:noProof/>
                <w:webHidden/>
              </w:rPr>
              <w:t>67</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75" w:history="1">
            <w:r w:rsidR="002D56AE" w:rsidRPr="00431897">
              <w:rPr>
                <w:rStyle w:val="Lienhypertexte"/>
                <w:rFonts w:ascii="Times New Roman" w:hAnsi="Times New Roman" w:cs="Times New Roman"/>
                <w:noProof/>
              </w:rPr>
              <w:t>D)</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Conclusions provisoires</w:t>
            </w:r>
            <w:r w:rsidR="002D56AE">
              <w:rPr>
                <w:noProof/>
                <w:webHidden/>
              </w:rPr>
              <w:tab/>
            </w:r>
            <w:r w:rsidR="002D56AE">
              <w:rPr>
                <w:noProof/>
                <w:webHidden/>
              </w:rPr>
              <w:fldChar w:fldCharType="begin"/>
            </w:r>
            <w:r w:rsidR="002D56AE">
              <w:rPr>
                <w:noProof/>
                <w:webHidden/>
              </w:rPr>
              <w:instrText xml:space="preserve"> PAGEREF _Toc55407475 \h </w:instrText>
            </w:r>
            <w:r w:rsidR="002D56AE">
              <w:rPr>
                <w:noProof/>
                <w:webHidden/>
              </w:rPr>
            </w:r>
            <w:r w:rsidR="002D56AE">
              <w:rPr>
                <w:noProof/>
                <w:webHidden/>
              </w:rPr>
              <w:fldChar w:fldCharType="separate"/>
            </w:r>
            <w:r w:rsidR="002D56AE">
              <w:rPr>
                <w:noProof/>
                <w:webHidden/>
              </w:rPr>
              <w:t>70</w:t>
            </w:r>
            <w:r w:rsidR="002D56AE">
              <w:rPr>
                <w:noProof/>
                <w:webHidden/>
              </w:rPr>
              <w:fldChar w:fldCharType="end"/>
            </w:r>
          </w:hyperlink>
        </w:p>
        <w:p w:rsidR="002D56AE" w:rsidRDefault="004F523B">
          <w:pPr>
            <w:pStyle w:val="TM1"/>
            <w:tabs>
              <w:tab w:val="left" w:pos="660"/>
              <w:tab w:val="right" w:leader="dot" w:pos="9060"/>
            </w:tabs>
            <w:rPr>
              <w:rFonts w:eastAsiaTheme="minorEastAsia" w:cstheme="minorBidi"/>
              <w:b w:val="0"/>
              <w:bCs w:val="0"/>
              <w:caps w:val="0"/>
              <w:noProof/>
              <w:sz w:val="22"/>
              <w:szCs w:val="22"/>
              <w:lang w:eastAsia="fr-BE"/>
            </w:rPr>
          </w:pPr>
          <w:hyperlink w:anchor="_Toc55407476"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IV.</w:t>
            </w:r>
            <w:r w:rsidR="002D56AE">
              <w:rPr>
                <w:rFonts w:eastAsiaTheme="minorEastAsia" w:cstheme="minorBidi"/>
                <w:b w:val="0"/>
                <w:bCs w:val="0"/>
                <w:caps w:val="0"/>
                <w:noProof/>
                <w:sz w:val="22"/>
                <w:szCs w:val="22"/>
                <w:lang w:eastAsia="fr-BE"/>
              </w:rPr>
              <w:tab/>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Valeur et négociation de valeur en droit belge</w:t>
            </w:r>
            <w:r w:rsidR="002D56AE">
              <w:rPr>
                <w:noProof/>
                <w:webHidden/>
              </w:rPr>
              <w:tab/>
            </w:r>
            <w:r w:rsidR="002D56AE">
              <w:rPr>
                <w:noProof/>
                <w:webHidden/>
              </w:rPr>
              <w:fldChar w:fldCharType="begin"/>
            </w:r>
            <w:r w:rsidR="002D56AE">
              <w:rPr>
                <w:noProof/>
                <w:webHidden/>
              </w:rPr>
              <w:instrText xml:space="preserve"> PAGEREF _Toc55407476 \h </w:instrText>
            </w:r>
            <w:r w:rsidR="002D56AE">
              <w:rPr>
                <w:noProof/>
                <w:webHidden/>
              </w:rPr>
            </w:r>
            <w:r w:rsidR="002D56AE">
              <w:rPr>
                <w:noProof/>
                <w:webHidden/>
              </w:rPr>
              <w:fldChar w:fldCharType="separate"/>
            </w:r>
            <w:r w:rsidR="002D56AE">
              <w:rPr>
                <w:noProof/>
                <w:webHidden/>
              </w:rPr>
              <w:t>71</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77"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L’intérêt de la question</w:t>
            </w:r>
            <w:r w:rsidR="002D56AE">
              <w:rPr>
                <w:noProof/>
                <w:webHidden/>
              </w:rPr>
              <w:tab/>
            </w:r>
            <w:r w:rsidR="002D56AE">
              <w:rPr>
                <w:noProof/>
                <w:webHidden/>
              </w:rPr>
              <w:fldChar w:fldCharType="begin"/>
            </w:r>
            <w:r w:rsidR="002D56AE">
              <w:rPr>
                <w:noProof/>
                <w:webHidden/>
              </w:rPr>
              <w:instrText xml:space="preserve"> PAGEREF _Toc55407477 \h </w:instrText>
            </w:r>
            <w:r w:rsidR="002D56AE">
              <w:rPr>
                <w:noProof/>
                <w:webHidden/>
              </w:rPr>
            </w:r>
            <w:r w:rsidR="002D56AE">
              <w:rPr>
                <w:noProof/>
                <w:webHidden/>
              </w:rPr>
              <w:fldChar w:fldCharType="separate"/>
            </w:r>
            <w:r w:rsidR="002D56AE">
              <w:rPr>
                <w:noProof/>
                <w:webHidden/>
              </w:rPr>
              <w:t>71</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78"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Interprétation de l’article 490quater du CP</w:t>
            </w:r>
            <w:r w:rsidR="002D56AE">
              <w:rPr>
                <w:noProof/>
                <w:webHidden/>
              </w:rPr>
              <w:tab/>
            </w:r>
            <w:r w:rsidR="002D56AE">
              <w:rPr>
                <w:noProof/>
                <w:webHidden/>
              </w:rPr>
              <w:fldChar w:fldCharType="begin"/>
            </w:r>
            <w:r w:rsidR="002D56AE">
              <w:rPr>
                <w:noProof/>
                <w:webHidden/>
              </w:rPr>
              <w:instrText xml:space="preserve"> PAGEREF _Toc55407478 \h </w:instrText>
            </w:r>
            <w:r w:rsidR="002D56AE">
              <w:rPr>
                <w:noProof/>
                <w:webHidden/>
              </w:rPr>
            </w:r>
            <w:r w:rsidR="002D56AE">
              <w:rPr>
                <w:noProof/>
                <w:webHidden/>
              </w:rPr>
              <w:fldChar w:fldCharType="separate"/>
            </w:r>
            <w:r w:rsidR="002D56AE">
              <w:rPr>
                <w:noProof/>
                <w:webHidden/>
              </w:rPr>
              <w:t>71</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79"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La directive impose un modèle négocié</w:t>
            </w:r>
            <w:r w:rsidR="002D56AE">
              <w:rPr>
                <w:noProof/>
                <w:webHidden/>
              </w:rPr>
              <w:tab/>
            </w:r>
            <w:r w:rsidR="002D56AE">
              <w:rPr>
                <w:noProof/>
                <w:webHidden/>
              </w:rPr>
              <w:fldChar w:fldCharType="begin"/>
            </w:r>
            <w:r w:rsidR="002D56AE">
              <w:rPr>
                <w:noProof/>
                <w:webHidden/>
              </w:rPr>
              <w:instrText xml:space="preserve"> PAGEREF _Toc55407479 \h </w:instrText>
            </w:r>
            <w:r w:rsidR="002D56AE">
              <w:rPr>
                <w:noProof/>
                <w:webHidden/>
              </w:rPr>
            </w:r>
            <w:r w:rsidR="002D56AE">
              <w:rPr>
                <w:noProof/>
                <w:webHidden/>
              </w:rPr>
              <w:fldChar w:fldCharType="separate"/>
            </w:r>
            <w:r w:rsidR="002D56AE">
              <w:rPr>
                <w:noProof/>
                <w:webHidden/>
              </w:rPr>
              <w:t>73</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80" w:history="1">
            <w:r w:rsidR="002D56AE" w:rsidRPr="00431897">
              <w:rPr>
                <w:rStyle w:val="Lienhypertexte"/>
                <w:rFonts w:ascii="Times New Roman" w:hAnsi="Times New Roman" w:cs="Times New Roman"/>
                <w:noProof/>
              </w:rPr>
              <w:t>D)</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Conclusion provisoire</w:t>
            </w:r>
            <w:r w:rsidR="002D56AE">
              <w:rPr>
                <w:noProof/>
                <w:webHidden/>
              </w:rPr>
              <w:tab/>
            </w:r>
            <w:r w:rsidR="002D56AE">
              <w:rPr>
                <w:noProof/>
                <w:webHidden/>
              </w:rPr>
              <w:fldChar w:fldCharType="begin"/>
            </w:r>
            <w:r w:rsidR="002D56AE">
              <w:rPr>
                <w:noProof/>
                <w:webHidden/>
              </w:rPr>
              <w:instrText xml:space="preserve"> PAGEREF _Toc55407480 \h </w:instrText>
            </w:r>
            <w:r w:rsidR="002D56AE">
              <w:rPr>
                <w:noProof/>
                <w:webHidden/>
              </w:rPr>
            </w:r>
            <w:r w:rsidR="002D56AE">
              <w:rPr>
                <w:noProof/>
                <w:webHidden/>
              </w:rPr>
              <w:fldChar w:fldCharType="separate"/>
            </w:r>
            <w:r w:rsidR="002D56AE">
              <w:rPr>
                <w:noProof/>
                <w:webHidden/>
              </w:rPr>
              <w:t>74</w:t>
            </w:r>
            <w:r w:rsidR="002D56AE">
              <w:rPr>
                <w:noProof/>
                <w:webHidden/>
              </w:rPr>
              <w:fldChar w:fldCharType="end"/>
            </w:r>
          </w:hyperlink>
        </w:p>
        <w:p w:rsidR="002D56AE" w:rsidRDefault="004F523B">
          <w:pPr>
            <w:pStyle w:val="TM1"/>
            <w:tabs>
              <w:tab w:val="left" w:pos="440"/>
              <w:tab w:val="right" w:leader="dot" w:pos="9060"/>
            </w:tabs>
            <w:rPr>
              <w:rFonts w:eastAsiaTheme="minorEastAsia" w:cstheme="minorBidi"/>
              <w:b w:val="0"/>
              <w:bCs w:val="0"/>
              <w:caps w:val="0"/>
              <w:noProof/>
              <w:sz w:val="22"/>
              <w:szCs w:val="22"/>
              <w:lang w:eastAsia="fr-BE"/>
            </w:rPr>
          </w:pPr>
          <w:hyperlink w:anchor="_Toc55407481"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w:t>
            </w:r>
            <w:r w:rsidR="002D56AE">
              <w:rPr>
                <w:rFonts w:eastAsiaTheme="minorEastAsia" w:cstheme="minorBidi"/>
                <w:b w:val="0"/>
                <w:bCs w:val="0"/>
                <w:caps w:val="0"/>
                <w:noProof/>
                <w:sz w:val="22"/>
                <w:szCs w:val="22"/>
                <w:lang w:eastAsia="fr-BE"/>
              </w:rPr>
              <w:tab/>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Valeur et paiement des créanciers ordinaires</w:t>
            </w:r>
            <w:r w:rsidR="002D56AE">
              <w:rPr>
                <w:noProof/>
                <w:webHidden/>
              </w:rPr>
              <w:tab/>
            </w:r>
            <w:r w:rsidR="002D56AE">
              <w:rPr>
                <w:noProof/>
                <w:webHidden/>
              </w:rPr>
              <w:fldChar w:fldCharType="begin"/>
            </w:r>
            <w:r w:rsidR="002D56AE">
              <w:rPr>
                <w:noProof/>
                <w:webHidden/>
              </w:rPr>
              <w:instrText xml:space="preserve"> PAGEREF _Toc55407481 \h </w:instrText>
            </w:r>
            <w:r w:rsidR="002D56AE">
              <w:rPr>
                <w:noProof/>
                <w:webHidden/>
              </w:rPr>
            </w:r>
            <w:r w:rsidR="002D56AE">
              <w:rPr>
                <w:noProof/>
                <w:webHidden/>
              </w:rPr>
              <w:fldChar w:fldCharType="separate"/>
            </w:r>
            <w:r w:rsidR="002D56AE">
              <w:rPr>
                <w:noProof/>
                <w:webHidden/>
              </w:rPr>
              <w:t>75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82"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Position de la question</w:t>
            </w:r>
            <w:r w:rsidR="002D56AE">
              <w:rPr>
                <w:noProof/>
                <w:webHidden/>
              </w:rPr>
              <w:tab/>
            </w:r>
            <w:r w:rsidR="002D56AE">
              <w:rPr>
                <w:noProof/>
                <w:webHidden/>
              </w:rPr>
              <w:fldChar w:fldCharType="begin"/>
            </w:r>
            <w:r w:rsidR="002D56AE">
              <w:rPr>
                <w:noProof/>
                <w:webHidden/>
              </w:rPr>
              <w:instrText xml:space="preserve"> PAGEREF _Toc55407482 \h </w:instrText>
            </w:r>
            <w:r w:rsidR="002D56AE">
              <w:rPr>
                <w:noProof/>
                <w:webHidden/>
              </w:rPr>
            </w:r>
            <w:r w:rsidR="002D56AE">
              <w:rPr>
                <w:noProof/>
                <w:webHidden/>
              </w:rPr>
              <w:fldChar w:fldCharType="separate"/>
            </w:r>
            <w:r w:rsidR="002D56AE">
              <w:rPr>
                <w:noProof/>
                <w:webHidden/>
              </w:rPr>
              <w:t>75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83"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 traitement en classes</w:t>
            </w:r>
            <w:r w:rsidR="002D56AE">
              <w:rPr>
                <w:noProof/>
                <w:webHidden/>
              </w:rPr>
              <w:tab/>
            </w:r>
            <w:r w:rsidR="002D56AE">
              <w:rPr>
                <w:noProof/>
                <w:webHidden/>
              </w:rPr>
              <w:fldChar w:fldCharType="begin"/>
            </w:r>
            <w:r w:rsidR="002D56AE">
              <w:rPr>
                <w:noProof/>
                <w:webHidden/>
              </w:rPr>
              <w:instrText xml:space="preserve"> PAGEREF _Toc55407483 \h </w:instrText>
            </w:r>
            <w:r w:rsidR="002D56AE">
              <w:rPr>
                <w:noProof/>
                <w:webHidden/>
              </w:rPr>
            </w:r>
            <w:r w:rsidR="002D56AE">
              <w:rPr>
                <w:noProof/>
                <w:webHidden/>
              </w:rPr>
              <w:fldChar w:fldCharType="separate"/>
            </w:r>
            <w:r w:rsidR="002D56AE">
              <w:rPr>
                <w:noProof/>
                <w:webHidden/>
              </w:rPr>
              <w:t>75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84"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La discrimination en droit belge</w:t>
            </w:r>
            <w:r w:rsidR="002D56AE">
              <w:rPr>
                <w:noProof/>
                <w:webHidden/>
              </w:rPr>
              <w:tab/>
            </w:r>
            <w:r w:rsidR="002D56AE">
              <w:rPr>
                <w:noProof/>
                <w:webHidden/>
              </w:rPr>
              <w:fldChar w:fldCharType="begin"/>
            </w:r>
            <w:r w:rsidR="002D56AE">
              <w:rPr>
                <w:noProof/>
                <w:webHidden/>
              </w:rPr>
              <w:instrText xml:space="preserve"> PAGEREF _Toc55407484 \h </w:instrText>
            </w:r>
            <w:r w:rsidR="002D56AE">
              <w:rPr>
                <w:noProof/>
                <w:webHidden/>
              </w:rPr>
            </w:r>
            <w:r w:rsidR="002D56AE">
              <w:rPr>
                <w:noProof/>
                <w:webHidden/>
              </w:rPr>
              <w:fldChar w:fldCharType="separate"/>
            </w:r>
            <w:r w:rsidR="002D56AE">
              <w:rPr>
                <w:noProof/>
                <w:webHidden/>
              </w:rPr>
              <w:t>77</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85" w:history="1">
            <w:r w:rsidR="002D56AE" w:rsidRPr="00431897">
              <w:rPr>
                <w:rStyle w:val="Lienhypertexte"/>
                <w:rFonts w:ascii="Times New Roman" w:hAnsi="Times New Roman" w:cs="Times New Roman"/>
                <w:noProof/>
              </w:rPr>
              <w:t>D)</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 caractère absolu ou non de la règle de priorité absolue en droit US</w:t>
            </w:r>
            <w:r w:rsidR="002D56AE">
              <w:rPr>
                <w:noProof/>
                <w:webHidden/>
              </w:rPr>
              <w:tab/>
            </w:r>
            <w:r w:rsidR="002D56AE">
              <w:rPr>
                <w:noProof/>
                <w:webHidden/>
              </w:rPr>
              <w:fldChar w:fldCharType="begin"/>
            </w:r>
            <w:r w:rsidR="002D56AE">
              <w:rPr>
                <w:noProof/>
                <w:webHidden/>
              </w:rPr>
              <w:instrText xml:space="preserve"> PAGEREF _Toc55407485 \h </w:instrText>
            </w:r>
            <w:r w:rsidR="002D56AE">
              <w:rPr>
                <w:noProof/>
                <w:webHidden/>
              </w:rPr>
            </w:r>
            <w:r w:rsidR="002D56AE">
              <w:rPr>
                <w:noProof/>
                <w:webHidden/>
              </w:rPr>
              <w:fldChar w:fldCharType="separate"/>
            </w:r>
            <w:r w:rsidR="002D56AE">
              <w:rPr>
                <w:noProof/>
                <w:webHidden/>
              </w:rPr>
              <w:t>80</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86" w:history="1">
            <w:r w:rsidR="002D56AE" w:rsidRPr="00431897">
              <w:rPr>
                <w:rStyle w:val="Lienhypertexte"/>
                <w:rFonts w:ascii="Times New Roman" w:hAnsi="Times New Roman" w:cs="Times New Roman"/>
                <w:noProof/>
              </w:rPr>
              <w:t>E)</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Contestation de la proposition de paiement dans la directive</w:t>
            </w:r>
            <w:r w:rsidR="002D56AE">
              <w:rPr>
                <w:noProof/>
                <w:webHidden/>
              </w:rPr>
              <w:tab/>
            </w:r>
            <w:r w:rsidR="002D56AE">
              <w:rPr>
                <w:noProof/>
                <w:webHidden/>
              </w:rPr>
              <w:fldChar w:fldCharType="begin"/>
            </w:r>
            <w:r w:rsidR="002D56AE">
              <w:rPr>
                <w:noProof/>
                <w:webHidden/>
              </w:rPr>
              <w:instrText xml:space="preserve"> PAGEREF _Toc55407486 \h </w:instrText>
            </w:r>
            <w:r w:rsidR="002D56AE">
              <w:rPr>
                <w:noProof/>
                <w:webHidden/>
              </w:rPr>
            </w:r>
            <w:r w:rsidR="002D56AE">
              <w:rPr>
                <w:noProof/>
                <w:webHidden/>
              </w:rPr>
              <w:fldChar w:fldCharType="separate"/>
            </w:r>
            <w:r w:rsidR="002D56AE">
              <w:rPr>
                <w:noProof/>
                <w:webHidden/>
              </w:rPr>
              <w:t>82</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87" w:history="1">
            <w:r w:rsidR="002D56AE" w:rsidRPr="00431897">
              <w:rPr>
                <w:rStyle w:val="Lienhypertexte"/>
                <w:rFonts w:ascii="Times New Roman" w:hAnsi="Times New Roman" w:cs="Times New Roman"/>
                <w:noProof/>
              </w:rPr>
              <w:t>F)</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Conclusion provisoire</w:t>
            </w:r>
            <w:r w:rsidR="002D56AE">
              <w:rPr>
                <w:noProof/>
                <w:webHidden/>
              </w:rPr>
              <w:tab/>
            </w:r>
            <w:r w:rsidR="002D56AE">
              <w:rPr>
                <w:noProof/>
                <w:webHidden/>
              </w:rPr>
              <w:fldChar w:fldCharType="begin"/>
            </w:r>
            <w:r w:rsidR="002D56AE">
              <w:rPr>
                <w:noProof/>
                <w:webHidden/>
              </w:rPr>
              <w:instrText xml:space="preserve"> PAGEREF _Toc55407487 \h </w:instrText>
            </w:r>
            <w:r w:rsidR="002D56AE">
              <w:rPr>
                <w:noProof/>
                <w:webHidden/>
              </w:rPr>
            </w:r>
            <w:r w:rsidR="002D56AE">
              <w:rPr>
                <w:noProof/>
                <w:webHidden/>
              </w:rPr>
              <w:fldChar w:fldCharType="separate"/>
            </w:r>
            <w:r w:rsidR="002D56AE">
              <w:rPr>
                <w:noProof/>
                <w:webHidden/>
              </w:rPr>
              <w:t>84</w:t>
            </w:r>
            <w:r w:rsidR="002D56AE">
              <w:rPr>
                <w:noProof/>
                <w:webHidden/>
              </w:rPr>
              <w:fldChar w:fldCharType="end"/>
            </w:r>
          </w:hyperlink>
        </w:p>
        <w:p w:rsidR="002D56AE" w:rsidRDefault="004F523B">
          <w:pPr>
            <w:pStyle w:val="TM1"/>
            <w:tabs>
              <w:tab w:val="left" w:pos="660"/>
              <w:tab w:val="right" w:leader="dot" w:pos="9060"/>
            </w:tabs>
            <w:rPr>
              <w:rFonts w:eastAsiaTheme="minorEastAsia" w:cstheme="minorBidi"/>
              <w:b w:val="0"/>
              <w:bCs w:val="0"/>
              <w:caps w:val="0"/>
              <w:noProof/>
              <w:sz w:val="22"/>
              <w:szCs w:val="22"/>
              <w:lang w:eastAsia="fr-BE"/>
            </w:rPr>
          </w:pPr>
          <w:hyperlink w:anchor="_Toc55407488"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VI.</w:t>
            </w:r>
            <w:r w:rsidR="002D56AE">
              <w:rPr>
                <w:rFonts w:eastAsiaTheme="minorEastAsia" w:cstheme="minorBidi"/>
                <w:b w:val="0"/>
                <w:bCs w:val="0"/>
                <w:caps w:val="0"/>
                <w:noProof/>
                <w:sz w:val="22"/>
                <w:szCs w:val="22"/>
                <w:lang w:eastAsia="fr-BE"/>
              </w:rPr>
              <w:tab/>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La Valeur lors du paiement en actions</w:t>
            </w:r>
            <w:r w:rsidR="002D56AE">
              <w:rPr>
                <w:noProof/>
                <w:webHidden/>
              </w:rPr>
              <w:tab/>
            </w:r>
            <w:r w:rsidR="002D56AE">
              <w:rPr>
                <w:noProof/>
                <w:webHidden/>
              </w:rPr>
              <w:fldChar w:fldCharType="begin"/>
            </w:r>
            <w:r w:rsidR="002D56AE">
              <w:rPr>
                <w:noProof/>
                <w:webHidden/>
              </w:rPr>
              <w:instrText xml:space="preserve"> PAGEREF _Toc55407488 \h </w:instrText>
            </w:r>
            <w:r w:rsidR="002D56AE">
              <w:rPr>
                <w:noProof/>
                <w:webHidden/>
              </w:rPr>
            </w:r>
            <w:r w:rsidR="002D56AE">
              <w:rPr>
                <w:noProof/>
                <w:webHidden/>
              </w:rPr>
              <w:fldChar w:fldCharType="separate"/>
            </w:r>
            <w:r w:rsidR="002D56AE">
              <w:rPr>
                <w:noProof/>
                <w:webHidden/>
              </w:rPr>
              <w:t>85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89"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Position de la question</w:t>
            </w:r>
            <w:r w:rsidR="002D56AE">
              <w:rPr>
                <w:noProof/>
                <w:webHidden/>
              </w:rPr>
              <w:tab/>
            </w:r>
            <w:r w:rsidR="002D56AE">
              <w:rPr>
                <w:noProof/>
                <w:webHidden/>
              </w:rPr>
              <w:fldChar w:fldCharType="begin"/>
            </w:r>
            <w:r w:rsidR="002D56AE">
              <w:rPr>
                <w:noProof/>
                <w:webHidden/>
              </w:rPr>
              <w:instrText xml:space="preserve"> PAGEREF _Toc55407489 \h </w:instrText>
            </w:r>
            <w:r w:rsidR="002D56AE">
              <w:rPr>
                <w:noProof/>
                <w:webHidden/>
              </w:rPr>
            </w:r>
            <w:r w:rsidR="002D56AE">
              <w:rPr>
                <w:noProof/>
                <w:webHidden/>
              </w:rPr>
              <w:fldChar w:fldCharType="separate"/>
            </w:r>
            <w:r w:rsidR="002D56AE">
              <w:rPr>
                <w:noProof/>
                <w:webHidden/>
              </w:rPr>
              <w:t>85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90"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En droit Américain</w:t>
            </w:r>
            <w:r w:rsidR="002D56AE">
              <w:rPr>
                <w:noProof/>
                <w:webHidden/>
              </w:rPr>
              <w:tab/>
            </w:r>
            <w:r w:rsidR="002D56AE">
              <w:rPr>
                <w:noProof/>
                <w:webHidden/>
              </w:rPr>
              <w:fldChar w:fldCharType="begin"/>
            </w:r>
            <w:r w:rsidR="002D56AE">
              <w:rPr>
                <w:noProof/>
                <w:webHidden/>
              </w:rPr>
              <w:instrText xml:space="preserve"> PAGEREF _Toc55407490 \h </w:instrText>
            </w:r>
            <w:r w:rsidR="002D56AE">
              <w:rPr>
                <w:noProof/>
                <w:webHidden/>
              </w:rPr>
            </w:r>
            <w:r w:rsidR="002D56AE">
              <w:rPr>
                <w:noProof/>
                <w:webHidden/>
              </w:rPr>
              <w:fldChar w:fldCharType="separate"/>
            </w:r>
            <w:r w:rsidR="002D56AE">
              <w:rPr>
                <w:noProof/>
                <w:webHidden/>
              </w:rPr>
              <w:t>85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91"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Est-ce que la conversion est un traitement différencié ?</w:t>
            </w:r>
            <w:r w:rsidR="002D56AE">
              <w:rPr>
                <w:noProof/>
                <w:webHidden/>
              </w:rPr>
              <w:tab/>
            </w:r>
            <w:r w:rsidR="002D56AE">
              <w:rPr>
                <w:noProof/>
                <w:webHidden/>
              </w:rPr>
              <w:fldChar w:fldCharType="begin"/>
            </w:r>
            <w:r w:rsidR="002D56AE">
              <w:rPr>
                <w:noProof/>
                <w:webHidden/>
              </w:rPr>
              <w:instrText xml:space="preserve"> PAGEREF _Toc55407491 \h </w:instrText>
            </w:r>
            <w:r w:rsidR="002D56AE">
              <w:rPr>
                <w:noProof/>
                <w:webHidden/>
              </w:rPr>
            </w:r>
            <w:r w:rsidR="002D56AE">
              <w:rPr>
                <w:noProof/>
                <w:webHidden/>
              </w:rPr>
              <w:fldChar w:fldCharType="separate"/>
            </w:r>
            <w:r w:rsidR="002D56AE">
              <w:rPr>
                <w:noProof/>
                <w:webHidden/>
              </w:rPr>
              <w:t>88</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92" w:history="1">
            <w:r w:rsidR="002D56AE" w:rsidRPr="00431897">
              <w:rPr>
                <w:rStyle w:val="Lienhypertexte"/>
                <w:rFonts w:ascii="Times New Roman" w:hAnsi="Times New Roman" w:cs="Times New Roman"/>
                <w:noProof/>
              </w:rPr>
              <w:t>D)</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Traitement selon la directive</w:t>
            </w:r>
            <w:r w:rsidR="002D56AE">
              <w:rPr>
                <w:noProof/>
                <w:webHidden/>
              </w:rPr>
              <w:tab/>
            </w:r>
            <w:r w:rsidR="002D56AE">
              <w:rPr>
                <w:noProof/>
                <w:webHidden/>
              </w:rPr>
              <w:fldChar w:fldCharType="begin"/>
            </w:r>
            <w:r w:rsidR="002D56AE">
              <w:rPr>
                <w:noProof/>
                <w:webHidden/>
              </w:rPr>
              <w:instrText xml:space="preserve"> PAGEREF _Toc55407492 \h </w:instrText>
            </w:r>
            <w:r w:rsidR="002D56AE">
              <w:rPr>
                <w:noProof/>
                <w:webHidden/>
              </w:rPr>
            </w:r>
            <w:r w:rsidR="002D56AE">
              <w:rPr>
                <w:noProof/>
                <w:webHidden/>
              </w:rPr>
              <w:fldChar w:fldCharType="separate"/>
            </w:r>
            <w:r w:rsidR="002D56AE">
              <w:rPr>
                <w:noProof/>
                <w:webHidden/>
              </w:rPr>
              <w:t>93</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93" w:history="1">
            <w:r w:rsidR="002D56AE" w:rsidRPr="00431897">
              <w:rPr>
                <w:rStyle w:val="Lienhypertexte"/>
                <w:rFonts w:ascii="Times New Roman" w:hAnsi="Times New Roman" w:cs="Times New Roman"/>
                <w:noProof/>
              </w:rPr>
              <w:t>E)</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Conclusion provisoire</w:t>
            </w:r>
            <w:r w:rsidR="002D56AE">
              <w:rPr>
                <w:noProof/>
                <w:webHidden/>
              </w:rPr>
              <w:tab/>
            </w:r>
            <w:r w:rsidR="002D56AE">
              <w:rPr>
                <w:noProof/>
                <w:webHidden/>
              </w:rPr>
              <w:fldChar w:fldCharType="begin"/>
            </w:r>
            <w:r w:rsidR="002D56AE">
              <w:rPr>
                <w:noProof/>
                <w:webHidden/>
              </w:rPr>
              <w:instrText xml:space="preserve"> PAGEREF _Toc55407493 \h </w:instrText>
            </w:r>
            <w:r w:rsidR="002D56AE">
              <w:rPr>
                <w:noProof/>
                <w:webHidden/>
              </w:rPr>
            </w:r>
            <w:r w:rsidR="002D56AE">
              <w:rPr>
                <w:noProof/>
                <w:webHidden/>
              </w:rPr>
              <w:fldChar w:fldCharType="separate"/>
            </w:r>
            <w:r w:rsidR="002D56AE">
              <w:rPr>
                <w:noProof/>
                <w:webHidden/>
              </w:rPr>
              <w:t>94</w:t>
            </w:r>
            <w:r w:rsidR="002D56AE">
              <w:rPr>
                <w:noProof/>
                <w:webHidden/>
              </w:rPr>
              <w:fldChar w:fldCharType="end"/>
            </w:r>
          </w:hyperlink>
        </w:p>
        <w:p w:rsidR="002D56AE" w:rsidRDefault="004F523B">
          <w:pPr>
            <w:pStyle w:val="TM1"/>
            <w:tabs>
              <w:tab w:val="left" w:pos="660"/>
              <w:tab w:val="right" w:leader="dot" w:pos="9060"/>
            </w:tabs>
            <w:rPr>
              <w:rFonts w:eastAsiaTheme="minorEastAsia" w:cstheme="minorBidi"/>
              <w:b w:val="0"/>
              <w:bCs w:val="0"/>
              <w:caps w:val="0"/>
              <w:noProof/>
              <w:sz w:val="22"/>
              <w:szCs w:val="22"/>
              <w:lang w:eastAsia="fr-BE"/>
            </w:rPr>
          </w:pPr>
          <w:hyperlink w:anchor="_Toc55407494"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VII.</w:t>
            </w:r>
            <w:r w:rsidR="002D56AE">
              <w:rPr>
                <w:rFonts w:eastAsiaTheme="minorEastAsia" w:cstheme="minorBidi"/>
                <w:b w:val="0"/>
                <w:bCs w:val="0"/>
                <w:caps w:val="0"/>
                <w:noProof/>
                <w:sz w:val="22"/>
                <w:szCs w:val="22"/>
                <w:lang w:eastAsia="fr-BE"/>
              </w:rPr>
              <w:tab/>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Valeur et périmètre social (PLESSERS)</w:t>
            </w:r>
            <w:r w:rsidR="002D56AE">
              <w:rPr>
                <w:noProof/>
                <w:webHidden/>
              </w:rPr>
              <w:tab/>
            </w:r>
            <w:r w:rsidR="002D56AE">
              <w:rPr>
                <w:noProof/>
                <w:webHidden/>
              </w:rPr>
              <w:fldChar w:fldCharType="begin"/>
            </w:r>
            <w:r w:rsidR="002D56AE">
              <w:rPr>
                <w:noProof/>
                <w:webHidden/>
              </w:rPr>
              <w:instrText xml:space="preserve"> PAGEREF _Toc55407494 \h </w:instrText>
            </w:r>
            <w:r w:rsidR="002D56AE">
              <w:rPr>
                <w:noProof/>
                <w:webHidden/>
              </w:rPr>
            </w:r>
            <w:r w:rsidR="002D56AE">
              <w:rPr>
                <w:noProof/>
                <w:webHidden/>
              </w:rPr>
              <w:fldChar w:fldCharType="separate"/>
            </w:r>
            <w:r w:rsidR="002D56AE">
              <w:rPr>
                <w:noProof/>
                <w:webHidden/>
              </w:rPr>
              <w:t>95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95"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Position de la question</w:t>
            </w:r>
            <w:r w:rsidR="002D56AE">
              <w:rPr>
                <w:noProof/>
                <w:webHidden/>
              </w:rPr>
              <w:tab/>
            </w:r>
            <w:r w:rsidR="002D56AE">
              <w:rPr>
                <w:noProof/>
                <w:webHidden/>
              </w:rPr>
              <w:fldChar w:fldCharType="begin"/>
            </w:r>
            <w:r w:rsidR="002D56AE">
              <w:rPr>
                <w:noProof/>
                <w:webHidden/>
              </w:rPr>
              <w:instrText xml:space="preserve"> PAGEREF _Toc55407495 \h </w:instrText>
            </w:r>
            <w:r w:rsidR="002D56AE">
              <w:rPr>
                <w:noProof/>
                <w:webHidden/>
              </w:rPr>
            </w:r>
            <w:r w:rsidR="002D56AE">
              <w:rPr>
                <w:noProof/>
                <w:webHidden/>
              </w:rPr>
              <w:fldChar w:fldCharType="separate"/>
            </w:r>
            <w:r w:rsidR="002D56AE">
              <w:rPr>
                <w:noProof/>
                <w:webHidden/>
              </w:rPr>
              <w:t>95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96"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La jurisprudence de la CJUE</w:t>
            </w:r>
            <w:r w:rsidR="002D56AE">
              <w:rPr>
                <w:noProof/>
                <w:webHidden/>
              </w:rPr>
              <w:tab/>
            </w:r>
            <w:r w:rsidR="002D56AE">
              <w:rPr>
                <w:noProof/>
                <w:webHidden/>
              </w:rPr>
              <w:fldChar w:fldCharType="begin"/>
            </w:r>
            <w:r w:rsidR="002D56AE">
              <w:rPr>
                <w:noProof/>
                <w:webHidden/>
              </w:rPr>
              <w:instrText xml:space="preserve"> PAGEREF _Toc55407496 \h </w:instrText>
            </w:r>
            <w:r w:rsidR="002D56AE">
              <w:rPr>
                <w:noProof/>
                <w:webHidden/>
              </w:rPr>
            </w:r>
            <w:r w:rsidR="002D56AE">
              <w:rPr>
                <w:noProof/>
                <w:webHidden/>
              </w:rPr>
              <w:fldChar w:fldCharType="separate"/>
            </w:r>
            <w:r w:rsidR="002D56AE">
              <w:rPr>
                <w:noProof/>
                <w:webHidden/>
              </w:rPr>
              <w:t>95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97"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La maximalisation du dividende</w:t>
            </w:r>
            <w:r w:rsidR="002D56AE">
              <w:rPr>
                <w:noProof/>
                <w:webHidden/>
              </w:rPr>
              <w:tab/>
            </w:r>
            <w:r w:rsidR="002D56AE">
              <w:rPr>
                <w:noProof/>
                <w:webHidden/>
              </w:rPr>
              <w:fldChar w:fldCharType="begin"/>
            </w:r>
            <w:r w:rsidR="002D56AE">
              <w:rPr>
                <w:noProof/>
                <w:webHidden/>
              </w:rPr>
              <w:instrText xml:space="preserve"> PAGEREF _Toc55407497 \h </w:instrText>
            </w:r>
            <w:r w:rsidR="002D56AE">
              <w:rPr>
                <w:noProof/>
                <w:webHidden/>
              </w:rPr>
            </w:r>
            <w:r w:rsidR="002D56AE">
              <w:rPr>
                <w:noProof/>
                <w:webHidden/>
              </w:rPr>
              <w:fldChar w:fldCharType="separate"/>
            </w:r>
            <w:r w:rsidR="002D56AE">
              <w:rPr>
                <w:noProof/>
                <w:webHidden/>
              </w:rPr>
              <w:t>96</w:t>
            </w:r>
            <w:r w:rsidR="002D56AE">
              <w:rPr>
                <w:noProof/>
                <w:webHidden/>
              </w:rPr>
              <w:fldChar w:fldCharType="end"/>
            </w:r>
          </w:hyperlink>
        </w:p>
        <w:p w:rsidR="002D56AE" w:rsidRDefault="004F523B">
          <w:pPr>
            <w:pStyle w:val="TM1"/>
            <w:tabs>
              <w:tab w:val="left" w:pos="660"/>
              <w:tab w:val="right" w:leader="dot" w:pos="9060"/>
            </w:tabs>
            <w:rPr>
              <w:rFonts w:eastAsiaTheme="minorEastAsia" w:cstheme="minorBidi"/>
              <w:b w:val="0"/>
              <w:bCs w:val="0"/>
              <w:caps w:val="0"/>
              <w:noProof/>
              <w:sz w:val="22"/>
              <w:szCs w:val="22"/>
              <w:lang w:eastAsia="fr-BE"/>
            </w:rPr>
          </w:pPr>
          <w:hyperlink w:anchor="_Toc55407498"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VIII.</w:t>
            </w:r>
            <w:r w:rsidR="002D56AE">
              <w:rPr>
                <w:rFonts w:eastAsiaTheme="minorEastAsia" w:cstheme="minorBidi"/>
                <w:b w:val="0"/>
                <w:bCs w:val="0"/>
                <w:caps w:val="0"/>
                <w:noProof/>
                <w:sz w:val="22"/>
                <w:szCs w:val="22"/>
                <w:lang w:eastAsia="fr-BE"/>
              </w:rPr>
              <w:tab/>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Le juge de l’insolvabilité et la valeur</w:t>
            </w:r>
            <w:r w:rsidR="002D56AE">
              <w:rPr>
                <w:noProof/>
                <w:webHidden/>
              </w:rPr>
              <w:tab/>
            </w:r>
            <w:r w:rsidR="002D56AE">
              <w:rPr>
                <w:noProof/>
                <w:webHidden/>
              </w:rPr>
              <w:fldChar w:fldCharType="begin"/>
            </w:r>
            <w:r w:rsidR="002D56AE">
              <w:rPr>
                <w:noProof/>
                <w:webHidden/>
              </w:rPr>
              <w:instrText xml:space="preserve"> PAGEREF _Toc55407498 \h </w:instrText>
            </w:r>
            <w:r w:rsidR="002D56AE">
              <w:rPr>
                <w:noProof/>
                <w:webHidden/>
              </w:rPr>
            </w:r>
            <w:r w:rsidR="002D56AE">
              <w:rPr>
                <w:noProof/>
                <w:webHidden/>
              </w:rPr>
              <w:fldChar w:fldCharType="separate"/>
            </w:r>
            <w:r w:rsidR="002D56AE">
              <w:rPr>
                <w:noProof/>
                <w:webHidden/>
              </w:rPr>
              <w:t>97</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499"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L’ordre public économique</w:t>
            </w:r>
            <w:r w:rsidR="002D56AE">
              <w:rPr>
                <w:noProof/>
                <w:webHidden/>
              </w:rPr>
              <w:tab/>
            </w:r>
            <w:r w:rsidR="002D56AE">
              <w:rPr>
                <w:noProof/>
                <w:webHidden/>
              </w:rPr>
              <w:fldChar w:fldCharType="begin"/>
            </w:r>
            <w:r w:rsidR="002D56AE">
              <w:rPr>
                <w:noProof/>
                <w:webHidden/>
              </w:rPr>
              <w:instrText xml:space="preserve"> PAGEREF _Toc55407499 \h </w:instrText>
            </w:r>
            <w:r w:rsidR="002D56AE">
              <w:rPr>
                <w:noProof/>
                <w:webHidden/>
              </w:rPr>
            </w:r>
            <w:r w:rsidR="002D56AE">
              <w:rPr>
                <w:noProof/>
                <w:webHidden/>
              </w:rPr>
              <w:fldChar w:fldCharType="separate"/>
            </w:r>
            <w:r w:rsidR="002D56AE">
              <w:rPr>
                <w:noProof/>
                <w:webHidden/>
              </w:rPr>
              <w:t>97</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00"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 contrôle des valeurs</w:t>
            </w:r>
            <w:r w:rsidR="002D56AE">
              <w:rPr>
                <w:noProof/>
                <w:webHidden/>
              </w:rPr>
              <w:tab/>
            </w:r>
            <w:r w:rsidR="002D56AE">
              <w:rPr>
                <w:noProof/>
                <w:webHidden/>
              </w:rPr>
              <w:fldChar w:fldCharType="begin"/>
            </w:r>
            <w:r w:rsidR="002D56AE">
              <w:rPr>
                <w:noProof/>
                <w:webHidden/>
              </w:rPr>
              <w:instrText xml:space="preserve"> PAGEREF _Toc55407500 \h </w:instrText>
            </w:r>
            <w:r w:rsidR="002D56AE">
              <w:rPr>
                <w:noProof/>
                <w:webHidden/>
              </w:rPr>
            </w:r>
            <w:r w:rsidR="002D56AE">
              <w:rPr>
                <w:noProof/>
                <w:webHidden/>
              </w:rPr>
              <w:fldChar w:fldCharType="separate"/>
            </w:r>
            <w:r w:rsidR="002D56AE">
              <w:rPr>
                <w:noProof/>
                <w:webHidden/>
              </w:rPr>
              <w:t>99</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01"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 juge et la priorité absolue ou relative</w:t>
            </w:r>
            <w:r w:rsidR="002D56AE">
              <w:rPr>
                <w:noProof/>
                <w:webHidden/>
              </w:rPr>
              <w:tab/>
            </w:r>
            <w:r w:rsidR="002D56AE">
              <w:rPr>
                <w:noProof/>
                <w:webHidden/>
              </w:rPr>
              <w:fldChar w:fldCharType="begin"/>
            </w:r>
            <w:r w:rsidR="002D56AE">
              <w:rPr>
                <w:noProof/>
                <w:webHidden/>
              </w:rPr>
              <w:instrText xml:space="preserve"> PAGEREF _Toc55407501 \h </w:instrText>
            </w:r>
            <w:r w:rsidR="002D56AE">
              <w:rPr>
                <w:noProof/>
                <w:webHidden/>
              </w:rPr>
            </w:r>
            <w:r w:rsidR="002D56AE">
              <w:rPr>
                <w:noProof/>
                <w:webHidden/>
              </w:rPr>
              <w:fldChar w:fldCharType="separate"/>
            </w:r>
            <w:r w:rsidR="002D56AE">
              <w:rPr>
                <w:noProof/>
                <w:webHidden/>
              </w:rPr>
              <w:t>102</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02" w:history="1">
            <w:r w:rsidR="002D56AE" w:rsidRPr="00431897">
              <w:rPr>
                <w:rStyle w:val="Lienhypertexte"/>
                <w:rFonts w:ascii="Times New Roman" w:hAnsi="Times New Roman" w:cs="Times New Roman"/>
                <w:noProof/>
              </w:rPr>
              <w:t>D)</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Correction du pouvoir du juge : l’indemnité</w:t>
            </w:r>
            <w:r w:rsidR="002D56AE">
              <w:rPr>
                <w:noProof/>
                <w:webHidden/>
              </w:rPr>
              <w:tab/>
            </w:r>
            <w:r w:rsidR="002D56AE">
              <w:rPr>
                <w:noProof/>
                <w:webHidden/>
              </w:rPr>
              <w:fldChar w:fldCharType="begin"/>
            </w:r>
            <w:r w:rsidR="002D56AE">
              <w:rPr>
                <w:noProof/>
                <w:webHidden/>
              </w:rPr>
              <w:instrText xml:space="preserve"> PAGEREF _Toc55407502 \h </w:instrText>
            </w:r>
            <w:r w:rsidR="002D56AE">
              <w:rPr>
                <w:noProof/>
                <w:webHidden/>
              </w:rPr>
            </w:r>
            <w:r w:rsidR="002D56AE">
              <w:rPr>
                <w:noProof/>
                <w:webHidden/>
              </w:rPr>
              <w:fldChar w:fldCharType="separate"/>
            </w:r>
            <w:r w:rsidR="002D56AE">
              <w:rPr>
                <w:noProof/>
                <w:webHidden/>
              </w:rPr>
              <w:t>104</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03" w:history="1">
            <w:r w:rsidR="002D56AE" w:rsidRPr="00431897">
              <w:rPr>
                <w:rStyle w:val="Lienhypertexte"/>
                <w:rFonts w:ascii="Times New Roman" w:hAnsi="Times New Roman" w:cs="Times New Roman"/>
                <w:noProof/>
              </w:rPr>
              <w:t>E)</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Juge et « </w:t>
            </w:r>
            <w:r w:rsidR="002D56AE" w:rsidRPr="00431897">
              <w:rPr>
                <w:rStyle w:val="Lienhypertexte"/>
                <w:rFonts w:ascii="Times New Roman" w:hAnsi="Times New Roman" w:cs="Times New Roman"/>
                <w:i/>
                <w:noProof/>
              </w:rPr>
              <w:t>Fair</w:t>
            </w:r>
            <w:r w:rsidR="002D56AE" w:rsidRPr="00431897">
              <w:rPr>
                <w:rStyle w:val="Lienhypertexte"/>
                <w:rFonts w:ascii="Times New Roman" w:hAnsi="Times New Roman" w:cs="Times New Roman"/>
                <w:noProof/>
              </w:rPr>
              <w:t> &amp; equitable »</w:t>
            </w:r>
            <w:r w:rsidR="002D56AE">
              <w:rPr>
                <w:noProof/>
                <w:webHidden/>
              </w:rPr>
              <w:tab/>
            </w:r>
            <w:r w:rsidR="002D56AE">
              <w:rPr>
                <w:noProof/>
                <w:webHidden/>
              </w:rPr>
              <w:fldChar w:fldCharType="begin"/>
            </w:r>
            <w:r w:rsidR="002D56AE">
              <w:rPr>
                <w:noProof/>
                <w:webHidden/>
              </w:rPr>
              <w:instrText xml:space="preserve"> PAGEREF _Toc55407503 \h </w:instrText>
            </w:r>
            <w:r w:rsidR="002D56AE">
              <w:rPr>
                <w:noProof/>
                <w:webHidden/>
              </w:rPr>
            </w:r>
            <w:r w:rsidR="002D56AE">
              <w:rPr>
                <w:noProof/>
                <w:webHidden/>
              </w:rPr>
              <w:fldChar w:fldCharType="separate"/>
            </w:r>
            <w:r w:rsidR="002D56AE">
              <w:rPr>
                <w:noProof/>
                <w:webHidden/>
              </w:rPr>
              <w:t>105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04" w:history="1">
            <w:r w:rsidR="002D56AE" w:rsidRPr="00431897">
              <w:rPr>
                <w:rStyle w:val="Lienhypertexte"/>
                <w:rFonts w:ascii="Times New Roman" w:hAnsi="Times New Roman" w:cs="Times New Roman"/>
                <w:noProof/>
              </w:rPr>
              <w:t>F)</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Juge et priorité relative</w:t>
            </w:r>
            <w:r w:rsidR="002D56AE">
              <w:rPr>
                <w:noProof/>
                <w:webHidden/>
              </w:rPr>
              <w:tab/>
            </w:r>
            <w:r w:rsidR="002D56AE">
              <w:rPr>
                <w:noProof/>
                <w:webHidden/>
              </w:rPr>
              <w:fldChar w:fldCharType="begin"/>
            </w:r>
            <w:r w:rsidR="002D56AE">
              <w:rPr>
                <w:noProof/>
                <w:webHidden/>
              </w:rPr>
              <w:instrText xml:space="preserve"> PAGEREF _Toc55407504 \h </w:instrText>
            </w:r>
            <w:r w:rsidR="002D56AE">
              <w:rPr>
                <w:noProof/>
                <w:webHidden/>
              </w:rPr>
            </w:r>
            <w:r w:rsidR="002D56AE">
              <w:rPr>
                <w:noProof/>
                <w:webHidden/>
              </w:rPr>
              <w:fldChar w:fldCharType="separate"/>
            </w:r>
            <w:r w:rsidR="002D56AE">
              <w:rPr>
                <w:noProof/>
                <w:webHidden/>
              </w:rPr>
              <w:t>105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05" w:history="1">
            <w:r w:rsidR="002D56AE" w:rsidRPr="00431897">
              <w:rPr>
                <w:rStyle w:val="Lienhypertexte"/>
                <w:rFonts w:ascii="Times New Roman" w:hAnsi="Times New Roman" w:cs="Times New Roman"/>
                <w:noProof/>
              </w:rPr>
              <w:t>G)</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Juge et suspension des poursuites</w:t>
            </w:r>
            <w:r w:rsidR="002D56AE">
              <w:rPr>
                <w:noProof/>
                <w:webHidden/>
              </w:rPr>
              <w:tab/>
            </w:r>
            <w:r w:rsidR="002D56AE">
              <w:rPr>
                <w:noProof/>
                <w:webHidden/>
              </w:rPr>
              <w:fldChar w:fldCharType="begin"/>
            </w:r>
            <w:r w:rsidR="002D56AE">
              <w:rPr>
                <w:noProof/>
                <w:webHidden/>
              </w:rPr>
              <w:instrText xml:space="preserve"> PAGEREF _Toc55407505 \h </w:instrText>
            </w:r>
            <w:r w:rsidR="002D56AE">
              <w:rPr>
                <w:noProof/>
                <w:webHidden/>
              </w:rPr>
            </w:r>
            <w:r w:rsidR="002D56AE">
              <w:rPr>
                <w:noProof/>
                <w:webHidden/>
              </w:rPr>
              <w:fldChar w:fldCharType="separate"/>
            </w:r>
            <w:r w:rsidR="002D56AE">
              <w:rPr>
                <w:noProof/>
                <w:webHidden/>
              </w:rPr>
              <w:t>106</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06" w:history="1">
            <w:r w:rsidR="002D56AE" w:rsidRPr="00431897">
              <w:rPr>
                <w:rStyle w:val="Lienhypertexte"/>
                <w:rFonts w:ascii="Times New Roman" w:hAnsi="Times New Roman" w:cs="Times New Roman"/>
                <w:noProof/>
              </w:rPr>
              <w:t>H)</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 juge et les financement</w:t>
            </w:r>
            <w:r w:rsidR="002D56AE">
              <w:rPr>
                <w:noProof/>
                <w:webHidden/>
              </w:rPr>
              <w:tab/>
            </w:r>
            <w:r w:rsidR="002D56AE">
              <w:rPr>
                <w:noProof/>
                <w:webHidden/>
              </w:rPr>
              <w:fldChar w:fldCharType="begin"/>
            </w:r>
            <w:r w:rsidR="002D56AE">
              <w:rPr>
                <w:noProof/>
                <w:webHidden/>
              </w:rPr>
              <w:instrText xml:space="preserve"> PAGEREF _Toc55407506 \h </w:instrText>
            </w:r>
            <w:r w:rsidR="002D56AE">
              <w:rPr>
                <w:noProof/>
                <w:webHidden/>
              </w:rPr>
            </w:r>
            <w:r w:rsidR="002D56AE">
              <w:rPr>
                <w:noProof/>
                <w:webHidden/>
              </w:rPr>
              <w:fldChar w:fldCharType="separate"/>
            </w:r>
            <w:r w:rsidR="002D56AE">
              <w:rPr>
                <w:noProof/>
                <w:webHidden/>
              </w:rPr>
              <w:t>106</w:t>
            </w:r>
            <w:r w:rsidR="002D56AE">
              <w:rPr>
                <w:noProof/>
                <w:webHidden/>
              </w:rPr>
              <w:fldChar w:fldCharType="end"/>
            </w:r>
          </w:hyperlink>
        </w:p>
        <w:p w:rsidR="002D56AE" w:rsidRDefault="004F523B">
          <w:pPr>
            <w:pStyle w:val="TM1"/>
            <w:tabs>
              <w:tab w:val="left" w:pos="660"/>
              <w:tab w:val="right" w:leader="dot" w:pos="9060"/>
            </w:tabs>
            <w:rPr>
              <w:rFonts w:eastAsiaTheme="minorEastAsia" w:cstheme="minorBidi"/>
              <w:b w:val="0"/>
              <w:bCs w:val="0"/>
              <w:caps w:val="0"/>
              <w:noProof/>
              <w:sz w:val="22"/>
              <w:szCs w:val="22"/>
              <w:lang w:eastAsia="fr-BE"/>
            </w:rPr>
          </w:pPr>
          <w:hyperlink w:anchor="_Toc55407507"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IX.</w:t>
            </w:r>
            <w:r w:rsidR="002D56AE">
              <w:rPr>
                <w:rFonts w:eastAsiaTheme="minorEastAsia" w:cstheme="minorBidi"/>
                <w:b w:val="0"/>
                <w:bCs w:val="0"/>
                <w:caps w:val="0"/>
                <w:noProof/>
                <w:sz w:val="22"/>
                <w:szCs w:val="22"/>
                <w:lang w:eastAsia="fr-BE"/>
              </w:rPr>
              <w:tab/>
            </w:r>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Valeur et administrateurs, médiateurs, avocats, experts et praticiens de l’insolvabilité – nouvelle pratique</w:t>
            </w:r>
            <w:r w:rsidR="002D56AE">
              <w:rPr>
                <w:noProof/>
                <w:webHidden/>
              </w:rPr>
              <w:tab/>
            </w:r>
            <w:r w:rsidR="002D56AE">
              <w:rPr>
                <w:noProof/>
                <w:webHidden/>
              </w:rPr>
              <w:fldChar w:fldCharType="begin"/>
            </w:r>
            <w:r w:rsidR="002D56AE">
              <w:rPr>
                <w:noProof/>
                <w:webHidden/>
              </w:rPr>
              <w:instrText xml:space="preserve"> PAGEREF _Toc55407507 \h </w:instrText>
            </w:r>
            <w:r w:rsidR="002D56AE">
              <w:rPr>
                <w:noProof/>
                <w:webHidden/>
              </w:rPr>
            </w:r>
            <w:r w:rsidR="002D56AE">
              <w:rPr>
                <w:noProof/>
                <w:webHidden/>
              </w:rPr>
              <w:fldChar w:fldCharType="separate"/>
            </w:r>
            <w:r w:rsidR="002D56AE">
              <w:rPr>
                <w:noProof/>
                <w:webHidden/>
              </w:rPr>
              <w:t>107</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08" w:history="1">
            <w:r w:rsidR="002D56AE" w:rsidRPr="00431897">
              <w:rPr>
                <w:rStyle w:val="Lienhypertexte"/>
                <w:rFonts w:ascii="Times New Roman" w:hAnsi="Times New Roman" w:cs="Times New Roman"/>
                <w:b/>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Les actionnaires et les dirigeants</w:t>
            </w:r>
            <w:r w:rsidR="002D56AE">
              <w:rPr>
                <w:noProof/>
                <w:webHidden/>
              </w:rPr>
              <w:tab/>
            </w:r>
            <w:r w:rsidR="002D56AE">
              <w:rPr>
                <w:noProof/>
                <w:webHidden/>
              </w:rPr>
              <w:fldChar w:fldCharType="begin"/>
            </w:r>
            <w:r w:rsidR="002D56AE">
              <w:rPr>
                <w:noProof/>
                <w:webHidden/>
              </w:rPr>
              <w:instrText xml:space="preserve"> PAGEREF _Toc55407508 \h </w:instrText>
            </w:r>
            <w:r w:rsidR="002D56AE">
              <w:rPr>
                <w:noProof/>
                <w:webHidden/>
              </w:rPr>
            </w:r>
            <w:r w:rsidR="002D56AE">
              <w:rPr>
                <w:noProof/>
                <w:webHidden/>
              </w:rPr>
              <w:fldChar w:fldCharType="separate"/>
            </w:r>
            <w:r w:rsidR="002D56AE">
              <w:rPr>
                <w:noProof/>
                <w:webHidden/>
              </w:rPr>
              <w:t>107</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09" w:history="1">
            <w:r w:rsidR="002D56AE" w:rsidRPr="00431897">
              <w:rPr>
                <w:rStyle w:val="Lienhypertexte"/>
                <w:rFonts w:ascii="Times New Roman" w:hAnsi="Times New Roman" w:cs="Times New Roman"/>
                <w:b/>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Les professionnels de l’insolvabilité</w:t>
            </w:r>
            <w:r w:rsidR="002D56AE">
              <w:rPr>
                <w:noProof/>
                <w:webHidden/>
              </w:rPr>
              <w:tab/>
            </w:r>
            <w:r w:rsidR="002D56AE">
              <w:rPr>
                <w:noProof/>
                <w:webHidden/>
              </w:rPr>
              <w:fldChar w:fldCharType="begin"/>
            </w:r>
            <w:r w:rsidR="002D56AE">
              <w:rPr>
                <w:noProof/>
                <w:webHidden/>
              </w:rPr>
              <w:instrText xml:space="preserve"> PAGEREF _Toc55407509 \h </w:instrText>
            </w:r>
            <w:r w:rsidR="002D56AE">
              <w:rPr>
                <w:noProof/>
                <w:webHidden/>
              </w:rPr>
            </w:r>
            <w:r w:rsidR="002D56AE">
              <w:rPr>
                <w:noProof/>
                <w:webHidden/>
              </w:rPr>
              <w:fldChar w:fldCharType="separate"/>
            </w:r>
            <w:r w:rsidR="002D56AE">
              <w:rPr>
                <w:noProof/>
                <w:webHidden/>
              </w:rPr>
              <w:t>107</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10" w:history="1">
            <w:r w:rsidR="002D56AE" w:rsidRPr="00431897">
              <w:rPr>
                <w:rStyle w:val="Lienhypertexte"/>
                <w:rFonts w:ascii="Times New Roman" w:hAnsi="Times New Roman" w:cs="Times New Roman"/>
                <w:b/>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Les avocats</w:t>
            </w:r>
            <w:r w:rsidR="002D56AE">
              <w:rPr>
                <w:noProof/>
                <w:webHidden/>
              </w:rPr>
              <w:tab/>
            </w:r>
            <w:r w:rsidR="002D56AE">
              <w:rPr>
                <w:noProof/>
                <w:webHidden/>
              </w:rPr>
              <w:fldChar w:fldCharType="begin"/>
            </w:r>
            <w:r w:rsidR="002D56AE">
              <w:rPr>
                <w:noProof/>
                <w:webHidden/>
              </w:rPr>
              <w:instrText xml:space="preserve"> PAGEREF _Toc55407510 \h </w:instrText>
            </w:r>
            <w:r w:rsidR="002D56AE">
              <w:rPr>
                <w:noProof/>
                <w:webHidden/>
              </w:rPr>
            </w:r>
            <w:r w:rsidR="002D56AE">
              <w:rPr>
                <w:noProof/>
                <w:webHidden/>
              </w:rPr>
              <w:fldChar w:fldCharType="separate"/>
            </w:r>
            <w:r w:rsidR="002D56AE">
              <w:rPr>
                <w:noProof/>
                <w:webHidden/>
              </w:rPr>
              <w:t>109</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11" w:history="1">
            <w:r w:rsidR="002D56AE" w:rsidRPr="00431897">
              <w:rPr>
                <w:rStyle w:val="Lienhypertexte"/>
                <w:rFonts w:ascii="Times New Roman" w:hAnsi="Times New Roman" w:cs="Times New Roman"/>
                <w:b/>
                <w:noProof/>
              </w:rPr>
              <w:t>D)</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Les experts</w:t>
            </w:r>
            <w:r w:rsidR="002D56AE">
              <w:rPr>
                <w:noProof/>
                <w:webHidden/>
              </w:rPr>
              <w:tab/>
            </w:r>
            <w:r w:rsidR="002D56AE">
              <w:rPr>
                <w:noProof/>
                <w:webHidden/>
              </w:rPr>
              <w:fldChar w:fldCharType="begin"/>
            </w:r>
            <w:r w:rsidR="002D56AE">
              <w:rPr>
                <w:noProof/>
                <w:webHidden/>
              </w:rPr>
              <w:instrText xml:space="preserve"> PAGEREF _Toc55407511 \h </w:instrText>
            </w:r>
            <w:r w:rsidR="002D56AE">
              <w:rPr>
                <w:noProof/>
                <w:webHidden/>
              </w:rPr>
            </w:r>
            <w:r w:rsidR="002D56AE">
              <w:rPr>
                <w:noProof/>
                <w:webHidden/>
              </w:rPr>
              <w:fldChar w:fldCharType="separate"/>
            </w:r>
            <w:r w:rsidR="002D56AE">
              <w:rPr>
                <w:noProof/>
                <w:webHidden/>
              </w:rPr>
              <w:t>109</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12" w:history="1">
            <w:r w:rsidR="002D56AE" w:rsidRPr="00431897">
              <w:rPr>
                <w:rStyle w:val="Lienhypertexte"/>
                <w:rFonts w:ascii="Times New Roman" w:hAnsi="Times New Roman" w:cs="Times New Roman"/>
                <w:b/>
                <w:noProof/>
              </w:rPr>
              <w:t>E)</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Nouvelles responsabilités</w:t>
            </w:r>
            <w:r w:rsidR="002D56AE">
              <w:rPr>
                <w:noProof/>
                <w:webHidden/>
              </w:rPr>
              <w:tab/>
            </w:r>
            <w:r w:rsidR="002D56AE">
              <w:rPr>
                <w:noProof/>
                <w:webHidden/>
              </w:rPr>
              <w:fldChar w:fldCharType="begin"/>
            </w:r>
            <w:r w:rsidR="002D56AE">
              <w:rPr>
                <w:noProof/>
                <w:webHidden/>
              </w:rPr>
              <w:instrText xml:space="preserve"> PAGEREF _Toc55407512 \h </w:instrText>
            </w:r>
            <w:r w:rsidR="002D56AE">
              <w:rPr>
                <w:noProof/>
                <w:webHidden/>
              </w:rPr>
            </w:r>
            <w:r w:rsidR="002D56AE">
              <w:rPr>
                <w:noProof/>
                <w:webHidden/>
              </w:rPr>
              <w:fldChar w:fldCharType="separate"/>
            </w:r>
            <w:r w:rsidR="002D56AE">
              <w:rPr>
                <w:noProof/>
                <w:webHidden/>
              </w:rPr>
              <w:t>110</w:t>
            </w:r>
            <w:r w:rsidR="002D56AE">
              <w:rPr>
                <w:noProof/>
                <w:webHidden/>
              </w:rPr>
              <w:fldChar w:fldCharType="end"/>
            </w:r>
          </w:hyperlink>
        </w:p>
        <w:p w:rsidR="002D56AE" w:rsidRDefault="004F523B">
          <w:pPr>
            <w:pStyle w:val="TM1"/>
            <w:tabs>
              <w:tab w:val="right" w:leader="dot" w:pos="9060"/>
            </w:tabs>
            <w:rPr>
              <w:rFonts w:eastAsiaTheme="minorEastAsia" w:cstheme="minorBidi"/>
              <w:b w:val="0"/>
              <w:bCs w:val="0"/>
              <w:caps w:val="0"/>
              <w:noProof/>
              <w:sz w:val="22"/>
              <w:szCs w:val="22"/>
              <w:lang w:eastAsia="fr-BE"/>
            </w:rPr>
          </w:pPr>
          <w:hyperlink w:anchor="_Toc55407513" w:history="1">
            <w:r w:rsidR="002D56AE" w:rsidRPr="00431897">
              <w:rPr>
                <w:rStyle w:val="Lienhypertexte"/>
                <w:rFonts w:ascii="Times New Roman" w:hAnsi="Times New Roman" w:cs="Times New Roman"/>
                <w:noProof/>
                <w14:shadow w14:blurRad="50800" w14:dist="38100" w14:dir="2700000" w14:sx="100000" w14:sy="100000" w14:kx="0" w14:ky="0" w14:algn="tl">
                  <w14:srgbClr w14:val="000000">
                    <w14:alpha w14:val="60000"/>
                  </w14:srgbClr>
                </w14:shadow>
              </w:rPr>
              <w:t xml:space="preserve">Conclusions : Nouveaux axes du droit de l’insolvabilité- enjeux pour les </w:t>
            </w:r>
            <w:r w:rsidR="002D56AE" w:rsidRPr="00431897">
              <w:rPr>
                <w:rStyle w:val="Lienhypertexte"/>
                <w:rFonts w:ascii="Times New Roman" w:hAnsi="Times New Roman" w:cs="Times New Roman"/>
                <w:i/>
                <w:noProof/>
                <w14:shadow w14:blurRad="50800" w14:dist="38100" w14:dir="2700000" w14:sx="100000" w14:sy="100000" w14:kx="0" w14:ky="0" w14:algn="tl">
                  <w14:srgbClr w14:val="000000">
                    <w14:alpha w14:val="60000"/>
                  </w14:srgbClr>
                </w14:shadow>
              </w:rPr>
              <w:t>stakeholders</w:t>
            </w:r>
            <w:r w:rsidR="002D56AE">
              <w:rPr>
                <w:noProof/>
                <w:webHidden/>
              </w:rPr>
              <w:tab/>
            </w:r>
            <w:r w:rsidR="002D56AE">
              <w:rPr>
                <w:noProof/>
                <w:webHidden/>
              </w:rPr>
              <w:fldChar w:fldCharType="begin"/>
            </w:r>
            <w:r w:rsidR="002D56AE">
              <w:rPr>
                <w:noProof/>
                <w:webHidden/>
              </w:rPr>
              <w:instrText xml:space="preserve"> PAGEREF _Toc55407513 \h </w:instrText>
            </w:r>
            <w:r w:rsidR="002D56AE">
              <w:rPr>
                <w:noProof/>
                <w:webHidden/>
              </w:rPr>
            </w:r>
            <w:r w:rsidR="002D56AE">
              <w:rPr>
                <w:noProof/>
                <w:webHidden/>
              </w:rPr>
              <w:fldChar w:fldCharType="separate"/>
            </w:r>
            <w:r w:rsidR="002D56AE">
              <w:rPr>
                <w:noProof/>
                <w:webHidden/>
              </w:rPr>
              <w:t>112</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14" w:history="1">
            <w:r w:rsidR="002D56AE" w:rsidRPr="00431897">
              <w:rPr>
                <w:rStyle w:val="Lienhypertexte"/>
                <w:rFonts w:ascii="Times New Roman" w:hAnsi="Times New Roman" w:cs="Times New Roman"/>
                <w:noProof/>
              </w:rPr>
              <w:t>A)</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Nouveaux ou pas nouveaux ?</w:t>
            </w:r>
            <w:r w:rsidR="002D56AE">
              <w:rPr>
                <w:noProof/>
                <w:webHidden/>
              </w:rPr>
              <w:tab/>
            </w:r>
            <w:r w:rsidR="002D56AE">
              <w:rPr>
                <w:noProof/>
                <w:webHidden/>
              </w:rPr>
              <w:fldChar w:fldCharType="begin"/>
            </w:r>
            <w:r w:rsidR="002D56AE">
              <w:rPr>
                <w:noProof/>
                <w:webHidden/>
              </w:rPr>
              <w:instrText xml:space="preserve"> PAGEREF _Toc55407514 \h </w:instrText>
            </w:r>
            <w:r w:rsidR="002D56AE">
              <w:rPr>
                <w:noProof/>
                <w:webHidden/>
              </w:rPr>
            </w:r>
            <w:r w:rsidR="002D56AE">
              <w:rPr>
                <w:noProof/>
                <w:webHidden/>
              </w:rPr>
              <w:fldChar w:fldCharType="separate"/>
            </w:r>
            <w:r w:rsidR="002D56AE">
              <w:rPr>
                <w:noProof/>
                <w:webHidden/>
              </w:rPr>
              <w:t>112</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15" w:history="1">
            <w:r w:rsidR="002D56AE" w:rsidRPr="00431897">
              <w:rPr>
                <w:rStyle w:val="Lienhypertexte"/>
                <w:rFonts w:ascii="Times New Roman" w:hAnsi="Times New Roman" w:cs="Times New Roman"/>
                <w:noProof/>
              </w:rPr>
              <w:t>B)</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Règles de priorité absolue ou priorité relative</w:t>
            </w:r>
            <w:r w:rsidR="002D56AE">
              <w:rPr>
                <w:noProof/>
                <w:webHidden/>
              </w:rPr>
              <w:tab/>
            </w:r>
            <w:r w:rsidR="002D56AE">
              <w:rPr>
                <w:noProof/>
                <w:webHidden/>
              </w:rPr>
              <w:fldChar w:fldCharType="begin"/>
            </w:r>
            <w:r w:rsidR="002D56AE">
              <w:rPr>
                <w:noProof/>
                <w:webHidden/>
              </w:rPr>
              <w:instrText xml:space="preserve"> PAGEREF _Toc55407515 \h </w:instrText>
            </w:r>
            <w:r w:rsidR="002D56AE">
              <w:rPr>
                <w:noProof/>
                <w:webHidden/>
              </w:rPr>
            </w:r>
            <w:r w:rsidR="002D56AE">
              <w:rPr>
                <w:noProof/>
                <w:webHidden/>
              </w:rPr>
              <w:fldChar w:fldCharType="separate"/>
            </w:r>
            <w:r w:rsidR="002D56AE">
              <w:rPr>
                <w:noProof/>
                <w:webHidden/>
              </w:rPr>
              <w:t>113</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16" w:history="1">
            <w:r w:rsidR="002D56AE" w:rsidRPr="00431897">
              <w:rPr>
                <w:rStyle w:val="Lienhypertexte"/>
                <w:rFonts w:ascii="Times New Roman" w:hAnsi="Times New Roman" w:cs="Times New Roman"/>
                <w:noProof/>
              </w:rPr>
              <w:t>C)</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Les autres règles essentielles</w:t>
            </w:r>
            <w:r w:rsidR="002D56AE">
              <w:rPr>
                <w:noProof/>
                <w:webHidden/>
              </w:rPr>
              <w:tab/>
            </w:r>
            <w:r w:rsidR="002D56AE">
              <w:rPr>
                <w:noProof/>
                <w:webHidden/>
              </w:rPr>
              <w:fldChar w:fldCharType="begin"/>
            </w:r>
            <w:r w:rsidR="002D56AE">
              <w:rPr>
                <w:noProof/>
                <w:webHidden/>
              </w:rPr>
              <w:instrText xml:space="preserve"> PAGEREF _Toc55407516 \h </w:instrText>
            </w:r>
            <w:r w:rsidR="002D56AE">
              <w:rPr>
                <w:noProof/>
                <w:webHidden/>
              </w:rPr>
            </w:r>
            <w:r w:rsidR="002D56AE">
              <w:rPr>
                <w:noProof/>
                <w:webHidden/>
              </w:rPr>
              <w:fldChar w:fldCharType="separate"/>
            </w:r>
            <w:r w:rsidR="002D56AE">
              <w:rPr>
                <w:noProof/>
                <w:webHidden/>
              </w:rPr>
              <w:t>114</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17" w:history="1">
            <w:r w:rsidR="002D56AE" w:rsidRPr="00431897">
              <w:rPr>
                <w:rStyle w:val="Lienhypertexte"/>
                <w:rFonts w:ascii="Times New Roman" w:hAnsi="Times New Roman" w:cs="Times New Roman"/>
                <w:noProof/>
              </w:rPr>
              <w:t>D)</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Propositions pour la loi de transposition</w:t>
            </w:r>
            <w:r w:rsidR="002D56AE">
              <w:rPr>
                <w:noProof/>
                <w:webHidden/>
              </w:rPr>
              <w:tab/>
            </w:r>
            <w:r w:rsidR="002D56AE">
              <w:rPr>
                <w:noProof/>
                <w:webHidden/>
              </w:rPr>
              <w:fldChar w:fldCharType="begin"/>
            </w:r>
            <w:r w:rsidR="002D56AE">
              <w:rPr>
                <w:noProof/>
                <w:webHidden/>
              </w:rPr>
              <w:instrText xml:space="preserve"> PAGEREF _Toc55407517 \h </w:instrText>
            </w:r>
            <w:r w:rsidR="002D56AE">
              <w:rPr>
                <w:noProof/>
                <w:webHidden/>
              </w:rPr>
            </w:r>
            <w:r w:rsidR="002D56AE">
              <w:rPr>
                <w:noProof/>
                <w:webHidden/>
              </w:rPr>
              <w:fldChar w:fldCharType="separate"/>
            </w:r>
            <w:r w:rsidR="002D56AE">
              <w:rPr>
                <w:noProof/>
                <w:webHidden/>
              </w:rPr>
              <w:t>115</w:t>
            </w:r>
            <w:r w:rsidR="002D56AE">
              <w:rPr>
                <w:noProof/>
                <w:webHidden/>
              </w:rPr>
              <w:fldChar w:fldCharType="end"/>
            </w:r>
          </w:hyperlink>
        </w:p>
        <w:p w:rsidR="002D56AE" w:rsidRDefault="004F523B">
          <w:pPr>
            <w:pStyle w:val="TM2"/>
            <w:tabs>
              <w:tab w:val="left" w:pos="660"/>
              <w:tab w:val="right" w:leader="dot" w:pos="9060"/>
            </w:tabs>
            <w:rPr>
              <w:rFonts w:eastAsiaTheme="minorEastAsia" w:cstheme="minorBidi"/>
              <w:smallCaps w:val="0"/>
              <w:noProof/>
              <w:sz w:val="22"/>
              <w:szCs w:val="22"/>
              <w:lang w:eastAsia="fr-BE"/>
            </w:rPr>
          </w:pPr>
          <w:hyperlink w:anchor="_Toc55407518" w:history="1">
            <w:r w:rsidR="002D56AE" w:rsidRPr="00431897">
              <w:rPr>
                <w:rStyle w:val="Lienhypertexte"/>
                <w:rFonts w:ascii="Times New Roman" w:hAnsi="Times New Roman" w:cs="Times New Roman"/>
                <w:noProof/>
              </w:rPr>
              <w:t>E)</w:t>
            </w:r>
            <w:r w:rsidR="002D56AE">
              <w:rPr>
                <w:rFonts w:eastAsiaTheme="minorEastAsia" w:cstheme="minorBidi"/>
                <w:smallCaps w:val="0"/>
                <w:noProof/>
                <w:sz w:val="22"/>
                <w:szCs w:val="22"/>
                <w:lang w:eastAsia="fr-BE"/>
              </w:rPr>
              <w:tab/>
            </w:r>
            <w:r w:rsidR="002D56AE" w:rsidRPr="00431897">
              <w:rPr>
                <w:rStyle w:val="Lienhypertexte"/>
                <w:rFonts w:ascii="Times New Roman" w:hAnsi="Times New Roman" w:cs="Times New Roman"/>
                <w:noProof/>
              </w:rPr>
              <w:t>Droit comparé</w:t>
            </w:r>
            <w:r w:rsidR="002D56AE">
              <w:rPr>
                <w:noProof/>
                <w:webHidden/>
              </w:rPr>
              <w:tab/>
            </w:r>
            <w:r w:rsidR="002D56AE">
              <w:rPr>
                <w:noProof/>
                <w:webHidden/>
              </w:rPr>
              <w:fldChar w:fldCharType="begin"/>
            </w:r>
            <w:r w:rsidR="002D56AE">
              <w:rPr>
                <w:noProof/>
                <w:webHidden/>
              </w:rPr>
              <w:instrText xml:space="preserve"> PAGEREF _Toc55407518 \h </w:instrText>
            </w:r>
            <w:r w:rsidR="002D56AE">
              <w:rPr>
                <w:noProof/>
                <w:webHidden/>
              </w:rPr>
            </w:r>
            <w:r w:rsidR="002D56AE">
              <w:rPr>
                <w:noProof/>
                <w:webHidden/>
              </w:rPr>
              <w:fldChar w:fldCharType="separate"/>
            </w:r>
            <w:r w:rsidR="002D56AE">
              <w:rPr>
                <w:noProof/>
                <w:webHidden/>
              </w:rPr>
              <w:t>117</w:t>
            </w:r>
            <w:r w:rsidR="002D56AE">
              <w:rPr>
                <w:noProof/>
                <w:webHidden/>
              </w:rPr>
              <w:fldChar w:fldCharType="end"/>
            </w:r>
          </w:hyperlink>
        </w:p>
        <w:p w:rsidR="008064D7" w:rsidRDefault="008064D7" w:rsidP="00155D77">
          <w:pPr>
            <w:rPr>
              <w:rFonts w:ascii="Times New Roman" w:hAnsi="Times New Roman"/>
              <w:b/>
              <w:smallCaps/>
              <w:sz w:val="28"/>
              <w14:shadow w14:blurRad="50800" w14:dist="38100" w14:dir="2700000" w14:sx="100000" w14:sy="100000" w14:kx="0" w14:ky="0" w14:algn="tl">
                <w14:srgbClr w14:val="000000">
                  <w14:alpha w14:val="60000"/>
                </w14:srgbClr>
              </w14:shadow>
            </w:rPr>
          </w:pPr>
          <w:r>
            <w:rPr>
              <w:b/>
              <w:bCs/>
              <w:lang w:val="fr-FR"/>
            </w:rPr>
            <w:fldChar w:fldCharType="end"/>
          </w:r>
        </w:p>
      </w:sdtContent>
    </w:sdt>
    <w:p w:rsidR="00585FD5" w:rsidRDefault="00585FD5">
      <w:pPr>
        <w:spacing w:after="160" w:line="259" w:lineRule="auto"/>
        <w:jc w:val="left"/>
        <w:rPr>
          <w:rFonts w:ascii="Times New Roman" w:eastAsiaTheme="majorEastAsia" w:hAnsi="Times New Roman"/>
          <w:color w:val="2E74B5" w:themeColor="accent1" w:themeShade="BF"/>
          <w:sz w:val="32"/>
          <w:szCs w:val="32"/>
          <w14:shadow w14:blurRad="50800" w14:dist="38100" w14:dir="2700000" w14:sx="100000" w14:sy="100000" w14:kx="0" w14:ky="0" w14:algn="tl">
            <w14:srgbClr w14:val="000000">
              <w14:alpha w14:val="60000"/>
            </w14:srgbClr>
          </w14:shadow>
        </w:rPr>
      </w:pPr>
      <w:bookmarkStart w:id="0" w:name="_Toc55407447"/>
      <w:r>
        <w:rPr>
          <w:rFonts w:ascii="Times New Roman" w:hAnsi="Times New Roman"/>
          <w14:shadow w14:blurRad="50800" w14:dist="38100" w14:dir="2700000" w14:sx="100000" w14:sy="100000" w14:kx="0" w14:ky="0" w14:algn="tl">
            <w14:srgbClr w14:val="000000">
              <w14:alpha w14:val="60000"/>
            </w14:srgbClr>
          </w14:shadow>
        </w:rPr>
        <w:br w:type="page"/>
      </w:r>
    </w:p>
    <w:p w:rsidR="008064D7" w:rsidRPr="00AB22BB" w:rsidRDefault="008064D7" w:rsidP="00AB22BB">
      <w:pPr>
        <w:pStyle w:val="Titre1"/>
        <w:rPr>
          <w:rFonts w:ascii="Times New Roman" w:hAnsi="Times New Roman" w:cs="Times New Roman"/>
          <w14:shadow w14:blurRad="50800" w14:dist="38100" w14:dir="2700000" w14:sx="100000" w14:sy="100000" w14:kx="0" w14:ky="0" w14:algn="tl">
            <w14:srgbClr w14:val="000000">
              <w14:alpha w14:val="60000"/>
            </w14:srgbClr>
          </w14:shadow>
        </w:rPr>
      </w:pPr>
      <w:r w:rsidRPr="00576D73">
        <w:rPr>
          <w:rFonts w:ascii="Times New Roman" w:hAnsi="Times New Roman" w:cs="Times New Roman"/>
          <w14:shadow w14:blurRad="50800" w14:dist="38100" w14:dir="2700000" w14:sx="100000" w14:sy="100000" w14:kx="0" w14:ky="0" w14:algn="tl">
            <w14:srgbClr w14:val="000000">
              <w14:alpha w14:val="60000"/>
            </w14:srgbClr>
          </w14:shadow>
        </w:rPr>
        <w:lastRenderedPageBreak/>
        <w:t xml:space="preserve">Objet </w:t>
      </w:r>
      <w:r>
        <w:rPr>
          <w:rFonts w:ascii="Times New Roman" w:hAnsi="Times New Roman" w:cs="Times New Roman"/>
          <w14:shadow w14:blurRad="50800" w14:dist="38100" w14:dir="2700000" w14:sx="100000" w14:sy="100000" w14:kx="0" w14:ky="0" w14:algn="tl">
            <w14:srgbClr w14:val="000000">
              <w14:alpha w14:val="60000"/>
            </w14:srgbClr>
          </w14:shadow>
        </w:rPr>
        <w:t>de la contribution</w:t>
      </w:r>
      <w:bookmarkEnd w:id="0"/>
      <w:r>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rsidR="00175943" w:rsidRPr="00DC2A2B" w:rsidRDefault="008064D7" w:rsidP="00936DB9">
      <w:pPr>
        <w:pStyle w:val="Paragraphedeliste"/>
        <w:numPr>
          <w:ilvl w:val="0"/>
          <w:numId w:val="2"/>
        </w:numPr>
        <w:spacing w:line="240" w:lineRule="auto"/>
        <w:rPr>
          <w:rFonts w:ascii="Times New Roman" w:hAnsi="Times New Roman"/>
        </w:rPr>
      </w:pPr>
      <w:r w:rsidRPr="004238C7">
        <w:rPr>
          <w:rFonts w:ascii="Times New Roman" w:hAnsi="Times New Roman"/>
          <w:sz w:val="24"/>
          <w:u w:val="single"/>
        </w:rPr>
        <w:t xml:space="preserve">L’objectif de cette contribution </w:t>
      </w:r>
      <w:r w:rsidRPr="004238C7">
        <w:rPr>
          <w:rFonts w:ascii="Times New Roman" w:hAnsi="Times New Roman"/>
          <w:sz w:val="24"/>
        </w:rPr>
        <w:t xml:space="preserve">est d’examiner </w:t>
      </w:r>
      <w:r w:rsidR="00175943">
        <w:rPr>
          <w:rFonts w:ascii="Times New Roman" w:hAnsi="Times New Roman"/>
          <w:sz w:val="24"/>
        </w:rPr>
        <w:t>l</w:t>
      </w:r>
      <w:r w:rsidRPr="004238C7">
        <w:rPr>
          <w:rFonts w:ascii="Times New Roman" w:hAnsi="Times New Roman"/>
          <w:sz w:val="24"/>
        </w:rPr>
        <w:t xml:space="preserve">e concept  « In the money » </w:t>
      </w:r>
      <w:r w:rsidR="00175943">
        <w:rPr>
          <w:rFonts w:ascii="Times New Roman" w:hAnsi="Times New Roman"/>
          <w:sz w:val="24"/>
        </w:rPr>
        <w:t xml:space="preserve">qui semble s’imposer dans le </w:t>
      </w:r>
      <w:r w:rsidRPr="004238C7">
        <w:rPr>
          <w:rFonts w:ascii="Times New Roman" w:hAnsi="Times New Roman"/>
          <w:sz w:val="24"/>
        </w:rPr>
        <w:t>droit de l’insolvabilité</w:t>
      </w:r>
      <w:r w:rsidR="00175943">
        <w:rPr>
          <w:rFonts w:ascii="Times New Roman" w:hAnsi="Times New Roman"/>
          <w:sz w:val="24"/>
        </w:rPr>
        <w:t xml:space="preserve"> moderne </w:t>
      </w:r>
      <w:r w:rsidRPr="004238C7">
        <w:rPr>
          <w:rFonts w:ascii="Times New Roman" w:hAnsi="Times New Roman"/>
          <w:sz w:val="24"/>
        </w:rPr>
        <w:t xml:space="preserve"> – littéralement</w:t>
      </w:r>
      <w:r w:rsidR="00175943">
        <w:rPr>
          <w:rFonts w:ascii="Times New Roman" w:hAnsi="Times New Roman"/>
          <w:sz w:val="24"/>
        </w:rPr>
        <w:t xml:space="preserve"> traduit</w:t>
      </w:r>
      <w:r w:rsidRPr="004238C7">
        <w:rPr>
          <w:rFonts w:ascii="Times New Roman" w:hAnsi="Times New Roman"/>
          <w:sz w:val="24"/>
        </w:rPr>
        <w:t xml:space="preserve">- « dans la valeur » </w:t>
      </w:r>
      <w:r w:rsidR="00175943">
        <w:rPr>
          <w:rFonts w:ascii="Times New Roman" w:hAnsi="Times New Roman"/>
          <w:sz w:val="24"/>
        </w:rPr>
        <w:t>et qui a vrai dire est déjà repris d</w:t>
      </w:r>
      <w:r w:rsidRPr="004238C7">
        <w:rPr>
          <w:rFonts w:ascii="Times New Roman" w:hAnsi="Times New Roman"/>
          <w:sz w:val="24"/>
        </w:rPr>
        <w:t xml:space="preserve">ans le Code de Droit économique </w:t>
      </w:r>
      <w:r w:rsidR="00175943">
        <w:rPr>
          <w:rFonts w:ascii="Times New Roman" w:hAnsi="Times New Roman"/>
          <w:sz w:val="24"/>
        </w:rPr>
        <w:t xml:space="preserve">, </w:t>
      </w:r>
      <w:r w:rsidRPr="004238C7">
        <w:rPr>
          <w:rFonts w:ascii="Times New Roman" w:hAnsi="Times New Roman"/>
          <w:sz w:val="24"/>
        </w:rPr>
        <w:t xml:space="preserve">en particulier </w:t>
      </w:r>
      <w:r w:rsidR="00175943">
        <w:rPr>
          <w:rFonts w:ascii="Times New Roman" w:hAnsi="Times New Roman"/>
          <w:sz w:val="24"/>
        </w:rPr>
        <w:t>aux</w:t>
      </w:r>
      <w:r w:rsidRPr="004238C7">
        <w:rPr>
          <w:rFonts w:ascii="Times New Roman" w:hAnsi="Times New Roman"/>
          <w:sz w:val="24"/>
        </w:rPr>
        <w:t xml:space="preserve"> articles I ; 22 14°, XX 58 XX72,XX 73 XX 79  XX 87 </w:t>
      </w:r>
      <w:r w:rsidR="00175943">
        <w:rPr>
          <w:rFonts w:ascii="Times New Roman" w:hAnsi="Times New Roman"/>
          <w:sz w:val="24"/>
        </w:rPr>
        <w:t xml:space="preserve">à travers </w:t>
      </w:r>
      <w:r>
        <w:rPr>
          <w:rFonts w:ascii="Times New Roman" w:hAnsi="Times New Roman"/>
          <w:sz w:val="24"/>
        </w:rPr>
        <w:t xml:space="preserve"> notamment la notion de valeur going-concern, de valeur de liquidation, de non-discrimination,</w:t>
      </w:r>
      <w:r w:rsidR="00175943">
        <w:rPr>
          <w:rFonts w:ascii="Times New Roman" w:hAnsi="Times New Roman"/>
          <w:sz w:val="24"/>
        </w:rPr>
        <w:t xml:space="preserve"> de traitement proportionnel,…</w:t>
      </w:r>
      <w:r>
        <w:rPr>
          <w:rFonts w:ascii="Times New Roman" w:hAnsi="Times New Roman"/>
          <w:sz w:val="24"/>
        </w:rPr>
        <w:t xml:space="preserve">mais aussi </w:t>
      </w:r>
      <w:r w:rsidR="00175943">
        <w:rPr>
          <w:rFonts w:ascii="Times New Roman" w:hAnsi="Times New Roman"/>
          <w:sz w:val="24"/>
        </w:rPr>
        <w:t xml:space="preserve">indirectement à </w:t>
      </w:r>
      <w:r>
        <w:rPr>
          <w:rFonts w:ascii="Times New Roman" w:hAnsi="Times New Roman"/>
          <w:sz w:val="24"/>
        </w:rPr>
        <w:t>l’a</w:t>
      </w:r>
      <w:r w:rsidR="00936DB9">
        <w:rPr>
          <w:rFonts w:ascii="Times New Roman" w:hAnsi="Times New Roman"/>
          <w:sz w:val="24"/>
        </w:rPr>
        <w:t>rticle 490 quater du Code pénal ;</w:t>
      </w:r>
    </w:p>
    <w:p w:rsidR="00175943" w:rsidRDefault="00175943" w:rsidP="00175943">
      <w:pPr>
        <w:pStyle w:val="Paragraphedeliste"/>
        <w:spacing w:line="240" w:lineRule="auto"/>
        <w:ind w:left="786"/>
        <w:rPr>
          <w:rFonts w:ascii="Times New Roman" w:hAnsi="Times New Roman"/>
          <w:sz w:val="24"/>
          <w:u w:val="single"/>
        </w:rPr>
      </w:pPr>
    </w:p>
    <w:p w:rsidR="00175943" w:rsidRDefault="00175943" w:rsidP="00175943">
      <w:pPr>
        <w:pStyle w:val="Paragraphedeliste"/>
        <w:spacing w:line="240" w:lineRule="auto"/>
        <w:ind w:left="786"/>
        <w:rPr>
          <w:rFonts w:ascii="Times New Roman" w:hAnsi="Times New Roman"/>
          <w:sz w:val="24"/>
        </w:rPr>
      </w:pPr>
      <w:r>
        <w:rPr>
          <w:rFonts w:ascii="Times New Roman" w:hAnsi="Times New Roman"/>
          <w:sz w:val="24"/>
        </w:rPr>
        <w:t xml:space="preserve">Ce concept </w:t>
      </w:r>
      <w:r w:rsidR="004F523B">
        <w:rPr>
          <w:rFonts w:ascii="Times New Roman" w:hAnsi="Times New Roman"/>
          <w:sz w:val="24"/>
        </w:rPr>
        <w:t>est</w:t>
      </w:r>
      <w:r>
        <w:rPr>
          <w:rFonts w:ascii="Times New Roman" w:hAnsi="Times New Roman"/>
          <w:sz w:val="24"/>
        </w:rPr>
        <w:t xml:space="preserve"> repris dans la</w:t>
      </w:r>
      <w:r w:rsidR="008064D7" w:rsidRPr="004238C7">
        <w:rPr>
          <w:rFonts w:ascii="Times New Roman" w:hAnsi="Times New Roman"/>
          <w:sz w:val="24"/>
        </w:rPr>
        <w:t xml:space="preserve"> directive européenne sur les restructuration d’entreprises</w:t>
      </w:r>
      <w:r w:rsidR="008064D7">
        <w:rPr>
          <w:rStyle w:val="Appelnotedebasdep"/>
          <w:rFonts w:ascii="Times New Roman" w:hAnsi="Times New Roman"/>
          <w:sz w:val="24"/>
          <w:u w:val="single"/>
        </w:rPr>
        <w:footnoteReference w:id="3"/>
      </w:r>
      <w:r w:rsidR="008064D7" w:rsidRPr="004238C7">
        <w:rPr>
          <w:rFonts w:ascii="Times New Roman" w:hAnsi="Times New Roman"/>
          <w:sz w:val="24"/>
        </w:rPr>
        <w:t xml:space="preserve"> </w:t>
      </w:r>
      <w:r>
        <w:rPr>
          <w:rFonts w:ascii="Times New Roman" w:hAnsi="Times New Roman"/>
          <w:sz w:val="24"/>
        </w:rPr>
        <w:t xml:space="preserve"> que la loi Belge doit transposer</w:t>
      </w:r>
      <w:r w:rsidR="00936DB9">
        <w:rPr>
          <w:rFonts w:ascii="Times New Roman" w:hAnsi="Times New Roman"/>
          <w:sz w:val="24"/>
        </w:rPr>
        <w:t>.</w:t>
      </w:r>
    </w:p>
    <w:p w:rsidR="00175943" w:rsidRDefault="00175943" w:rsidP="00175943">
      <w:pPr>
        <w:pStyle w:val="Paragraphedeliste"/>
        <w:spacing w:line="240" w:lineRule="auto"/>
        <w:ind w:left="786"/>
        <w:rPr>
          <w:rFonts w:ascii="Times New Roman" w:hAnsi="Times New Roman"/>
          <w:sz w:val="24"/>
        </w:rPr>
      </w:pPr>
    </w:p>
    <w:p w:rsidR="008064D7" w:rsidRPr="00175943" w:rsidRDefault="00175943" w:rsidP="00175943">
      <w:pPr>
        <w:pStyle w:val="Paragraphedeliste"/>
        <w:spacing w:line="240" w:lineRule="auto"/>
        <w:ind w:left="786"/>
        <w:rPr>
          <w:rFonts w:ascii="Times New Roman" w:hAnsi="Times New Roman"/>
          <w:sz w:val="24"/>
        </w:rPr>
      </w:pPr>
      <w:r>
        <w:rPr>
          <w:rFonts w:ascii="Times New Roman" w:hAnsi="Times New Roman"/>
          <w:sz w:val="24"/>
        </w:rPr>
        <w:t xml:space="preserve">Ce concept provient directement du droit Américain qu’il faut donc examiner </w:t>
      </w:r>
      <w:r>
        <w:rPr>
          <w:rStyle w:val="Appelnotedebasdep"/>
          <w:rFonts w:ascii="Times New Roman" w:hAnsi="Times New Roman"/>
          <w:sz w:val="24"/>
        </w:rPr>
        <w:footnoteReference w:id="4"/>
      </w:r>
      <w:r>
        <w:rPr>
          <w:rFonts w:ascii="Times New Roman" w:hAnsi="Times New Roman"/>
          <w:sz w:val="24"/>
        </w:rPr>
        <w:t xml:space="preserve"> en essayant à la fois de comprendre l’assemblage des règles qui aboutissent à limiter les droits des créanciers à la valeur réelle du débiteur. </w:t>
      </w:r>
      <w:r w:rsidR="008064D7" w:rsidRPr="00175943">
        <w:rPr>
          <w:rFonts w:ascii="Times New Roman" w:hAnsi="Times New Roman"/>
          <w:sz w:val="24"/>
        </w:rPr>
        <w:t xml:space="preserve">S’agissant de discuter de « la valeur », il </w:t>
      </w:r>
      <w:r>
        <w:rPr>
          <w:rFonts w:ascii="Times New Roman" w:hAnsi="Times New Roman"/>
          <w:sz w:val="24"/>
        </w:rPr>
        <w:t xml:space="preserve">nous a semblé </w:t>
      </w:r>
      <w:r w:rsidR="008064D7" w:rsidRPr="00175943">
        <w:rPr>
          <w:rFonts w:ascii="Times New Roman" w:hAnsi="Times New Roman"/>
          <w:sz w:val="24"/>
        </w:rPr>
        <w:t xml:space="preserve">important de donner des indications concrètes sur la manière de la </w:t>
      </w:r>
      <w:r w:rsidR="00936DB9" w:rsidRPr="00175943">
        <w:rPr>
          <w:rFonts w:ascii="Times New Roman" w:hAnsi="Times New Roman"/>
          <w:sz w:val="24"/>
        </w:rPr>
        <w:t>réfléchir</w:t>
      </w:r>
      <w:r w:rsidR="008064D7" w:rsidRPr="00175943">
        <w:rPr>
          <w:rFonts w:ascii="Times New Roman" w:hAnsi="Times New Roman"/>
          <w:sz w:val="24"/>
        </w:rPr>
        <w:t>, de la définir, de la calculer, de la prouver et de la discuter notamm</w:t>
      </w:r>
      <w:r w:rsidR="00936DB9">
        <w:rPr>
          <w:rFonts w:ascii="Times New Roman" w:hAnsi="Times New Roman"/>
          <w:sz w:val="24"/>
        </w:rPr>
        <w:t>ent au départ du droit Américain.</w:t>
      </w:r>
    </w:p>
    <w:p w:rsidR="008064D7" w:rsidRDefault="008064D7" w:rsidP="004238C7">
      <w:pPr>
        <w:pStyle w:val="Paragraphedeliste"/>
        <w:spacing w:line="240" w:lineRule="auto"/>
        <w:ind w:left="786"/>
        <w:rPr>
          <w:rFonts w:ascii="Times New Roman" w:hAnsi="Times New Roman"/>
          <w:sz w:val="24"/>
        </w:rPr>
      </w:pPr>
    </w:p>
    <w:p w:rsidR="008064D7" w:rsidRDefault="008064D7" w:rsidP="004238C7">
      <w:pPr>
        <w:pStyle w:val="Paragraphedeliste"/>
        <w:spacing w:line="240" w:lineRule="auto"/>
        <w:ind w:left="786"/>
        <w:rPr>
          <w:rFonts w:ascii="Times New Roman" w:hAnsi="Times New Roman"/>
          <w:sz w:val="24"/>
        </w:rPr>
      </w:pPr>
      <w:r>
        <w:rPr>
          <w:rFonts w:ascii="Times New Roman" w:hAnsi="Times New Roman"/>
          <w:sz w:val="24"/>
        </w:rPr>
        <w:t xml:space="preserve">L’introduction d’une procédure conforme à la directive permettrait surement- comme dans l’affaire CGG- d’obtenir la collaboration du juge américain dans le cadre du chapter 15, ce qui est essentiel pour faire de Bruxelles une place de « l’insolvabilité et donner à nos grandes entreprises une solution lorsqu’elles ont des actifs ou des activités aux Etats-Unis ou dans d’autres pays qui ont intégré la loi modèle Uncitral ( comme le </w:t>
      </w:r>
      <w:r w:rsidR="00936DB9">
        <w:rPr>
          <w:rFonts w:ascii="Times New Roman" w:hAnsi="Times New Roman"/>
          <w:sz w:val="24"/>
        </w:rPr>
        <w:t>Royaume-Uni par exemple après le Brexit).</w:t>
      </w:r>
    </w:p>
    <w:p w:rsidR="008064D7" w:rsidRPr="004238C7" w:rsidRDefault="008064D7" w:rsidP="004238C7">
      <w:pPr>
        <w:pStyle w:val="Paragraphedeliste"/>
        <w:spacing w:line="240" w:lineRule="auto"/>
        <w:ind w:left="786"/>
        <w:rPr>
          <w:rFonts w:ascii="Times New Roman" w:hAnsi="Times New Roman"/>
          <w:sz w:val="24"/>
        </w:rPr>
      </w:pPr>
    </w:p>
    <w:p w:rsidR="008064D7" w:rsidRDefault="008064D7" w:rsidP="004238C7">
      <w:pPr>
        <w:pStyle w:val="Paragraphedeliste"/>
        <w:spacing w:line="240" w:lineRule="auto"/>
        <w:ind w:left="786"/>
        <w:rPr>
          <w:rFonts w:ascii="Times New Roman" w:hAnsi="Times New Roman"/>
          <w:sz w:val="24"/>
        </w:rPr>
      </w:pPr>
      <w:r w:rsidRPr="004238C7">
        <w:rPr>
          <w:rFonts w:ascii="Times New Roman" w:hAnsi="Times New Roman"/>
          <w:sz w:val="24"/>
        </w:rPr>
        <w:t>Enfin, dans la mesure du possible cette contribution exa</w:t>
      </w:r>
      <w:r>
        <w:rPr>
          <w:rFonts w:ascii="Times New Roman" w:hAnsi="Times New Roman"/>
          <w:sz w:val="24"/>
        </w:rPr>
        <w:t>minera en rapport avec chaque t</w:t>
      </w:r>
      <w:r w:rsidRPr="004238C7">
        <w:rPr>
          <w:rFonts w:ascii="Times New Roman" w:hAnsi="Times New Roman"/>
          <w:sz w:val="24"/>
        </w:rPr>
        <w:t>hème les projets de loi connus transposant la directive pour un pre</w:t>
      </w:r>
      <w:r>
        <w:rPr>
          <w:rFonts w:ascii="Times New Roman" w:hAnsi="Times New Roman"/>
          <w:sz w:val="24"/>
        </w:rPr>
        <w:t>m</w:t>
      </w:r>
      <w:r w:rsidRPr="004238C7">
        <w:rPr>
          <w:rFonts w:ascii="Times New Roman" w:hAnsi="Times New Roman"/>
          <w:sz w:val="24"/>
        </w:rPr>
        <w:t xml:space="preserve">ier exercice de réflexion comparée </w:t>
      </w:r>
      <w:r>
        <w:rPr>
          <w:rFonts w:ascii="Times New Roman" w:hAnsi="Times New Roman"/>
          <w:sz w:val="24"/>
        </w:rPr>
        <w:t>notamment en All</w:t>
      </w:r>
      <w:r w:rsidR="00175943">
        <w:rPr>
          <w:rFonts w:ascii="Times New Roman" w:hAnsi="Times New Roman"/>
          <w:sz w:val="24"/>
        </w:rPr>
        <w:t>e</w:t>
      </w:r>
      <w:r>
        <w:rPr>
          <w:rFonts w:ascii="Times New Roman" w:hAnsi="Times New Roman"/>
          <w:sz w:val="24"/>
        </w:rPr>
        <w:t xml:space="preserve">magne, en Pologne, en Espagne, aux </w:t>
      </w:r>
      <w:r w:rsidR="00936DB9">
        <w:rPr>
          <w:rFonts w:ascii="Times New Roman" w:hAnsi="Times New Roman"/>
          <w:sz w:val="24"/>
        </w:rPr>
        <w:t>Pays-Bas</w:t>
      </w:r>
      <w:r>
        <w:rPr>
          <w:rFonts w:ascii="Times New Roman" w:hAnsi="Times New Roman"/>
          <w:sz w:val="24"/>
        </w:rPr>
        <w:t xml:space="preserve"> et en </w:t>
      </w:r>
      <w:r w:rsidR="00936DB9">
        <w:rPr>
          <w:rFonts w:ascii="Times New Roman" w:hAnsi="Times New Roman"/>
          <w:sz w:val="24"/>
        </w:rPr>
        <w:t>France.</w:t>
      </w:r>
    </w:p>
    <w:p w:rsidR="008064D7" w:rsidRDefault="008064D7" w:rsidP="004238C7">
      <w:pPr>
        <w:pStyle w:val="Paragraphedeliste"/>
        <w:spacing w:line="240" w:lineRule="auto"/>
        <w:ind w:left="786"/>
        <w:rPr>
          <w:rFonts w:ascii="Times New Roman" w:hAnsi="Times New Roman"/>
          <w:sz w:val="24"/>
        </w:rPr>
      </w:pPr>
    </w:p>
    <w:p w:rsidR="008064D7" w:rsidRDefault="008064D7" w:rsidP="004238C7">
      <w:pPr>
        <w:pStyle w:val="Paragraphedeliste"/>
        <w:spacing w:line="240" w:lineRule="auto"/>
        <w:ind w:left="786"/>
        <w:rPr>
          <w:rFonts w:ascii="Times New Roman" w:hAnsi="Times New Roman"/>
          <w:sz w:val="24"/>
        </w:rPr>
      </w:pPr>
      <w:r>
        <w:rPr>
          <w:rFonts w:ascii="Times New Roman" w:hAnsi="Times New Roman"/>
          <w:sz w:val="24"/>
        </w:rPr>
        <w:t xml:space="preserve">Le modèle américain repris par la directive a </w:t>
      </w:r>
      <w:r w:rsidR="00175943">
        <w:rPr>
          <w:rFonts w:ascii="Times New Roman" w:hAnsi="Times New Roman"/>
          <w:sz w:val="24"/>
        </w:rPr>
        <w:t>un grand m</w:t>
      </w:r>
      <w:r>
        <w:rPr>
          <w:rFonts w:ascii="Times New Roman" w:hAnsi="Times New Roman"/>
          <w:sz w:val="24"/>
        </w:rPr>
        <w:t xml:space="preserve">érite </w:t>
      </w:r>
      <w:r w:rsidR="00175943">
        <w:rPr>
          <w:rFonts w:ascii="Times New Roman" w:hAnsi="Times New Roman"/>
          <w:sz w:val="24"/>
        </w:rPr>
        <w:t xml:space="preserve">, celui de permettre de résoudre bien plus de situation d’insolvabilité par une procédure qui </w:t>
      </w:r>
      <w:r>
        <w:rPr>
          <w:rFonts w:ascii="Times New Roman" w:hAnsi="Times New Roman"/>
          <w:sz w:val="24"/>
        </w:rPr>
        <w:t>« contrain</w:t>
      </w:r>
      <w:r w:rsidR="00175943">
        <w:rPr>
          <w:rFonts w:ascii="Times New Roman" w:hAnsi="Times New Roman"/>
          <w:sz w:val="24"/>
        </w:rPr>
        <w:t>t</w:t>
      </w:r>
      <w:r>
        <w:rPr>
          <w:rFonts w:ascii="Times New Roman" w:hAnsi="Times New Roman"/>
          <w:sz w:val="24"/>
        </w:rPr>
        <w:t xml:space="preserve"> » </w:t>
      </w:r>
      <w:r w:rsidR="00175943">
        <w:rPr>
          <w:rFonts w:ascii="Times New Roman" w:hAnsi="Times New Roman"/>
          <w:sz w:val="24"/>
        </w:rPr>
        <w:t xml:space="preserve">à </w:t>
      </w:r>
      <w:r>
        <w:rPr>
          <w:rFonts w:ascii="Times New Roman" w:hAnsi="Times New Roman"/>
          <w:sz w:val="24"/>
        </w:rPr>
        <w:t xml:space="preserve">des accords sur une base économique et financière en ayant </w:t>
      </w:r>
      <w:r w:rsidR="00175943">
        <w:rPr>
          <w:rFonts w:ascii="Times New Roman" w:hAnsi="Times New Roman"/>
          <w:sz w:val="24"/>
        </w:rPr>
        <w:t xml:space="preserve">ainsi </w:t>
      </w:r>
      <w:r>
        <w:rPr>
          <w:rFonts w:ascii="Times New Roman" w:hAnsi="Times New Roman"/>
          <w:sz w:val="24"/>
        </w:rPr>
        <w:t>un taux de réussite et de création de richesse très impressionnant. Si le concept de « </w:t>
      </w:r>
      <w:r w:rsidRPr="00936DB9">
        <w:rPr>
          <w:rFonts w:ascii="Times New Roman" w:hAnsi="Times New Roman"/>
          <w:i/>
          <w:sz w:val="24"/>
        </w:rPr>
        <w:t>valeur</w:t>
      </w:r>
      <w:r>
        <w:rPr>
          <w:rFonts w:ascii="Times New Roman" w:hAnsi="Times New Roman"/>
          <w:sz w:val="24"/>
        </w:rPr>
        <w:t xml:space="preserve"> » changera la pratique des juges et des professionnels, elle pourrait ne pas être rejetée par les créanciers et en premier lieu les créanciers bancaires et financier tellement elle apporte dans le même temps des améliorations aussi très sensible à leur position. </w:t>
      </w:r>
    </w:p>
    <w:p w:rsidR="008064D7" w:rsidRDefault="008064D7" w:rsidP="004238C7">
      <w:pPr>
        <w:pStyle w:val="Paragraphedeliste"/>
        <w:spacing w:line="240" w:lineRule="auto"/>
        <w:ind w:left="786"/>
        <w:rPr>
          <w:rFonts w:ascii="Times New Roman" w:hAnsi="Times New Roman"/>
          <w:sz w:val="24"/>
        </w:rPr>
      </w:pPr>
    </w:p>
    <w:p w:rsidR="008064D7" w:rsidRPr="00DC2A2B" w:rsidRDefault="008064D7" w:rsidP="004238C7">
      <w:pPr>
        <w:pStyle w:val="Paragraphedeliste"/>
        <w:spacing w:line="240" w:lineRule="auto"/>
        <w:ind w:left="786"/>
        <w:rPr>
          <w:rFonts w:ascii="Times New Roman" w:hAnsi="Times New Roman"/>
        </w:rPr>
      </w:pPr>
    </w:p>
    <w:p w:rsidR="008064D7" w:rsidRPr="00AB22BB" w:rsidRDefault="008064D7" w:rsidP="007565AA">
      <w:pPr>
        <w:pStyle w:val="Titre2"/>
        <w:numPr>
          <w:ilvl w:val="0"/>
          <w:numId w:val="10"/>
        </w:numPr>
        <w:rPr>
          <w:rFonts w:ascii="Times New Roman" w:hAnsi="Times New Roman" w:cs="Times New Roman"/>
          <w:lang w:val="en-US"/>
        </w:rPr>
      </w:pPr>
      <w:bookmarkStart w:id="1" w:name="_Toc55407448"/>
      <w:r w:rsidRPr="00F31798">
        <w:rPr>
          <w:rFonts w:ascii="Times New Roman" w:hAnsi="Times New Roman" w:cs="Times New Roman"/>
          <w:lang w:val="en-US"/>
        </w:rPr>
        <w:lastRenderedPageBreak/>
        <w:t>Le concept « </w:t>
      </w:r>
      <w:r w:rsidRPr="007C17D3">
        <w:rPr>
          <w:rFonts w:ascii="Times New Roman" w:hAnsi="Times New Roman" w:cs="Times New Roman"/>
          <w:i/>
          <w:lang w:val="en-US"/>
        </w:rPr>
        <w:t>In the money</w:t>
      </w:r>
      <w:r w:rsidRPr="00F31798">
        <w:rPr>
          <w:rFonts w:ascii="Times New Roman" w:hAnsi="Times New Roman" w:cs="Times New Roman"/>
          <w:lang w:val="en-US"/>
        </w:rPr>
        <w:t> »</w:t>
      </w:r>
      <w:bookmarkEnd w:id="1"/>
      <w:r w:rsidRPr="00F31798">
        <w:rPr>
          <w:rFonts w:ascii="Times New Roman" w:hAnsi="Times New Roman" w:cs="Times New Roman"/>
          <w:lang w:val="en-US"/>
        </w:rPr>
        <w:t xml:space="preserve"> </w:t>
      </w:r>
    </w:p>
    <w:p w:rsidR="008064D7" w:rsidRPr="00E471B0" w:rsidRDefault="008064D7" w:rsidP="007565AA">
      <w:pPr>
        <w:pStyle w:val="Paragraphedeliste"/>
        <w:numPr>
          <w:ilvl w:val="0"/>
          <w:numId w:val="2"/>
        </w:numPr>
        <w:spacing w:line="240" w:lineRule="auto"/>
        <w:rPr>
          <w:rFonts w:ascii="Times New Roman" w:hAnsi="Times New Roman"/>
          <w:sz w:val="24"/>
          <w:u w:val="single"/>
        </w:rPr>
      </w:pPr>
      <w:r w:rsidRPr="00CC5766">
        <w:rPr>
          <w:rFonts w:ascii="Times New Roman" w:hAnsi="Times New Roman"/>
          <w:sz w:val="24"/>
          <w:u w:val="single"/>
        </w:rPr>
        <w:t>La directive</w:t>
      </w:r>
      <w:r>
        <w:rPr>
          <w:rFonts w:ascii="Times New Roman" w:hAnsi="Times New Roman"/>
          <w:sz w:val="24"/>
          <w:u w:val="single"/>
        </w:rPr>
        <w:t xml:space="preserve"> européenne impose</w:t>
      </w:r>
      <w:r>
        <w:rPr>
          <w:rStyle w:val="Appelnotedebasdep"/>
          <w:rFonts w:ascii="Times New Roman" w:hAnsi="Times New Roman"/>
          <w:sz w:val="24"/>
          <w:u w:val="single"/>
        </w:rPr>
        <w:footnoteReference w:id="5"/>
      </w:r>
      <w:r>
        <w:rPr>
          <w:rFonts w:ascii="Times New Roman" w:hAnsi="Times New Roman"/>
          <w:sz w:val="24"/>
          <w:u w:val="single"/>
        </w:rPr>
        <w:t xml:space="preserve"> d’intégrer certaines des différentes composantes de ce que l’on appelle le « </w:t>
      </w:r>
      <w:r w:rsidRPr="007C17D3">
        <w:rPr>
          <w:rFonts w:ascii="Times New Roman" w:hAnsi="Times New Roman"/>
          <w:i/>
          <w:sz w:val="24"/>
          <w:u w:val="single"/>
        </w:rPr>
        <w:t>In the money</w:t>
      </w:r>
      <w:r>
        <w:rPr>
          <w:rFonts w:ascii="Times New Roman" w:hAnsi="Times New Roman"/>
          <w:i/>
          <w:sz w:val="24"/>
          <w:u w:val="single"/>
        </w:rPr>
        <w:t> »</w:t>
      </w:r>
      <w:r>
        <w:rPr>
          <w:rFonts w:ascii="Times New Roman" w:hAnsi="Times New Roman"/>
          <w:sz w:val="24"/>
          <w:u w:val="single"/>
        </w:rPr>
        <w:t>,</w:t>
      </w:r>
      <w:r w:rsidRPr="00CC5766">
        <w:rPr>
          <w:rFonts w:ascii="Times New Roman" w:hAnsi="Times New Roman"/>
          <w:sz w:val="24"/>
          <w:u w:val="single"/>
        </w:rPr>
        <w:t xml:space="preserve"> à savoir </w:t>
      </w:r>
      <w:r>
        <w:rPr>
          <w:rFonts w:ascii="Times New Roman" w:hAnsi="Times New Roman"/>
          <w:sz w:val="24"/>
          <w:u w:val="single"/>
        </w:rPr>
        <w:t>celui de la v</w:t>
      </w:r>
      <w:r w:rsidRPr="00CC5766">
        <w:rPr>
          <w:rFonts w:ascii="Times New Roman" w:hAnsi="Times New Roman"/>
          <w:sz w:val="24"/>
          <w:u w:val="single"/>
        </w:rPr>
        <w:t>aleur de liquidation</w:t>
      </w:r>
      <w:r>
        <w:rPr>
          <w:rFonts w:ascii="Times New Roman" w:hAnsi="Times New Roman"/>
          <w:sz w:val="24"/>
          <w:u w:val="single"/>
        </w:rPr>
        <w:t>, de la</w:t>
      </w:r>
      <w:r w:rsidRPr="00CC5766">
        <w:rPr>
          <w:rFonts w:ascii="Times New Roman" w:hAnsi="Times New Roman"/>
          <w:sz w:val="24"/>
          <w:u w:val="single"/>
        </w:rPr>
        <w:t xml:space="preserve"> valeur de l’entreprise, </w:t>
      </w:r>
      <w:r>
        <w:rPr>
          <w:rFonts w:ascii="Times New Roman" w:hAnsi="Times New Roman"/>
          <w:sz w:val="24"/>
          <w:u w:val="single"/>
        </w:rPr>
        <w:t xml:space="preserve">de la </w:t>
      </w:r>
      <w:r w:rsidRPr="00CC5766">
        <w:rPr>
          <w:rFonts w:ascii="Times New Roman" w:hAnsi="Times New Roman"/>
          <w:sz w:val="24"/>
          <w:u w:val="single"/>
        </w:rPr>
        <w:t xml:space="preserve">viabilité et </w:t>
      </w:r>
      <w:r>
        <w:rPr>
          <w:rFonts w:ascii="Times New Roman" w:hAnsi="Times New Roman"/>
          <w:sz w:val="24"/>
          <w:u w:val="single"/>
        </w:rPr>
        <w:t xml:space="preserve">la </w:t>
      </w:r>
      <w:r w:rsidRPr="00CC5766">
        <w:rPr>
          <w:rFonts w:ascii="Times New Roman" w:hAnsi="Times New Roman"/>
          <w:sz w:val="24"/>
          <w:u w:val="single"/>
        </w:rPr>
        <w:t xml:space="preserve">faisabilité, </w:t>
      </w:r>
      <w:r>
        <w:rPr>
          <w:rFonts w:ascii="Times New Roman" w:hAnsi="Times New Roman"/>
          <w:sz w:val="24"/>
          <w:u w:val="single"/>
        </w:rPr>
        <w:t xml:space="preserve">de la </w:t>
      </w:r>
      <w:r w:rsidRPr="00CC5766">
        <w:rPr>
          <w:rFonts w:ascii="Times New Roman" w:hAnsi="Times New Roman"/>
          <w:sz w:val="24"/>
          <w:u w:val="single"/>
        </w:rPr>
        <w:t xml:space="preserve">règle de priorité absolue et </w:t>
      </w:r>
      <w:r>
        <w:rPr>
          <w:rFonts w:ascii="Times New Roman" w:hAnsi="Times New Roman"/>
          <w:sz w:val="24"/>
          <w:u w:val="single"/>
        </w:rPr>
        <w:t xml:space="preserve">du </w:t>
      </w:r>
      <w:r w:rsidRPr="00CC5766">
        <w:rPr>
          <w:rFonts w:ascii="Times New Roman" w:hAnsi="Times New Roman"/>
          <w:sz w:val="24"/>
          <w:u w:val="single"/>
        </w:rPr>
        <w:t xml:space="preserve">traitement </w:t>
      </w:r>
      <w:r>
        <w:rPr>
          <w:rFonts w:ascii="Times New Roman" w:hAnsi="Times New Roman"/>
          <w:sz w:val="24"/>
          <w:u w:val="single"/>
        </w:rPr>
        <w:t>« </w:t>
      </w:r>
      <w:r w:rsidRPr="007C17D3">
        <w:rPr>
          <w:rFonts w:ascii="Times New Roman" w:hAnsi="Times New Roman"/>
          <w:i/>
          <w:sz w:val="24"/>
          <w:u w:val="single"/>
        </w:rPr>
        <w:t>Fair</w:t>
      </w:r>
      <w:r>
        <w:rPr>
          <w:rFonts w:ascii="Times New Roman" w:hAnsi="Times New Roman"/>
          <w:sz w:val="24"/>
          <w:u w:val="single"/>
        </w:rPr>
        <w:t> »</w:t>
      </w:r>
      <w:r w:rsidRPr="00224992">
        <w:rPr>
          <w:rFonts w:ascii="Times New Roman" w:hAnsi="Times New Roman"/>
          <w:sz w:val="24"/>
        </w:rPr>
        <w:t xml:space="preserve">. </w:t>
      </w:r>
      <w:r>
        <w:rPr>
          <w:rFonts w:ascii="Times New Roman" w:hAnsi="Times New Roman"/>
          <w:sz w:val="24"/>
        </w:rPr>
        <w:t>Leur non-intégration – si ces textes sont impératifs comme je le crois- pourrait valoir aux Etats une action en manquement ou un arrêt en question préjudicielle type arrêt PLESSERS qui provoquerait de nombreux dégâts pour les entreprises.</w:t>
      </w:r>
    </w:p>
    <w:p w:rsidR="008064D7" w:rsidRDefault="008064D7" w:rsidP="00374719">
      <w:pPr>
        <w:spacing w:line="240" w:lineRule="auto"/>
        <w:rPr>
          <w:rFonts w:ascii="Times New Roman" w:hAnsi="Times New Roman"/>
          <w:sz w:val="24"/>
        </w:rPr>
      </w:pPr>
    </w:p>
    <w:p w:rsidR="008064D7" w:rsidRDefault="008064D7" w:rsidP="00374719">
      <w:pPr>
        <w:pStyle w:val="Paragraphedeliste"/>
        <w:spacing w:line="240" w:lineRule="auto"/>
        <w:ind w:left="786"/>
        <w:rPr>
          <w:rFonts w:ascii="Times New Roman" w:hAnsi="Times New Roman"/>
          <w:sz w:val="24"/>
        </w:rPr>
      </w:pPr>
      <w:r>
        <w:rPr>
          <w:rFonts w:ascii="Times New Roman" w:hAnsi="Times New Roman"/>
          <w:sz w:val="24"/>
          <w:u w:val="single"/>
        </w:rPr>
        <w:t>C’est l</w:t>
      </w:r>
      <w:r w:rsidRPr="000F02F1">
        <w:rPr>
          <w:rFonts w:ascii="Times New Roman" w:hAnsi="Times New Roman"/>
          <w:sz w:val="24"/>
          <w:u w:val="single"/>
        </w:rPr>
        <w:t>’article 2 de la directive</w:t>
      </w:r>
      <w:r>
        <w:rPr>
          <w:rFonts w:ascii="Times New Roman" w:hAnsi="Times New Roman"/>
          <w:sz w:val="24"/>
        </w:rPr>
        <w:t xml:space="preserve"> qui reprend et définit le critère du </w:t>
      </w:r>
      <w:r w:rsidRPr="00FF7140">
        <w:rPr>
          <w:rFonts w:ascii="Times New Roman" w:hAnsi="Times New Roman"/>
          <w:sz w:val="24"/>
          <w:u w:val="single"/>
        </w:rPr>
        <w:t>meilleur intérêt des créanciers</w:t>
      </w:r>
      <w:r>
        <w:rPr>
          <w:rFonts w:ascii="Times New Roman" w:hAnsi="Times New Roman"/>
          <w:sz w:val="24"/>
        </w:rPr>
        <w:t xml:space="preserve"> et, par voie de conséquence, la référence à la valeur de liquidation comme une vérification </w:t>
      </w:r>
      <w:r w:rsidRPr="000F02F1">
        <w:rPr>
          <w:rFonts w:ascii="Times New Roman" w:hAnsi="Times New Roman"/>
          <w:sz w:val="24"/>
          <w:u w:val="single"/>
        </w:rPr>
        <w:t xml:space="preserve">qu’aucun </w:t>
      </w:r>
      <w:r>
        <w:rPr>
          <w:rFonts w:ascii="Times New Roman" w:hAnsi="Times New Roman"/>
          <w:sz w:val="24"/>
          <w:u w:val="single"/>
        </w:rPr>
        <w:t xml:space="preserve">des </w:t>
      </w:r>
      <w:r w:rsidRPr="000F02F1">
        <w:rPr>
          <w:rFonts w:ascii="Times New Roman" w:hAnsi="Times New Roman"/>
          <w:sz w:val="24"/>
          <w:u w:val="single"/>
        </w:rPr>
        <w:t>créancier</w:t>
      </w:r>
      <w:r>
        <w:rPr>
          <w:rFonts w:ascii="Times New Roman" w:hAnsi="Times New Roman"/>
          <w:sz w:val="24"/>
          <w:u w:val="single"/>
        </w:rPr>
        <w:t>s</w:t>
      </w:r>
      <w:r>
        <w:rPr>
          <w:rFonts w:ascii="Times New Roman" w:hAnsi="Times New Roman"/>
          <w:sz w:val="24"/>
        </w:rPr>
        <w:t xml:space="preserve"> qui n’a pas accepté le plan (créancier récalcitrant) ne se trouve dans une situation moins favorable du fait du plan de restructuration que celle qu’il connaitrait si l’ordre normal des priorités en liquidation était appliqué. La vérification s’opère cependant par rapport à </w:t>
      </w:r>
      <w:r w:rsidRPr="00FF7140">
        <w:rPr>
          <w:rFonts w:ascii="Times New Roman" w:hAnsi="Times New Roman"/>
          <w:sz w:val="24"/>
          <w:u w:val="single"/>
        </w:rPr>
        <w:t>la meilleure solution alternative</w:t>
      </w:r>
      <w:r>
        <w:rPr>
          <w:rFonts w:ascii="Times New Roman" w:hAnsi="Times New Roman"/>
          <w:sz w:val="24"/>
        </w:rPr>
        <w:t xml:space="preserve"> si le plan n’était pas validé. C’est le </w:t>
      </w:r>
      <w:r w:rsidRPr="00AB22BB">
        <w:rPr>
          <w:rFonts w:ascii="Times New Roman" w:hAnsi="Times New Roman"/>
          <w:sz w:val="24"/>
          <w:u w:val="single"/>
        </w:rPr>
        <w:t>test du meilleur intérêt des créanciers</w:t>
      </w:r>
      <w:r>
        <w:rPr>
          <w:rFonts w:ascii="Times New Roman" w:hAnsi="Times New Roman"/>
          <w:sz w:val="24"/>
          <w:u w:val="single"/>
        </w:rPr>
        <w:t>.</w:t>
      </w:r>
      <w:r>
        <w:rPr>
          <w:rFonts w:ascii="Times New Roman" w:hAnsi="Times New Roman"/>
          <w:sz w:val="24"/>
        </w:rPr>
        <w:t xml:space="preserve"> </w:t>
      </w:r>
    </w:p>
    <w:p w:rsidR="008064D7" w:rsidRDefault="008064D7" w:rsidP="00374719">
      <w:pPr>
        <w:pStyle w:val="Paragraphedeliste"/>
        <w:spacing w:line="240" w:lineRule="auto"/>
        <w:ind w:left="786"/>
        <w:rPr>
          <w:rFonts w:ascii="Times New Roman" w:hAnsi="Times New Roman"/>
          <w:sz w:val="24"/>
        </w:rPr>
      </w:pPr>
    </w:p>
    <w:p w:rsidR="008064D7" w:rsidRDefault="008064D7" w:rsidP="004F4E89">
      <w:pPr>
        <w:pStyle w:val="Paragraphedeliste"/>
        <w:spacing w:line="240" w:lineRule="auto"/>
        <w:ind w:left="786"/>
        <w:rPr>
          <w:rFonts w:ascii="Times New Roman" w:hAnsi="Times New Roman"/>
          <w:sz w:val="24"/>
        </w:rPr>
      </w:pPr>
      <w:r>
        <w:rPr>
          <w:rFonts w:ascii="Times New Roman" w:hAnsi="Times New Roman"/>
          <w:sz w:val="24"/>
          <w:u w:val="single"/>
        </w:rPr>
        <w:t>C’est l</w:t>
      </w:r>
      <w:r w:rsidRPr="005E2230">
        <w:rPr>
          <w:rFonts w:ascii="Times New Roman" w:hAnsi="Times New Roman"/>
          <w:sz w:val="24"/>
          <w:u w:val="single"/>
        </w:rPr>
        <w:t>’article 10 de la directive</w:t>
      </w:r>
      <w:r>
        <w:rPr>
          <w:rFonts w:ascii="Times New Roman" w:hAnsi="Times New Roman"/>
          <w:sz w:val="24"/>
        </w:rPr>
        <w:t xml:space="preserve"> qui prévoit que la validation du plan n’interviennent </w:t>
      </w:r>
      <w:r w:rsidRPr="004F4E89">
        <w:rPr>
          <w:rFonts w:ascii="Times New Roman" w:hAnsi="Times New Roman"/>
          <w:sz w:val="24"/>
        </w:rPr>
        <w:t xml:space="preserve">e plan de restructuration a été adopté conformément à l'article 9; b) les créanciers partageant une communauté d'intérêt suffisante au sein de la même classe </w:t>
      </w:r>
      <w:r w:rsidRPr="005E2230">
        <w:rPr>
          <w:rFonts w:ascii="Times New Roman" w:hAnsi="Times New Roman"/>
          <w:sz w:val="24"/>
          <w:u w:val="single"/>
        </w:rPr>
        <w:t>bénéficient de l'égalité de traitement,</w:t>
      </w:r>
      <w:r w:rsidRPr="004F4E89">
        <w:rPr>
          <w:rFonts w:ascii="Times New Roman" w:hAnsi="Times New Roman"/>
          <w:sz w:val="24"/>
        </w:rPr>
        <w:t xml:space="preserve"> et sont traités de manière pr</w:t>
      </w:r>
      <w:r>
        <w:rPr>
          <w:rFonts w:ascii="Times New Roman" w:hAnsi="Times New Roman"/>
          <w:sz w:val="24"/>
        </w:rPr>
        <w:t>oportionnelle à leur créance;</w:t>
      </w:r>
      <w:r w:rsidRPr="004F4E89">
        <w:rPr>
          <w:rFonts w:ascii="Times New Roman" w:hAnsi="Times New Roman"/>
          <w:sz w:val="24"/>
        </w:rPr>
        <w:t xml:space="preserve"> </w:t>
      </w:r>
      <w:r>
        <w:rPr>
          <w:rFonts w:ascii="Times New Roman" w:hAnsi="Times New Roman"/>
          <w:sz w:val="24"/>
        </w:rPr>
        <w:t xml:space="preserve">et que </w:t>
      </w:r>
      <w:r w:rsidRPr="004F4E89">
        <w:rPr>
          <w:rFonts w:ascii="Times New Roman" w:hAnsi="Times New Roman"/>
          <w:sz w:val="24"/>
        </w:rPr>
        <w:t xml:space="preserve">le cas échéant, tout nouveau financement est nécessaire pour mettre en œuvre le plan de restructuration et ne porte pas </w:t>
      </w:r>
      <w:r w:rsidRPr="005E2230">
        <w:rPr>
          <w:rFonts w:ascii="Times New Roman" w:hAnsi="Times New Roman"/>
          <w:sz w:val="24"/>
          <w:u w:val="single"/>
        </w:rPr>
        <w:t>une atteinte excessive aux intérêts des créanciers.</w:t>
      </w:r>
      <w:r>
        <w:rPr>
          <w:rFonts w:ascii="Times New Roman" w:hAnsi="Times New Roman"/>
          <w:sz w:val="24"/>
          <w:u w:val="single"/>
        </w:rPr>
        <w:t xml:space="preserve"> </w:t>
      </w:r>
      <w:r>
        <w:rPr>
          <w:rFonts w:ascii="Times New Roman" w:hAnsi="Times New Roman"/>
          <w:sz w:val="24"/>
        </w:rPr>
        <w:t xml:space="preserve">Cette idée est reprise à l’article 11. </w:t>
      </w:r>
      <w:r w:rsidRPr="00AB22BB">
        <w:rPr>
          <w:rFonts w:ascii="Times New Roman" w:hAnsi="Times New Roman"/>
          <w:sz w:val="24"/>
          <w:u w:val="single"/>
        </w:rPr>
        <w:t>C’est la règle du traitement « </w:t>
      </w:r>
      <w:r w:rsidRPr="007C17D3">
        <w:rPr>
          <w:rFonts w:ascii="Times New Roman" w:hAnsi="Times New Roman"/>
          <w:i/>
          <w:sz w:val="24"/>
          <w:u w:val="single"/>
        </w:rPr>
        <w:t>Fair</w:t>
      </w:r>
      <w:r w:rsidRPr="00AB22BB">
        <w:rPr>
          <w:rFonts w:ascii="Times New Roman" w:hAnsi="Times New Roman"/>
          <w:sz w:val="24"/>
          <w:u w:val="single"/>
        </w:rPr>
        <w:t> »</w:t>
      </w:r>
      <w:r>
        <w:rPr>
          <w:rFonts w:ascii="Times New Roman" w:hAnsi="Times New Roman"/>
          <w:sz w:val="24"/>
        </w:rPr>
        <w:t>.</w:t>
      </w:r>
    </w:p>
    <w:p w:rsidR="008064D7" w:rsidRDefault="008064D7" w:rsidP="004F4E89">
      <w:pPr>
        <w:pStyle w:val="Paragraphedeliste"/>
        <w:spacing w:line="240" w:lineRule="auto"/>
        <w:ind w:left="786"/>
        <w:rPr>
          <w:rFonts w:ascii="Times New Roman" w:hAnsi="Times New Roman"/>
          <w:sz w:val="24"/>
        </w:rPr>
      </w:pPr>
    </w:p>
    <w:p w:rsidR="008064D7" w:rsidRPr="00AB22BB" w:rsidRDefault="008064D7" w:rsidP="005E2230">
      <w:pPr>
        <w:pStyle w:val="Paragraphedeliste"/>
        <w:spacing w:line="240" w:lineRule="auto"/>
        <w:ind w:left="786"/>
        <w:rPr>
          <w:rFonts w:ascii="Times New Roman" w:hAnsi="Times New Roman"/>
          <w:sz w:val="24"/>
          <w:u w:val="single"/>
        </w:rPr>
      </w:pPr>
      <w:r>
        <w:rPr>
          <w:rFonts w:ascii="Times New Roman" w:hAnsi="Times New Roman"/>
          <w:sz w:val="24"/>
          <w:u w:val="single"/>
        </w:rPr>
        <w:t>C’est l</w:t>
      </w:r>
      <w:r w:rsidRPr="005E2230">
        <w:rPr>
          <w:rFonts w:ascii="Times New Roman" w:hAnsi="Times New Roman"/>
          <w:sz w:val="24"/>
          <w:u w:val="single"/>
        </w:rPr>
        <w:t>’article 10 de la directive</w:t>
      </w:r>
      <w:r>
        <w:rPr>
          <w:rFonts w:ascii="Times New Roman" w:hAnsi="Times New Roman"/>
          <w:sz w:val="24"/>
        </w:rPr>
        <w:t xml:space="preserve"> qui prévoit encore que : « </w:t>
      </w:r>
      <w:r w:rsidRPr="005E2230">
        <w:rPr>
          <w:rFonts w:ascii="Times New Roman" w:hAnsi="Times New Roman"/>
          <w:sz w:val="24"/>
        </w:rPr>
        <w:t>Les États membres veillent à ce que les autorités judiciaires ou administratives puissent refuser de valider un plan de restructuration si ce dernier n'offrait pas une perspective raisonnable d'éviter l'insolvabilité du débiteur ou de garantir la viabilité de l'entrepris</w:t>
      </w:r>
      <w:r>
        <w:rPr>
          <w:rFonts w:ascii="Times New Roman" w:hAnsi="Times New Roman"/>
          <w:sz w:val="24"/>
        </w:rPr>
        <w:t xml:space="preserve">e ». </w:t>
      </w:r>
      <w:r w:rsidRPr="00AB22BB">
        <w:rPr>
          <w:rFonts w:ascii="Times New Roman" w:hAnsi="Times New Roman"/>
          <w:sz w:val="24"/>
          <w:u w:val="single"/>
        </w:rPr>
        <w:t>C’est le test</w:t>
      </w:r>
      <w:r>
        <w:rPr>
          <w:rFonts w:ascii="Times New Roman" w:hAnsi="Times New Roman"/>
          <w:sz w:val="24"/>
          <w:u w:val="single"/>
        </w:rPr>
        <w:t xml:space="preserve"> de viabilité ou de faisabilité.</w:t>
      </w:r>
    </w:p>
    <w:p w:rsidR="008064D7" w:rsidRPr="005E2230" w:rsidRDefault="008064D7" w:rsidP="005E2230">
      <w:pPr>
        <w:pStyle w:val="Paragraphedeliste"/>
        <w:spacing w:line="240" w:lineRule="auto"/>
        <w:ind w:left="786"/>
        <w:rPr>
          <w:rFonts w:ascii="Times New Roman" w:hAnsi="Times New Roman"/>
          <w:sz w:val="24"/>
        </w:rPr>
      </w:pPr>
    </w:p>
    <w:p w:rsidR="008064D7" w:rsidRDefault="008064D7" w:rsidP="00374719">
      <w:pPr>
        <w:pStyle w:val="Paragraphedeliste"/>
        <w:spacing w:line="240" w:lineRule="auto"/>
        <w:ind w:left="786"/>
        <w:rPr>
          <w:rFonts w:ascii="Times New Roman" w:hAnsi="Times New Roman"/>
          <w:sz w:val="24"/>
        </w:rPr>
      </w:pPr>
      <w:r>
        <w:rPr>
          <w:rFonts w:ascii="Times New Roman" w:hAnsi="Times New Roman"/>
          <w:sz w:val="24"/>
          <w:u w:val="single"/>
        </w:rPr>
        <w:t>C’est l</w:t>
      </w:r>
      <w:r w:rsidRPr="000F02F1">
        <w:rPr>
          <w:rFonts w:ascii="Times New Roman" w:hAnsi="Times New Roman"/>
          <w:sz w:val="24"/>
          <w:u w:val="single"/>
        </w:rPr>
        <w:t>’article 11 de la directive</w:t>
      </w:r>
      <w:r>
        <w:rPr>
          <w:rFonts w:ascii="Times New Roman" w:hAnsi="Times New Roman"/>
          <w:sz w:val="24"/>
        </w:rPr>
        <w:t xml:space="preserve"> qui a repris la règle </w:t>
      </w:r>
      <w:r w:rsidRPr="00AB22BB">
        <w:rPr>
          <w:rFonts w:ascii="Times New Roman" w:hAnsi="Times New Roman"/>
          <w:sz w:val="24"/>
          <w:u w:val="single"/>
        </w:rPr>
        <w:t>de priorité absolue</w:t>
      </w:r>
      <w:r>
        <w:rPr>
          <w:rFonts w:ascii="Times New Roman" w:hAnsi="Times New Roman"/>
          <w:sz w:val="24"/>
        </w:rPr>
        <w:t xml:space="preserve"> et, par conséquent, la référence à la valeur de l’entreprise en activité. </w:t>
      </w:r>
      <w:r w:rsidRPr="00480F4D">
        <w:rPr>
          <w:rFonts w:ascii="Times New Roman" w:hAnsi="Times New Roman"/>
          <w:sz w:val="24"/>
        </w:rPr>
        <w:t>La directive n’a cependant pas repris comme tel</w:t>
      </w:r>
      <w:r>
        <w:rPr>
          <w:rFonts w:ascii="Times New Roman" w:hAnsi="Times New Roman"/>
          <w:sz w:val="24"/>
        </w:rPr>
        <w:t>le</w:t>
      </w:r>
      <w:r w:rsidRPr="00480F4D">
        <w:rPr>
          <w:rFonts w:ascii="Times New Roman" w:hAnsi="Times New Roman"/>
          <w:sz w:val="24"/>
        </w:rPr>
        <w:t xml:space="preserve"> la règle de priorité absolue</w:t>
      </w:r>
      <w:r>
        <w:rPr>
          <w:rFonts w:ascii="Times New Roman" w:hAnsi="Times New Roman"/>
          <w:sz w:val="24"/>
        </w:rPr>
        <w:t xml:space="preserve"> </w:t>
      </w:r>
      <w:r w:rsidRPr="00480F4D">
        <w:rPr>
          <w:rFonts w:ascii="Times New Roman" w:hAnsi="Times New Roman"/>
          <w:sz w:val="24"/>
        </w:rPr>
        <w:t xml:space="preserve">car pour assurer les compromis nécessaires entre tous les Etats la directive a </w:t>
      </w:r>
      <w:r>
        <w:rPr>
          <w:rFonts w:ascii="Times New Roman" w:hAnsi="Times New Roman"/>
          <w:sz w:val="24"/>
        </w:rPr>
        <w:t>– dans sa version finale</w:t>
      </w:r>
      <w:r>
        <w:rPr>
          <w:rStyle w:val="Appelnotedebasdep"/>
          <w:rFonts w:ascii="Times New Roman" w:hAnsi="Times New Roman"/>
          <w:sz w:val="24"/>
        </w:rPr>
        <w:footnoteReference w:id="6"/>
      </w:r>
      <w:r w:rsidRPr="00480F4D">
        <w:rPr>
          <w:rFonts w:ascii="Times New Roman" w:hAnsi="Times New Roman"/>
          <w:sz w:val="24"/>
        </w:rPr>
        <w:t xml:space="preserve"> et en évoluant par rapport à la version originaire - laissé aux Etats le soin de choisir entre la priorité </w:t>
      </w:r>
      <w:r w:rsidRPr="000F02F1">
        <w:rPr>
          <w:rFonts w:ascii="Times New Roman" w:hAnsi="Times New Roman"/>
          <w:sz w:val="24"/>
          <w:u w:val="single"/>
        </w:rPr>
        <w:t>absolue</w:t>
      </w:r>
      <w:r w:rsidRPr="00480F4D">
        <w:rPr>
          <w:rFonts w:ascii="Times New Roman" w:hAnsi="Times New Roman"/>
          <w:sz w:val="24"/>
        </w:rPr>
        <w:t xml:space="preserve"> et la priorité </w:t>
      </w:r>
      <w:r w:rsidRPr="000F02F1">
        <w:rPr>
          <w:rFonts w:ascii="Times New Roman" w:hAnsi="Times New Roman"/>
          <w:sz w:val="24"/>
          <w:u w:val="single"/>
        </w:rPr>
        <w:t>relative</w:t>
      </w:r>
      <w:r>
        <w:rPr>
          <w:rStyle w:val="Appelnotedebasdep"/>
          <w:rFonts w:ascii="Times New Roman" w:hAnsi="Times New Roman"/>
          <w:sz w:val="24"/>
        </w:rPr>
        <w:footnoteReference w:id="7"/>
      </w:r>
      <w:r w:rsidRPr="00480F4D">
        <w:rPr>
          <w:rFonts w:ascii="Times New Roman" w:hAnsi="Times New Roman"/>
          <w:sz w:val="24"/>
        </w:rPr>
        <w:t xml:space="preserve">. </w:t>
      </w:r>
    </w:p>
    <w:p w:rsidR="00093E56" w:rsidRDefault="00093E56" w:rsidP="00374719">
      <w:pPr>
        <w:pStyle w:val="Paragraphedeliste"/>
        <w:spacing w:line="240" w:lineRule="auto"/>
        <w:ind w:left="786"/>
        <w:rPr>
          <w:rFonts w:ascii="Times New Roman" w:hAnsi="Times New Roman"/>
          <w:sz w:val="24"/>
        </w:rPr>
      </w:pPr>
    </w:p>
    <w:p w:rsidR="008064D7" w:rsidRPr="00480F4D" w:rsidRDefault="008064D7" w:rsidP="00374719">
      <w:pPr>
        <w:pStyle w:val="Paragraphedeliste"/>
        <w:spacing w:line="240" w:lineRule="auto"/>
        <w:ind w:left="786"/>
        <w:rPr>
          <w:rFonts w:ascii="Times New Roman" w:hAnsi="Times New Roman"/>
          <w:sz w:val="24"/>
        </w:rPr>
      </w:pPr>
      <w:r w:rsidRPr="00480F4D">
        <w:rPr>
          <w:rFonts w:ascii="Times New Roman" w:hAnsi="Times New Roman"/>
          <w:sz w:val="24"/>
        </w:rPr>
        <w:t>Les deux concepts repris en droit européen</w:t>
      </w:r>
      <w:r>
        <w:rPr>
          <w:rFonts w:ascii="Times New Roman" w:hAnsi="Times New Roman"/>
          <w:sz w:val="24"/>
        </w:rPr>
        <w:t xml:space="preserve"> -</w:t>
      </w:r>
      <w:r w:rsidRPr="00480F4D">
        <w:rPr>
          <w:rFonts w:ascii="Times New Roman" w:hAnsi="Times New Roman"/>
          <w:sz w:val="24"/>
        </w:rPr>
        <w:t>priorité absolue et priorité relatives</w:t>
      </w:r>
      <w:r>
        <w:rPr>
          <w:rFonts w:ascii="Times New Roman" w:hAnsi="Times New Roman"/>
          <w:sz w:val="24"/>
        </w:rPr>
        <w:t>-</w:t>
      </w:r>
      <w:r w:rsidRPr="00480F4D">
        <w:rPr>
          <w:rFonts w:ascii="Times New Roman" w:hAnsi="Times New Roman"/>
          <w:sz w:val="24"/>
        </w:rPr>
        <w:t xml:space="preserve"> sont décrits au 55</w:t>
      </w:r>
      <w:r w:rsidRPr="00480F4D">
        <w:rPr>
          <w:rFonts w:ascii="Times New Roman" w:hAnsi="Times New Roman"/>
          <w:sz w:val="24"/>
          <w:vertAlign w:val="superscript"/>
        </w:rPr>
        <w:t>ème</w:t>
      </w:r>
      <w:r w:rsidRPr="00480F4D">
        <w:rPr>
          <w:rFonts w:ascii="Times New Roman" w:hAnsi="Times New Roman"/>
          <w:sz w:val="24"/>
        </w:rPr>
        <w:t xml:space="preserve"> et au 56</w:t>
      </w:r>
      <w:r w:rsidRPr="00480F4D">
        <w:rPr>
          <w:rFonts w:ascii="Times New Roman" w:hAnsi="Times New Roman"/>
          <w:sz w:val="24"/>
          <w:vertAlign w:val="superscript"/>
        </w:rPr>
        <w:t>ème</w:t>
      </w:r>
      <w:r w:rsidRPr="00480F4D">
        <w:rPr>
          <w:rFonts w:ascii="Times New Roman" w:hAnsi="Times New Roman"/>
          <w:sz w:val="24"/>
        </w:rPr>
        <w:t xml:space="preserve"> considérant qui laisse</w:t>
      </w:r>
      <w:r>
        <w:rPr>
          <w:rFonts w:ascii="Times New Roman" w:hAnsi="Times New Roman"/>
          <w:sz w:val="24"/>
        </w:rPr>
        <w:t>nt effectivement</w:t>
      </w:r>
      <w:r w:rsidRPr="00480F4D">
        <w:rPr>
          <w:rFonts w:ascii="Times New Roman" w:hAnsi="Times New Roman"/>
          <w:sz w:val="24"/>
        </w:rPr>
        <w:t xml:space="preserve"> une option aux Etats membres en indiquant</w:t>
      </w:r>
      <w:r>
        <w:rPr>
          <w:rFonts w:ascii="Times New Roman" w:hAnsi="Times New Roman"/>
          <w:sz w:val="24"/>
        </w:rPr>
        <w:t xml:space="preserve">, pour la règle de priorité </w:t>
      </w:r>
      <w:r w:rsidRPr="000F02F1">
        <w:rPr>
          <w:rFonts w:ascii="Times New Roman" w:hAnsi="Times New Roman"/>
          <w:sz w:val="24"/>
          <w:u w:val="single"/>
        </w:rPr>
        <w:t>absolue</w:t>
      </w:r>
      <w:r w:rsidRPr="00480F4D">
        <w:rPr>
          <w:rFonts w:ascii="Times New Roman" w:hAnsi="Times New Roman"/>
          <w:sz w:val="24"/>
        </w:rPr>
        <w:t> :</w:t>
      </w:r>
    </w:p>
    <w:p w:rsidR="008064D7" w:rsidRDefault="008064D7" w:rsidP="00374719">
      <w:pPr>
        <w:pStyle w:val="Paragraphedeliste"/>
        <w:spacing w:line="240" w:lineRule="auto"/>
        <w:ind w:left="786"/>
      </w:pPr>
    </w:p>
    <w:p w:rsidR="008064D7" w:rsidRPr="007E5ED4" w:rsidRDefault="008064D7" w:rsidP="00374719">
      <w:pPr>
        <w:pStyle w:val="Paragraphedeliste"/>
        <w:spacing w:line="240" w:lineRule="auto"/>
        <w:ind w:left="1416"/>
        <w:rPr>
          <w:rFonts w:ascii="Times New Roman" w:hAnsi="Times New Roman"/>
          <w:i/>
        </w:rPr>
      </w:pPr>
      <w:r w:rsidRPr="007E5ED4">
        <w:rPr>
          <w:rFonts w:ascii="Times New Roman" w:hAnsi="Times New Roman"/>
          <w:i/>
        </w:rPr>
        <w:lastRenderedPageBreak/>
        <w:t xml:space="preserve">55 Dans le cas de l'application forcée interclasse, les États membres </w:t>
      </w:r>
      <w:r w:rsidRPr="007E5ED4">
        <w:rPr>
          <w:rFonts w:ascii="Times New Roman" w:hAnsi="Times New Roman"/>
          <w:i/>
          <w:u w:val="single"/>
        </w:rPr>
        <w:t>devraient</w:t>
      </w:r>
      <w:r w:rsidRPr="007E5ED4">
        <w:rPr>
          <w:rFonts w:ascii="Times New Roman" w:hAnsi="Times New Roman"/>
          <w:i/>
        </w:rPr>
        <w:t xml:space="preserve"> veiller à ce que les classes dissidentes de créanciers affectés ne soient pas excessivement lésées par le plan proposé et les États membres devraient prévoir une protection suffisante pour ces classes dissidentes. Les États membres devraient pouvoir protéger une classe dissidente de créanciers affectés en veillant à ce que celle-ci soit traitée d'une manière au moins aussi favorable qu'une autre classe de même rang et d'une manière plus favorable que toute classe de rang inférieur. Les États membres pourraient protéger une catégorie de créanciers affectés dissidents en veillant à ce qu'une telle classe dissidente soit intégralement désintéressée si une classe de rang inférieur bénéficie des répartitions ou conserve un intéressement dans le cadre du plan de restructuration (la règle de la priorité absolue). Les États membres devraient disposer d'une marge d'appréciation en ce qui concerne l'application de la notion de « désintéressement intégral », y compris pour ce qui est du calendrier du remboursement, pour autant que le montant en principal de la créance et, dans le cas de créanciers garantis, la valeur de la sûreté soient protégés. Les États membres devraient également être en mesure de choisir les moyens équivalents qui permettraient d'acquitter intégralement la créance initiale.</w:t>
      </w:r>
    </w:p>
    <w:p w:rsidR="008064D7" w:rsidRDefault="008064D7" w:rsidP="00374719">
      <w:pPr>
        <w:spacing w:line="240" w:lineRule="auto"/>
        <w:rPr>
          <w:i/>
          <w:sz w:val="20"/>
        </w:rPr>
      </w:pPr>
      <w:r>
        <w:rPr>
          <w:i/>
          <w:sz w:val="20"/>
        </w:rPr>
        <w:tab/>
      </w:r>
    </w:p>
    <w:p w:rsidR="008064D7" w:rsidRPr="007E5ED4" w:rsidRDefault="008064D7" w:rsidP="00374719">
      <w:pPr>
        <w:spacing w:line="240" w:lineRule="auto"/>
        <w:ind w:left="708"/>
        <w:rPr>
          <w:rFonts w:ascii="Times New Roman" w:hAnsi="Times New Roman"/>
          <w:sz w:val="24"/>
        </w:rPr>
      </w:pPr>
      <w:r w:rsidRPr="007E5ED4">
        <w:rPr>
          <w:rFonts w:ascii="Times New Roman" w:hAnsi="Times New Roman"/>
          <w:sz w:val="24"/>
        </w:rPr>
        <w:t xml:space="preserve">La règle de priorité dite </w:t>
      </w:r>
      <w:r w:rsidRPr="000F02F1">
        <w:rPr>
          <w:rFonts w:ascii="Times New Roman" w:hAnsi="Times New Roman"/>
          <w:sz w:val="24"/>
          <w:u w:val="single"/>
        </w:rPr>
        <w:t>relative</w:t>
      </w:r>
      <w:r w:rsidRPr="007E5ED4">
        <w:rPr>
          <w:rFonts w:ascii="Times New Roman" w:hAnsi="Times New Roman"/>
          <w:sz w:val="24"/>
        </w:rPr>
        <w:t xml:space="preserve"> est décrite ensuite : </w:t>
      </w:r>
    </w:p>
    <w:p w:rsidR="008064D7" w:rsidRPr="00554C74" w:rsidRDefault="008064D7" w:rsidP="00374719">
      <w:pPr>
        <w:spacing w:line="240" w:lineRule="auto"/>
        <w:ind w:left="708"/>
        <w:rPr>
          <w:sz w:val="20"/>
        </w:rPr>
      </w:pPr>
    </w:p>
    <w:p w:rsidR="008064D7" w:rsidRPr="007E5ED4" w:rsidRDefault="008064D7" w:rsidP="00374719">
      <w:pPr>
        <w:pStyle w:val="Paragraphedeliste"/>
        <w:spacing w:line="240" w:lineRule="auto"/>
        <w:ind w:left="1416"/>
        <w:rPr>
          <w:rFonts w:ascii="Times New Roman" w:hAnsi="Times New Roman"/>
          <w:i/>
        </w:rPr>
      </w:pPr>
      <w:r w:rsidRPr="007E5ED4">
        <w:rPr>
          <w:rFonts w:ascii="Times New Roman" w:hAnsi="Times New Roman"/>
          <w:i/>
        </w:rPr>
        <w:t xml:space="preserve">56 Les États membres </w:t>
      </w:r>
      <w:r w:rsidRPr="007E5ED4">
        <w:rPr>
          <w:rFonts w:ascii="Times New Roman" w:hAnsi="Times New Roman"/>
          <w:i/>
          <w:u w:val="single"/>
        </w:rPr>
        <w:t>devraient pouvoir déroger à la règle de la priorité absolue</w:t>
      </w:r>
      <w:r w:rsidRPr="007E5ED4">
        <w:rPr>
          <w:rFonts w:ascii="Times New Roman" w:hAnsi="Times New Roman"/>
          <w:i/>
        </w:rPr>
        <w:t xml:space="preserve">, par exemple lorsqu'il est considéré équitable que les détenteurs de capital conservent certains intérêts dans le cadre du plan en dépit du fait qu'une classe de rang supérieur soit obligée d'accepter une réduction de ses créances, ou que des fournisseurs essentiels visés par la disposition relative à la suspension des poursuites individuelles soient payés avant des classes de créanciers de rang supérieur. Les États membres devraient pouvoir choisir lequel des mécanismes de protection susmentionnés ils mettent en place. </w:t>
      </w:r>
    </w:p>
    <w:p w:rsidR="008064D7" w:rsidRDefault="008064D7" w:rsidP="00374719">
      <w:pPr>
        <w:pStyle w:val="Paragraphedeliste"/>
        <w:spacing w:line="240" w:lineRule="auto"/>
        <w:ind w:left="786"/>
      </w:pPr>
    </w:p>
    <w:p w:rsidR="008064D7" w:rsidRPr="007E5ED4" w:rsidRDefault="008064D7" w:rsidP="00374719">
      <w:pPr>
        <w:spacing w:line="240" w:lineRule="auto"/>
        <w:ind w:left="708"/>
        <w:rPr>
          <w:rFonts w:ascii="Times New Roman" w:hAnsi="Times New Roman"/>
          <w:sz w:val="24"/>
        </w:rPr>
      </w:pPr>
      <w:r w:rsidRPr="007E5ED4">
        <w:rPr>
          <w:rFonts w:ascii="Times New Roman" w:hAnsi="Times New Roman"/>
          <w:sz w:val="24"/>
        </w:rPr>
        <w:t>Ce qu</w:t>
      </w:r>
      <w:r>
        <w:rPr>
          <w:rFonts w:ascii="Times New Roman" w:hAnsi="Times New Roman"/>
          <w:sz w:val="24"/>
        </w:rPr>
        <w:t>e</w:t>
      </w:r>
      <w:r w:rsidRPr="007E5ED4">
        <w:rPr>
          <w:rFonts w:ascii="Times New Roman" w:hAnsi="Times New Roman"/>
          <w:sz w:val="24"/>
        </w:rPr>
        <w:t xml:space="preserve"> traduit l’article 11</w:t>
      </w:r>
      <w:r>
        <w:rPr>
          <w:rFonts w:ascii="Times New Roman" w:hAnsi="Times New Roman"/>
          <w:sz w:val="24"/>
        </w:rPr>
        <w:t xml:space="preserve"> </w:t>
      </w:r>
      <w:r w:rsidRPr="0028037F">
        <w:rPr>
          <w:rStyle w:val="Appelnotedebasdep"/>
          <w:u w:val="single"/>
        </w:rPr>
        <w:footnoteReference w:id="8"/>
      </w:r>
      <w:r w:rsidRPr="007E5ED4">
        <w:rPr>
          <w:rFonts w:ascii="Times New Roman" w:hAnsi="Times New Roman"/>
          <w:sz w:val="24"/>
        </w:rPr>
        <w:t> :</w:t>
      </w:r>
    </w:p>
    <w:p w:rsidR="008064D7" w:rsidRDefault="008064D7" w:rsidP="00374719">
      <w:pPr>
        <w:pStyle w:val="Paragraphedeliste"/>
        <w:spacing w:line="240" w:lineRule="auto"/>
        <w:ind w:left="786"/>
      </w:pPr>
    </w:p>
    <w:p w:rsidR="008064D7" w:rsidRPr="007E5ED4" w:rsidRDefault="008064D7" w:rsidP="007565AA">
      <w:pPr>
        <w:pStyle w:val="Paragraphedeliste"/>
        <w:numPr>
          <w:ilvl w:val="0"/>
          <w:numId w:val="6"/>
        </w:numPr>
        <w:spacing w:line="240" w:lineRule="auto"/>
        <w:rPr>
          <w:rFonts w:ascii="Times New Roman" w:hAnsi="Times New Roman"/>
          <w:i/>
        </w:rPr>
      </w:pPr>
      <w:r w:rsidRPr="007E5ED4">
        <w:rPr>
          <w:rFonts w:ascii="Times New Roman" w:hAnsi="Times New Roman"/>
          <w:i/>
        </w:rPr>
        <w:t xml:space="preserve">Les États membres veillent à ce qu'un plan de restructuration qui n'est pas approuvé par les parties affectées conformément à l'article 9, paragraphe 6, dans chaque classe autorisée à voter puisse être validé par une autorité judiciaire ou administrative sur proposition d'un débiteur, ou avec l'accord du débiteur, et être imposé aux classes dissidentes autorisées à voter, lorsque ce plan de restructuration remplit au moins les conditions suivantes : a) ….  b) il a été approuvé: i) par une majorité de classes de parties affectées autorisées à voter, à condition </w:t>
      </w:r>
      <w:r w:rsidRPr="00093E56">
        <w:rPr>
          <w:rFonts w:ascii="Times New Roman" w:hAnsi="Times New Roman"/>
          <w:i/>
          <w:u w:val="single"/>
        </w:rPr>
        <w:t>qu'au moins une de ces classes soit une classe de créanciers garantis ou ait un rang supérieur</w:t>
      </w:r>
      <w:r w:rsidRPr="007E5ED4">
        <w:rPr>
          <w:rFonts w:ascii="Times New Roman" w:hAnsi="Times New Roman"/>
          <w:i/>
        </w:rPr>
        <w:t xml:space="preserve"> à celui de la classe des créanciers chirographaires; </w:t>
      </w:r>
      <w:r w:rsidRPr="00093E56">
        <w:rPr>
          <w:rFonts w:ascii="Times New Roman" w:hAnsi="Times New Roman"/>
          <w:i/>
          <w:u w:val="single"/>
        </w:rPr>
        <w:t>ou, à défaut</w:t>
      </w:r>
      <w:r w:rsidRPr="007E5ED4">
        <w:rPr>
          <w:rFonts w:ascii="Times New Roman" w:hAnsi="Times New Roman"/>
          <w:i/>
        </w:rPr>
        <w:t xml:space="preserve">, ii) </w:t>
      </w:r>
      <w:r w:rsidRPr="00093E56">
        <w:rPr>
          <w:rFonts w:ascii="Times New Roman" w:hAnsi="Times New Roman"/>
          <w:i/>
          <w:u w:val="single"/>
        </w:rPr>
        <w:t>par au moins une des classes</w:t>
      </w:r>
      <w:r w:rsidRPr="007E5ED4">
        <w:rPr>
          <w:rFonts w:ascii="Times New Roman" w:hAnsi="Times New Roman"/>
          <w:i/>
        </w:rPr>
        <w:t xml:space="preserve"> de parties affectées autorisée à voter, ou si le droit national le prévoit, de parties lésées, autre qu'une classe de détenteurs de capital ou toute autre classe qui, </w:t>
      </w:r>
      <w:r w:rsidRPr="007E5ED4">
        <w:rPr>
          <w:rFonts w:ascii="Times New Roman" w:hAnsi="Times New Roman"/>
          <w:i/>
          <w:u w:val="single"/>
        </w:rPr>
        <w:t>après détermination de la valeur du débiteur</w:t>
      </w:r>
      <w:r w:rsidRPr="007E5ED4">
        <w:rPr>
          <w:rFonts w:ascii="Times New Roman" w:hAnsi="Times New Roman"/>
          <w:i/>
        </w:rPr>
        <w:t xml:space="preserve"> </w:t>
      </w:r>
      <w:r w:rsidRPr="007E5ED4">
        <w:rPr>
          <w:rFonts w:ascii="Times New Roman" w:hAnsi="Times New Roman"/>
          <w:i/>
          <w:u w:val="single"/>
        </w:rPr>
        <w:t>en tant qu'entreprise en activité</w:t>
      </w:r>
      <w:r w:rsidRPr="007E5ED4">
        <w:rPr>
          <w:rFonts w:ascii="Times New Roman" w:hAnsi="Times New Roman"/>
          <w:i/>
        </w:rPr>
        <w:t xml:space="preserve">, n'aurait droit à aucun paiement ou à ne conserver aucun intéressement, ou, si le droit national le prévoit, dont on peut raisonnablement supposer qu'elle n'aurait droit à aucun paiement ou à ne conserver aucun intéressement si le classement normal des priorités de liquidation était appliqué conformément au droit national; c) il veille à ce que les classes dissidentes </w:t>
      </w:r>
      <w:r w:rsidRPr="00093E56">
        <w:rPr>
          <w:rFonts w:ascii="Times New Roman" w:hAnsi="Times New Roman"/>
          <w:i/>
          <w:u w:val="single"/>
        </w:rPr>
        <w:t>de créanciers affectés autorisées à voter soient traitées d'une manière au moins aussi favorable que toute autre classe de même rang et d'une manière plus favorable que toute classe de rang inférieur</w:t>
      </w:r>
      <w:r w:rsidRPr="007E5ED4">
        <w:rPr>
          <w:rFonts w:ascii="Times New Roman" w:hAnsi="Times New Roman"/>
          <w:i/>
        </w:rPr>
        <w:t xml:space="preserve">; et d) aucune classe de parties affectées ne peut, dans le cadre du plan de restructuration, recevoir ou conserver plus que le montant total de ses créances ou intérêts. </w:t>
      </w:r>
    </w:p>
    <w:p w:rsidR="008064D7" w:rsidRPr="007E5ED4" w:rsidRDefault="008064D7" w:rsidP="00374719">
      <w:pPr>
        <w:pStyle w:val="Paragraphedeliste"/>
        <w:spacing w:line="240" w:lineRule="auto"/>
        <w:ind w:left="1146"/>
        <w:rPr>
          <w:rFonts w:ascii="Times New Roman" w:hAnsi="Times New Roman"/>
          <w:i/>
        </w:rPr>
      </w:pPr>
    </w:p>
    <w:p w:rsidR="008064D7" w:rsidRPr="007E5ED4" w:rsidRDefault="008064D7" w:rsidP="00374719">
      <w:pPr>
        <w:pStyle w:val="Paragraphedeliste"/>
        <w:spacing w:line="240" w:lineRule="auto"/>
        <w:ind w:left="1146"/>
        <w:rPr>
          <w:rFonts w:ascii="Times New Roman" w:hAnsi="Times New Roman"/>
          <w:i/>
        </w:rPr>
      </w:pPr>
      <w:r w:rsidRPr="007E5ED4">
        <w:rPr>
          <w:rFonts w:ascii="Times New Roman" w:hAnsi="Times New Roman"/>
          <w:i/>
        </w:rPr>
        <w:lastRenderedPageBreak/>
        <w:t xml:space="preserve">Par dérogation au premier alinéa, les États membres peuvent limiter l'obligation d'obtenir l'accord du débiteur aux cas où les débiteurs sont des PME. Les États membres peuvent accroître le nombre minimal de classes de parties affectées ou, si le droit national le prévoit, de parties lésées, requis pour approuver le plan, tel qu'il est fixé au point b) ii) du premier alinéa. </w:t>
      </w:r>
    </w:p>
    <w:p w:rsidR="008064D7" w:rsidRPr="007E5ED4" w:rsidRDefault="008064D7" w:rsidP="00374719">
      <w:pPr>
        <w:pStyle w:val="Paragraphedeliste"/>
        <w:rPr>
          <w:rFonts w:ascii="Times New Roman" w:hAnsi="Times New Roman"/>
          <w:i/>
        </w:rPr>
      </w:pPr>
    </w:p>
    <w:p w:rsidR="008064D7" w:rsidRPr="007E5ED4" w:rsidRDefault="008064D7" w:rsidP="007565AA">
      <w:pPr>
        <w:pStyle w:val="Paragraphedeliste"/>
        <w:numPr>
          <w:ilvl w:val="0"/>
          <w:numId w:val="6"/>
        </w:numPr>
        <w:spacing w:line="240" w:lineRule="auto"/>
        <w:rPr>
          <w:rFonts w:ascii="Times New Roman" w:hAnsi="Times New Roman"/>
          <w:i/>
        </w:rPr>
      </w:pPr>
      <w:r w:rsidRPr="007E5ED4">
        <w:rPr>
          <w:rFonts w:ascii="Times New Roman" w:hAnsi="Times New Roman"/>
          <w:i/>
        </w:rPr>
        <w:t xml:space="preserve">Par dérogation au paragraphe 1, point c), les États membres peuvent prévoir que les créances des créanciers affectés d'une classe dissidente autorisée à voter sont intégralement désintéressées par des moyens identiques ou équivalents lorsqu'une classe de rang inférieur a droit à un paiement ou conserve un intéressement dans le cadre du plan de restructuration. Les États membres peuvent maintenir ou introduire des dispositions dérogeant au premier alinéa </w:t>
      </w:r>
      <w:r w:rsidRPr="007E5ED4">
        <w:rPr>
          <w:rFonts w:ascii="Times New Roman" w:hAnsi="Times New Roman"/>
          <w:i/>
          <w:u w:val="single"/>
        </w:rPr>
        <w:t>lorsqu'elles sont nécessaires afin d'atteindre les objectifs du plan de restructuration</w:t>
      </w:r>
      <w:r w:rsidRPr="007E5ED4">
        <w:rPr>
          <w:rFonts w:ascii="Times New Roman" w:hAnsi="Times New Roman"/>
          <w:i/>
        </w:rPr>
        <w:t xml:space="preserve"> et </w:t>
      </w:r>
      <w:r w:rsidRPr="007E5ED4">
        <w:rPr>
          <w:rFonts w:ascii="Times New Roman" w:hAnsi="Times New Roman"/>
          <w:i/>
          <w:u w:val="single"/>
        </w:rPr>
        <w:t>si le plan de restructuration ne porte pas une atteinte excessive aux droits ou intérêts de parties affectées</w:t>
      </w:r>
      <w:r w:rsidRPr="007E5ED4">
        <w:rPr>
          <w:rFonts w:ascii="Times New Roman" w:hAnsi="Times New Roman"/>
          <w:i/>
        </w:rPr>
        <w:t>.</w:t>
      </w:r>
    </w:p>
    <w:p w:rsidR="008064D7" w:rsidRDefault="008064D7" w:rsidP="00374719">
      <w:pPr>
        <w:pStyle w:val="Paragraphedeliste"/>
        <w:spacing w:line="240" w:lineRule="auto"/>
        <w:ind w:left="786"/>
      </w:pPr>
    </w:p>
    <w:p w:rsidR="00093E56" w:rsidRDefault="00FB4F2D" w:rsidP="00374719">
      <w:pPr>
        <w:pStyle w:val="Paragraphedeliste"/>
        <w:spacing w:line="240" w:lineRule="auto"/>
        <w:ind w:left="786"/>
        <w:rPr>
          <w:rFonts w:ascii="Times New Roman" w:hAnsi="Times New Roman"/>
          <w:sz w:val="24"/>
        </w:rPr>
      </w:pPr>
      <w:r w:rsidRPr="00FB4F2D">
        <w:rPr>
          <w:rFonts w:ascii="Times New Roman" w:hAnsi="Times New Roman"/>
          <w:sz w:val="24"/>
        </w:rPr>
        <w:t xml:space="preserve">Quelques </w:t>
      </w:r>
      <w:r>
        <w:rPr>
          <w:rFonts w:ascii="Times New Roman" w:hAnsi="Times New Roman"/>
          <w:sz w:val="24"/>
        </w:rPr>
        <w:t xml:space="preserve">commentaires sont utiles : </w:t>
      </w:r>
      <w:r w:rsidR="00093E56">
        <w:rPr>
          <w:rFonts w:ascii="Times New Roman" w:hAnsi="Times New Roman"/>
          <w:sz w:val="24"/>
        </w:rPr>
        <w:t xml:space="preserve">L’article 11 1° </w:t>
      </w:r>
      <w:r w:rsidR="00093E56" w:rsidRPr="00093E56">
        <w:rPr>
          <w:rFonts w:ascii="Times New Roman" w:hAnsi="Times New Roman"/>
          <w:sz w:val="24"/>
          <w:u w:val="single"/>
        </w:rPr>
        <w:t>b)</w:t>
      </w:r>
      <w:r w:rsidR="00093E56">
        <w:rPr>
          <w:rFonts w:ascii="Times New Roman" w:hAnsi="Times New Roman"/>
          <w:sz w:val="24"/>
        </w:rPr>
        <w:t xml:space="preserve"> i) qui détermine la règle d’approbation interclasse décrit donc une alternative : soit le plan est approuvé par au moins une classe de créanciers garantis et à défaut de garantis de rang supérieure soit si ce n’est pas le cas par au moins une classe qui après détermination de la valeur going–concern n’aurait droit à aucun paiement si on appliquait le traitement par rang en liquidation</w:t>
      </w:r>
      <w:r w:rsidR="00936DB9">
        <w:rPr>
          <w:rFonts w:ascii="Times New Roman" w:hAnsi="Times New Roman"/>
          <w:sz w:val="24"/>
        </w:rPr>
        <w:t>.</w:t>
      </w:r>
      <w:r w:rsidR="00093E56">
        <w:rPr>
          <w:rFonts w:ascii="Times New Roman" w:hAnsi="Times New Roman"/>
          <w:sz w:val="24"/>
        </w:rPr>
        <w:t xml:space="preserve"> </w:t>
      </w:r>
    </w:p>
    <w:p w:rsidR="00093E56" w:rsidRDefault="00093E56" w:rsidP="00374719">
      <w:pPr>
        <w:pStyle w:val="Paragraphedeliste"/>
        <w:spacing w:line="240" w:lineRule="auto"/>
        <w:ind w:left="786"/>
        <w:rPr>
          <w:rFonts w:ascii="Times New Roman" w:hAnsi="Times New Roman"/>
          <w:sz w:val="24"/>
        </w:rPr>
      </w:pPr>
    </w:p>
    <w:p w:rsidR="00FB4F2D" w:rsidRPr="00FB4F2D" w:rsidRDefault="00093E56" w:rsidP="00374719">
      <w:pPr>
        <w:pStyle w:val="Paragraphedeliste"/>
        <w:spacing w:line="240" w:lineRule="auto"/>
        <w:ind w:left="786"/>
        <w:rPr>
          <w:rFonts w:ascii="Times New Roman" w:hAnsi="Times New Roman"/>
          <w:sz w:val="24"/>
        </w:rPr>
      </w:pPr>
      <w:r>
        <w:rPr>
          <w:rFonts w:ascii="Times New Roman" w:hAnsi="Times New Roman"/>
          <w:sz w:val="24"/>
        </w:rPr>
        <w:t xml:space="preserve">L’article 11 2° permet de déroger à l’article 11 1° </w:t>
      </w:r>
      <w:r w:rsidRPr="00093E56">
        <w:rPr>
          <w:rFonts w:ascii="Times New Roman" w:hAnsi="Times New Roman"/>
          <w:sz w:val="24"/>
          <w:u w:val="single"/>
        </w:rPr>
        <w:t>c)</w:t>
      </w:r>
      <w:r>
        <w:rPr>
          <w:rFonts w:ascii="Times New Roman" w:hAnsi="Times New Roman"/>
          <w:sz w:val="24"/>
        </w:rPr>
        <w:t xml:space="preserve">  qui vise en réalité les modalités des propositions faites aux créanciers à ce que , comme condition complémentaire à celle du b) , les classes dissidentes soient traitée de manière au moins aussi favorable que toute autre classe de même rang et de manière plus favorable que toute autre classe de rang inférieurs en permettant un tel traitement différent soit en admettant un paiement par des moyens identiques ou équivalents  soit si c’est nécessaire afin d’atteindre les objectif du plan sans portait une atteinte excessive aux droits et intérêts de parties affectées</w:t>
      </w:r>
      <w:r w:rsidR="00936DB9">
        <w:rPr>
          <w:rFonts w:ascii="Times New Roman" w:hAnsi="Times New Roman"/>
          <w:sz w:val="24"/>
        </w:rPr>
        <w:t>.</w:t>
      </w:r>
      <w:r>
        <w:rPr>
          <w:rFonts w:ascii="Times New Roman" w:hAnsi="Times New Roman"/>
          <w:sz w:val="24"/>
        </w:rPr>
        <w:t xml:space="preserve"> </w:t>
      </w:r>
    </w:p>
    <w:p w:rsidR="00FB4F2D" w:rsidRDefault="00FB4F2D" w:rsidP="00374719">
      <w:pPr>
        <w:pStyle w:val="Paragraphedeliste"/>
        <w:spacing w:line="240" w:lineRule="auto"/>
        <w:ind w:left="786"/>
      </w:pPr>
    </w:p>
    <w:p w:rsidR="001E373A" w:rsidRPr="001E373A" w:rsidRDefault="00FB4F2D" w:rsidP="007565AA">
      <w:pPr>
        <w:pStyle w:val="Paragraphedeliste"/>
        <w:numPr>
          <w:ilvl w:val="0"/>
          <w:numId w:val="2"/>
        </w:numPr>
        <w:spacing w:line="240" w:lineRule="auto"/>
        <w:rPr>
          <w:rFonts w:ascii="Times New Roman" w:hAnsi="Times New Roman"/>
          <w:sz w:val="24"/>
        </w:rPr>
      </w:pPr>
      <w:r>
        <w:rPr>
          <w:rFonts w:ascii="Times New Roman" w:hAnsi="Times New Roman"/>
          <w:sz w:val="24"/>
        </w:rPr>
        <w:t>Il est nécessaire pou</w:t>
      </w:r>
      <w:r w:rsidR="00093E56">
        <w:rPr>
          <w:rFonts w:ascii="Times New Roman" w:hAnsi="Times New Roman"/>
          <w:sz w:val="24"/>
        </w:rPr>
        <w:t xml:space="preserve">r le développement de la </w:t>
      </w:r>
      <w:r>
        <w:rPr>
          <w:rFonts w:ascii="Times New Roman" w:hAnsi="Times New Roman"/>
          <w:sz w:val="24"/>
        </w:rPr>
        <w:t>contribution de rappeler la règle américaine</w:t>
      </w:r>
    </w:p>
    <w:p w:rsidR="00146F7F" w:rsidRPr="00146F7F" w:rsidRDefault="00146F7F" w:rsidP="00FB4F2D">
      <w:pPr>
        <w:spacing w:line="240" w:lineRule="auto"/>
        <w:ind w:left="426"/>
        <w:rPr>
          <w:rFonts w:ascii="Times New Roman" w:hAnsi="Times New Roman"/>
          <w:i/>
        </w:rPr>
      </w:pP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 xml:space="preserve">(1) Nonobstant la section 510(a) du présent titre, si toutes les conditions applicables de la sous-section (a) de la présente section autres que le paragraphe (8) sont respectées à l’égard d’un plan, le tribunal, à la demande du débiteur du plan, le confirme nonobstant les exigences de ce paragraphe </w:t>
      </w:r>
      <w:r w:rsidRPr="00146F7F">
        <w:rPr>
          <w:rFonts w:ascii="Times New Roman" w:hAnsi="Times New Roman"/>
          <w:i/>
          <w:u w:val="single"/>
        </w:rPr>
        <w:t>si le plan ne discrimine pas injustement</w:t>
      </w:r>
      <w:r w:rsidRPr="00146F7F">
        <w:rPr>
          <w:rFonts w:ascii="Times New Roman" w:hAnsi="Times New Roman"/>
          <w:i/>
        </w:rPr>
        <w:t xml:space="preserve"> et </w:t>
      </w:r>
      <w:r w:rsidRPr="00146F7F">
        <w:rPr>
          <w:rFonts w:ascii="Times New Roman" w:hAnsi="Times New Roman"/>
          <w:i/>
          <w:u w:val="single"/>
        </w:rPr>
        <w:t>s’il est juste et équitable à l’égard de chaque classe de créances et d’intérêts</w:t>
      </w:r>
      <w:r w:rsidRPr="00146F7F">
        <w:rPr>
          <w:rFonts w:ascii="Times New Roman" w:hAnsi="Times New Roman"/>
          <w:i/>
        </w:rPr>
        <w:t>) qui sont soumis au plan et ne l’ont pas accepté</w:t>
      </w:r>
    </w:p>
    <w:p w:rsidR="00146F7F" w:rsidRPr="00146F7F" w:rsidRDefault="00146F7F" w:rsidP="00FB4F2D">
      <w:pPr>
        <w:spacing w:line="240" w:lineRule="auto"/>
        <w:ind w:left="1146"/>
        <w:rPr>
          <w:rFonts w:ascii="Times New Roman" w:hAnsi="Times New Roman"/>
          <w:i/>
        </w:rPr>
      </w:pPr>
    </w:p>
    <w:p w:rsidR="00146F7F" w:rsidRDefault="00146F7F" w:rsidP="00FB4F2D">
      <w:pPr>
        <w:spacing w:line="240" w:lineRule="auto"/>
        <w:ind w:left="1146"/>
        <w:rPr>
          <w:rFonts w:ascii="Times New Roman" w:hAnsi="Times New Roman"/>
          <w:i/>
        </w:rPr>
      </w:pPr>
      <w:r w:rsidRPr="00146F7F">
        <w:rPr>
          <w:rFonts w:ascii="Times New Roman" w:hAnsi="Times New Roman"/>
          <w:i/>
        </w:rPr>
        <w:t xml:space="preserve">(2) Pour l’application de la présente sous-section, la condition que </w:t>
      </w:r>
      <w:r w:rsidRPr="00146F7F">
        <w:rPr>
          <w:rFonts w:ascii="Times New Roman" w:hAnsi="Times New Roman"/>
          <w:i/>
          <w:u w:val="single"/>
        </w:rPr>
        <w:t xml:space="preserve">le plan soit juste et équitable </w:t>
      </w:r>
      <w:r w:rsidRPr="00146F7F">
        <w:rPr>
          <w:rFonts w:ascii="Times New Roman" w:hAnsi="Times New Roman"/>
          <w:i/>
        </w:rPr>
        <w:t>à l’égard d’une classe comprend les conditions suivantes :</w:t>
      </w:r>
    </w:p>
    <w:p w:rsidR="00093E56" w:rsidRPr="00146F7F" w:rsidRDefault="00093E56" w:rsidP="00FB4F2D">
      <w:pPr>
        <w:spacing w:line="240" w:lineRule="auto"/>
        <w:ind w:left="1146"/>
        <w:rPr>
          <w:rFonts w:ascii="Times New Roman" w:hAnsi="Times New Roman"/>
          <w:i/>
        </w:rPr>
      </w:pPr>
    </w:p>
    <w:p w:rsidR="00146F7F" w:rsidRPr="00146F7F" w:rsidRDefault="00146F7F" w:rsidP="00FB4F2D">
      <w:pPr>
        <w:spacing w:line="240" w:lineRule="auto"/>
        <w:ind w:left="1866"/>
        <w:rPr>
          <w:rFonts w:ascii="Times New Roman" w:hAnsi="Times New Roman"/>
          <w:i/>
        </w:rPr>
      </w:pPr>
      <w:r w:rsidRPr="00146F7F">
        <w:rPr>
          <w:rFonts w:ascii="Times New Roman" w:hAnsi="Times New Roman"/>
          <w:i/>
        </w:rPr>
        <w:t xml:space="preserve">(A) En ce qui concerne </w:t>
      </w:r>
      <w:r w:rsidRPr="00146F7F">
        <w:rPr>
          <w:rFonts w:ascii="Times New Roman" w:hAnsi="Times New Roman"/>
          <w:i/>
          <w:u w:val="single"/>
        </w:rPr>
        <w:t>une classe de créances garanties</w:t>
      </w:r>
      <w:r w:rsidRPr="00146F7F">
        <w:rPr>
          <w:rFonts w:ascii="Times New Roman" w:hAnsi="Times New Roman"/>
          <w:i/>
        </w:rPr>
        <w:t>, le plan prévoit :</w:t>
      </w:r>
    </w:p>
    <w:p w:rsidR="00146F7F" w:rsidRPr="00146F7F" w:rsidRDefault="00146F7F" w:rsidP="00FB4F2D">
      <w:pPr>
        <w:spacing w:line="240" w:lineRule="auto"/>
        <w:ind w:left="2586"/>
        <w:rPr>
          <w:rFonts w:ascii="Times New Roman" w:hAnsi="Times New Roman"/>
          <w:i/>
        </w:rPr>
      </w:pPr>
      <w:r w:rsidRPr="00146F7F">
        <w:rPr>
          <w:rFonts w:ascii="Times New Roman" w:hAnsi="Times New Roman"/>
          <w:i/>
        </w:rPr>
        <w:t>(i)</w:t>
      </w:r>
    </w:p>
    <w:p w:rsidR="00146F7F" w:rsidRPr="00146F7F" w:rsidRDefault="00146F7F" w:rsidP="00FB4F2D">
      <w:pPr>
        <w:spacing w:line="240" w:lineRule="auto"/>
        <w:ind w:left="3306"/>
        <w:rPr>
          <w:rFonts w:ascii="Times New Roman" w:hAnsi="Times New Roman"/>
          <w:i/>
        </w:rPr>
      </w:pPr>
      <w:r w:rsidRPr="00146F7F">
        <w:rPr>
          <w:rFonts w:ascii="Times New Roman" w:hAnsi="Times New Roman"/>
          <w:i/>
        </w:rPr>
        <w:t>(I) que les titulaires de telles créances conservent les privilèges garantissant ces créances, que les biens faisant l’objet de ces privilèges soient conservés par le débiteur ou transférés à une autre entité, dans la mesure du montant autorisé de ces créances ; et</w:t>
      </w:r>
    </w:p>
    <w:p w:rsidR="00146F7F" w:rsidRPr="00146F7F" w:rsidRDefault="00146F7F" w:rsidP="00FB4F2D">
      <w:pPr>
        <w:spacing w:line="240" w:lineRule="auto"/>
        <w:ind w:left="3306"/>
        <w:rPr>
          <w:rFonts w:ascii="Times New Roman" w:hAnsi="Times New Roman"/>
          <w:i/>
        </w:rPr>
      </w:pPr>
    </w:p>
    <w:p w:rsidR="00146F7F" w:rsidRPr="00146F7F" w:rsidRDefault="00146F7F" w:rsidP="00FB4F2D">
      <w:pPr>
        <w:spacing w:line="240" w:lineRule="auto"/>
        <w:ind w:left="3306"/>
        <w:rPr>
          <w:rFonts w:ascii="Times New Roman" w:hAnsi="Times New Roman"/>
          <w:i/>
        </w:rPr>
      </w:pPr>
      <w:r w:rsidRPr="00146F7F">
        <w:rPr>
          <w:rFonts w:ascii="Times New Roman" w:hAnsi="Times New Roman"/>
          <w:i/>
        </w:rPr>
        <w:lastRenderedPageBreak/>
        <w:t>(II) que chaque titulaire d’une créance de cette catégorie reçoive au titre de cette créance des paiements en espèces reportés totalisant au moins le montant autorisé de cette créance, d’une valeur, à la date d’entrée en vigueur du plan, au moins égale à celle de la participation de ce titulaire dans un tel bien.</w:t>
      </w:r>
    </w:p>
    <w:p w:rsidR="00146F7F" w:rsidRPr="00146F7F" w:rsidRDefault="00146F7F" w:rsidP="00FB4F2D">
      <w:pPr>
        <w:spacing w:line="240" w:lineRule="auto"/>
        <w:ind w:left="3306"/>
        <w:rPr>
          <w:rFonts w:ascii="Times New Roman" w:hAnsi="Times New Roman"/>
          <w:i/>
        </w:rPr>
      </w:pPr>
    </w:p>
    <w:p w:rsidR="00146F7F" w:rsidRPr="00146F7F" w:rsidRDefault="00146F7F" w:rsidP="00FB4F2D">
      <w:pPr>
        <w:spacing w:line="240" w:lineRule="auto"/>
        <w:ind w:left="2586"/>
        <w:rPr>
          <w:rFonts w:ascii="Times New Roman" w:hAnsi="Times New Roman"/>
          <w:i/>
        </w:rPr>
      </w:pPr>
      <w:r w:rsidRPr="00146F7F">
        <w:rPr>
          <w:rFonts w:ascii="Times New Roman" w:hAnsi="Times New Roman"/>
          <w:i/>
        </w:rPr>
        <w:t>(ii) pour la vente, sous réserve de l’article 363(k) du présent titre, de tout bien qui est assujetti aux privilèges garantissant de telles créances, libres et exempts de tels privilèges, avec ces privilèges à attacher au produit de cette vente, et le traitement de ces privilèges sur le produit en vertu de la clause (i) ou (iii) du présent alinéa; ou</w:t>
      </w:r>
    </w:p>
    <w:p w:rsidR="00146F7F" w:rsidRPr="00146F7F" w:rsidRDefault="00146F7F" w:rsidP="00FB4F2D">
      <w:pPr>
        <w:spacing w:line="240" w:lineRule="auto"/>
        <w:ind w:left="2586"/>
        <w:rPr>
          <w:rFonts w:ascii="Times New Roman" w:hAnsi="Times New Roman"/>
          <w:i/>
        </w:rPr>
      </w:pPr>
    </w:p>
    <w:p w:rsidR="00146F7F" w:rsidRPr="00146F7F" w:rsidRDefault="00146F7F" w:rsidP="00FB4F2D">
      <w:pPr>
        <w:spacing w:line="240" w:lineRule="auto"/>
        <w:ind w:left="2586"/>
        <w:rPr>
          <w:rFonts w:ascii="Times New Roman" w:hAnsi="Times New Roman"/>
          <w:i/>
        </w:rPr>
      </w:pPr>
      <w:r w:rsidRPr="00146F7F">
        <w:rPr>
          <w:rFonts w:ascii="Times New Roman" w:hAnsi="Times New Roman"/>
          <w:i/>
        </w:rPr>
        <w:t>(iii) pour la réalisation par ces titulaires de l’équivalent incontestable de telles créances.</w:t>
      </w:r>
    </w:p>
    <w:p w:rsidR="00146F7F" w:rsidRPr="00146F7F" w:rsidRDefault="00146F7F" w:rsidP="00FB4F2D">
      <w:pPr>
        <w:spacing w:line="240" w:lineRule="auto"/>
        <w:ind w:left="2586"/>
        <w:rPr>
          <w:rFonts w:ascii="Times New Roman" w:hAnsi="Times New Roman"/>
          <w:i/>
        </w:rPr>
      </w:pPr>
    </w:p>
    <w:p w:rsidR="00146F7F" w:rsidRPr="00146F7F" w:rsidRDefault="00146F7F" w:rsidP="00FB4F2D">
      <w:pPr>
        <w:spacing w:line="240" w:lineRule="auto"/>
        <w:ind w:left="1866"/>
        <w:rPr>
          <w:rFonts w:ascii="Times New Roman" w:hAnsi="Times New Roman"/>
          <w:i/>
        </w:rPr>
      </w:pPr>
      <w:r w:rsidRPr="00146F7F">
        <w:rPr>
          <w:rFonts w:ascii="Times New Roman" w:hAnsi="Times New Roman"/>
          <w:i/>
        </w:rPr>
        <w:t xml:space="preserve">(B) En ce qui concerne </w:t>
      </w:r>
      <w:r w:rsidRPr="00146F7F">
        <w:rPr>
          <w:rFonts w:ascii="Times New Roman" w:hAnsi="Times New Roman"/>
          <w:i/>
          <w:u w:val="single"/>
        </w:rPr>
        <w:t>une classe de créances non garanties</w:t>
      </w:r>
      <w:r w:rsidRPr="00146F7F">
        <w:rPr>
          <w:rFonts w:ascii="Times New Roman" w:hAnsi="Times New Roman"/>
          <w:i/>
        </w:rPr>
        <w:t xml:space="preserve"> :</w:t>
      </w:r>
    </w:p>
    <w:p w:rsidR="00146F7F" w:rsidRPr="00146F7F" w:rsidRDefault="00146F7F" w:rsidP="00FB4F2D">
      <w:pPr>
        <w:spacing w:line="240" w:lineRule="auto"/>
        <w:ind w:left="1866"/>
        <w:rPr>
          <w:rFonts w:ascii="Times New Roman" w:hAnsi="Times New Roman"/>
          <w:i/>
        </w:rPr>
      </w:pPr>
    </w:p>
    <w:p w:rsidR="00146F7F" w:rsidRDefault="00146F7F" w:rsidP="00FB4F2D">
      <w:pPr>
        <w:numPr>
          <w:ilvl w:val="0"/>
          <w:numId w:val="35"/>
        </w:numPr>
        <w:spacing w:line="240" w:lineRule="auto"/>
        <w:ind w:left="3306"/>
        <w:rPr>
          <w:rFonts w:ascii="Times New Roman" w:hAnsi="Times New Roman"/>
          <w:i/>
        </w:rPr>
      </w:pPr>
      <w:r w:rsidRPr="00146F7F">
        <w:rPr>
          <w:rFonts w:ascii="Times New Roman" w:hAnsi="Times New Roman"/>
          <w:i/>
        </w:rPr>
        <w:t>le plan prévoit que chaque titulaire d’une créance de cette classe  reçoit ou conserve au titre de la possession de cette créance, à la date d’entrée en vigueur du plan, une valeur égale au montant autorisé de cette créance; ou</w:t>
      </w:r>
    </w:p>
    <w:p w:rsidR="00093E56" w:rsidRPr="00146F7F" w:rsidRDefault="00093E56" w:rsidP="00093E56">
      <w:pPr>
        <w:spacing w:line="240" w:lineRule="auto"/>
        <w:ind w:left="3306"/>
        <w:rPr>
          <w:rFonts w:ascii="Times New Roman" w:hAnsi="Times New Roman"/>
          <w:i/>
        </w:rPr>
      </w:pPr>
    </w:p>
    <w:p w:rsidR="00146F7F" w:rsidRPr="00146F7F" w:rsidRDefault="00146F7F" w:rsidP="00FB4F2D">
      <w:pPr>
        <w:numPr>
          <w:ilvl w:val="0"/>
          <w:numId w:val="35"/>
        </w:numPr>
        <w:spacing w:line="240" w:lineRule="auto"/>
        <w:ind w:left="3306"/>
        <w:rPr>
          <w:rFonts w:ascii="Times New Roman" w:hAnsi="Times New Roman"/>
          <w:i/>
        </w:rPr>
      </w:pPr>
      <w:r w:rsidRPr="00146F7F">
        <w:rPr>
          <w:rFonts w:ascii="Times New Roman" w:hAnsi="Times New Roman"/>
          <w:i/>
        </w:rPr>
        <w:t>le titulaire d’une créance ou d’une part qui est inférieur aux créances de cette catégorie ne recevra ni ne conservera dans le cadre du plan au titre de cette créance ou de cet intérêt subalterne aucun bien, sauf dans le cas où le débiteur est une personne physique, le débiteur peut conserver les biens compris dans la propriété en vertu de l’article 1115, sous réserve des exigences du paragraphe (a)(14) du présent article.</w:t>
      </w:r>
    </w:p>
    <w:p w:rsidR="00146F7F" w:rsidRPr="00146F7F" w:rsidRDefault="00146F7F" w:rsidP="00FB4F2D">
      <w:pPr>
        <w:spacing w:line="240" w:lineRule="auto"/>
        <w:ind w:left="3306"/>
        <w:rPr>
          <w:rFonts w:ascii="Times New Roman" w:hAnsi="Times New Roman"/>
          <w:i/>
        </w:rPr>
      </w:pPr>
    </w:p>
    <w:p w:rsidR="00146F7F" w:rsidRPr="00146F7F" w:rsidRDefault="00146F7F" w:rsidP="00FB4F2D">
      <w:pPr>
        <w:spacing w:line="240" w:lineRule="auto"/>
        <w:ind w:left="1866"/>
        <w:rPr>
          <w:rFonts w:ascii="Times New Roman" w:hAnsi="Times New Roman"/>
          <w:i/>
        </w:rPr>
      </w:pPr>
      <w:r w:rsidRPr="00146F7F">
        <w:rPr>
          <w:rFonts w:ascii="Times New Roman" w:hAnsi="Times New Roman"/>
          <w:i/>
        </w:rPr>
        <w:t>(C) En ce qui concerne une classe d’intérêts</w:t>
      </w:r>
    </w:p>
    <w:p w:rsidR="00146F7F" w:rsidRPr="00146F7F" w:rsidRDefault="00146F7F" w:rsidP="00FB4F2D">
      <w:pPr>
        <w:spacing w:line="240" w:lineRule="auto"/>
        <w:ind w:left="426"/>
        <w:rPr>
          <w:rFonts w:ascii="Times New Roman" w:hAnsi="Times New Roman"/>
          <w:i/>
        </w:rPr>
      </w:pPr>
    </w:p>
    <w:p w:rsidR="00146F7F" w:rsidRPr="00146F7F" w:rsidRDefault="00146F7F" w:rsidP="00FB4F2D">
      <w:pPr>
        <w:numPr>
          <w:ilvl w:val="0"/>
          <w:numId w:val="36"/>
        </w:numPr>
        <w:spacing w:line="240" w:lineRule="auto"/>
        <w:ind w:left="3306"/>
        <w:rPr>
          <w:rFonts w:ascii="Times New Roman" w:hAnsi="Times New Roman"/>
          <w:i/>
        </w:rPr>
      </w:pPr>
      <w:r w:rsidRPr="00146F7F">
        <w:rPr>
          <w:rFonts w:ascii="Times New Roman" w:hAnsi="Times New Roman"/>
          <w:i/>
        </w:rPr>
        <w:t>le plan prévoit que chaque détenteur d’un intérêt de cette classe reçoit ou conserve au titre de la propriété de cet intérêt, une valeur, à la date d’entrée en vigueur du plan, égale au plus élevé du montant fixé lors d’une liquidation auquel il aurait droit, à tout prix de rachat fixe auquel le titulaire a droit ou à la valeur de ces intérêts; ou</w:t>
      </w:r>
    </w:p>
    <w:p w:rsidR="00146F7F" w:rsidRPr="00146F7F" w:rsidRDefault="00146F7F" w:rsidP="00FB4F2D">
      <w:pPr>
        <w:spacing w:line="240" w:lineRule="auto"/>
        <w:ind w:left="3306"/>
        <w:rPr>
          <w:rFonts w:ascii="Times New Roman" w:hAnsi="Times New Roman"/>
          <w:i/>
        </w:rPr>
      </w:pPr>
    </w:p>
    <w:p w:rsidR="00146F7F" w:rsidRPr="00146F7F" w:rsidRDefault="00146F7F" w:rsidP="00FB4F2D">
      <w:pPr>
        <w:numPr>
          <w:ilvl w:val="0"/>
          <w:numId w:val="36"/>
        </w:numPr>
        <w:spacing w:line="240" w:lineRule="auto"/>
        <w:ind w:left="3306"/>
        <w:rPr>
          <w:rFonts w:ascii="Times New Roman" w:hAnsi="Times New Roman"/>
          <w:i/>
        </w:rPr>
      </w:pPr>
      <w:r w:rsidRPr="00146F7F">
        <w:rPr>
          <w:rFonts w:ascii="Times New Roman" w:hAnsi="Times New Roman"/>
          <w:i/>
        </w:rPr>
        <w:t>le titulaire d’un intérêt qui est d’une classe inférieure, ne recevra ni ne conservera aucune propriété en vertu du plan en raison de cet intérêt inférieur.</w:t>
      </w:r>
    </w:p>
    <w:p w:rsidR="00146F7F" w:rsidRDefault="00146F7F" w:rsidP="00146F7F">
      <w:pPr>
        <w:ind w:left="2160"/>
        <w:rPr>
          <w:rFonts w:ascii="Trebuchet MS" w:hAnsi="Trebuchet MS"/>
          <w:i/>
          <w:sz w:val="20"/>
          <w:lang w:eastAsia="fr-BE"/>
        </w:rPr>
      </w:pPr>
    </w:p>
    <w:p w:rsidR="004F1974" w:rsidRDefault="004F1974" w:rsidP="004F1974">
      <w:pPr>
        <w:pStyle w:val="Paragraphedeliste"/>
        <w:spacing w:after="160" w:line="259" w:lineRule="auto"/>
        <w:ind w:left="786"/>
        <w:rPr>
          <w:rFonts w:ascii="Times New Roman" w:hAnsi="Times New Roman"/>
          <w:sz w:val="24"/>
        </w:rPr>
      </w:pPr>
    </w:p>
    <w:p w:rsidR="004F1974" w:rsidRDefault="004F1974" w:rsidP="004F1974">
      <w:pPr>
        <w:pStyle w:val="Titre2"/>
        <w:numPr>
          <w:ilvl w:val="0"/>
          <w:numId w:val="22"/>
        </w:numPr>
        <w:rPr>
          <w:rFonts w:ascii="Times New Roman" w:hAnsi="Times New Roman" w:cs="Times New Roman"/>
        </w:rPr>
      </w:pPr>
      <w:bookmarkStart w:id="2" w:name="_Toc55407518"/>
      <w:r>
        <w:rPr>
          <w:rFonts w:ascii="Times New Roman" w:hAnsi="Times New Roman" w:cs="Times New Roman"/>
        </w:rPr>
        <w:t>Droit comparé</w:t>
      </w:r>
      <w:bookmarkEnd w:id="2"/>
    </w:p>
    <w:p w:rsidR="004F1974" w:rsidRPr="00832892" w:rsidRDefault="004F1974" w:rsidP="004F1974">
      <w:pPr>
        <w:pStyle w:val="Paragraphedeliste"/>
        <w:numPr>
          <w:ilvl w:val="0"/>
          <w:numId w:val="2"/>
        </w:numPr>
        <w:spacing w:line="240" w:lineRule="auto"/>
        <w:ind w:hanging="567"/>
        <w:rPr>
          <w:rFonts w:ascii="Times New Roman" w:hAnsi="Times New Roman"/>
          <w:sz w:val="24"/>
          <w:u w:val="single"/>
        </w:rPr>
      </w:pPr>
      <w:r w:rsidRPr="00832892">
        <w:rPr>
          <w:rFonts w:ascii="Times New Roman" w:hAnsi="Times New Roman"/>
          <w:sz w:val="24"/>
          <w:u w:val="single"/>
        </w:rPr>
        <w:t>En droit Anglais</w:t>
      </w:r>
      <w:r>
        <w:rPr>
          <w:rFonts w:ascii="Times New Roman" w:hAnsi="Times New Roman"/>
          <w:sz w:val="24"/>
        </w:rPr>
        <w:t>. La loi de 2020 CIGA, applicable au 1/07/2020, a introduit le « </w:t>
      </w:r>
      <w:r>
        <w:rPr>
          <w:rFonts w:ascii="Times New Roman" w:hAnsi="Times New Roman"/>
          <w:i/>
          <w:sz w:val="24"/>
        </w:rPr>
        <w:t>Super Schème »</w:t>
      </w:r>
      <w:r>
        <w:rPr>
          <w:rFonts w:ascii="Times New Roman" w:hAnsi="Times New Roman"/>
          <w:sz w:val="24"/>
        </w:rPr>
        <w:t xml:space="preserve"> (nouvelle partie 26A acc Compagnies Act 206) qui permet aux entreprises en difficulté financière de proposer un accord à leurs actionnaires et créanciers qui permet au juge, sur base d’une majorité, d’écraser une minorité.</w:t>
      </w:r>
    </w:p>
    <w:p w:rsidR="004F1974" w:rsidRDefault="004F1974" w:rsidP="004F1974">
      <w:pPr>
        <w:pStyle w:val="Paragraphedeliste"/>
        <w:spacing w:line="240" w:lineRule="auto"/>
        <w:ind w:left="786"/>
        <w:rPr>
          <w:rFonts w:ascii="Times New Roman" w:hAnsi="Times New Roman"/>
          <w:sz w:val="24"/>
          <w:u w:val="single"/>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lastRenderedPageBreak/>
        <w:t>Elle a aussi introduit une nouvelle part. A1 dans l’Insolvency Act 1986 permettant un moratoire. À la différence du moratoire dans la procédure d’administration, ce moratoire, émanant d’un débiteur en possession, permet d’obtenir une suspension pendant 20 jours renouvelable jusqu’à un an, de certains contrats et obligations de paiement tant avant le moratoire que durant le moratoire. Un « </w:t>
      </w:r>
      <w:r>
        <w:rPr>
          <w:rFonts w:ascii="Times New Roman" w:hAnsi="Times New Roman"/>
          <w:i/>
          <w:sz w:val="24"/>
        </w:rPr>
        <w:t>Moniteur »</w:t>
      </w:r>
      <w:r>
        <w:rPr>
          <w:rFonts w:ascii="Times New Roman" w:hAnsi="Times New Roman"/>
          <w:sz w:val="24"/>
        </w:rPr>
        <w:t>, souvent praticien de l’insolvabilité, est désingé, mais ce sont les dirigeants qui restent à la maîtrise des affaires. Ce moniteur doit veiller à la protection des créanciers en vérifiant que la documentation fournie est adéquate, que le débiteur reste dans les conditions du moratoire et qu’il engage et poursuit les négociations avec les créanciers. Ce moratoire est accessible aux entreprises UK En connexion avec le territoire.</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 xml:space="preserve">Le Super Schème permet au débiteur de gérer des difficultés financières existantes ou à venir. Il est moins exigeant que le Schème puisqu’il exigera 75% en valeur de chaque classe de créanciers et/ou actionnaires là où le Schème normal n’exigeait que 75% en valeur </w:t>
      </w:r>
      <w:r>
        <w:rPr>
          <w:rFonts w:ascii="Times New Roman" w:hAnsi="Times New Roman"/>
          <w:sz w:val="24"/>
          <w:u w:val="single"/>
        </w:rPr>
        <w:t>et</w:t>
      </w:r>
      <w:r>
        <w:rPr>
          <w:rFonts w:ascii="Times New Roman" w:hAnsi="Times New Roman"/>
          <w:sz w:val="24"/>
        </w:rPr>
        <w:t xml:space="preserve"> une majorité en nombre dans chaque classe. Le plan pourra être imposé si une classe qui ne conserverait pas d’intérêts dans la « </w:t>
      </w:r>
      <w:r>
        <w:rPr>
          <w:rFonts w:ascii="Times New Roman" w:hAnsi="Times New Roman"/>
          <w:i/>
          <w:sz w:val="24"/>
        </w:rPr>
        <w:t>valeur économique »</w:t>
      </w:r>
      <w:r>
        <w:rPr>
          <w:rFonts w:ascii="Times New Roman" w:hAnsi="Times New Roman"/>
          <w:sz w:val="24"/>
        </w:rPr>
        <w:t xml:space="preserve"> a voté le plan, si les créanciers dissidents n’auraient pas un « </w:t>
      </w:r>
      <w:r>
        <w:rPr>
          <w:rFonts w:ascii="Times New Roman" w:hAnsi="Times New Roman"/>
          <w:i/>
          <w:sz w:val="24"/>
        </w:rPr>
        <w:t>meilleur traitement »</w:t>
      </w:r>
      <w:r>
        <w:rPr>
          <w:rFonts w:ascii="Times New Roman" w:hAnsi="Times New Roman"/>
          <w:sz w:val="24"/>
        </w:rPr>
        <w:t xml:space="preserve"> dans un scénario alternatif et si la Cour conclut que le plan est « </w:t>
      </w:r>
      <w:r>
        <w:rPr>
          <w:rFonts w:ascii="Times New Roman" w:hAnsi="Times New Roman"/>
          <w:i/>
          <w:sz w:val="24"/>
        </w:rPr>
        <w:t>Fair »</w:t>
      </w:r>
      <w:r>
        <w:rPr>
          <w:rFonts w:ascii="Times New Roman" w:hAnsi="Times New Roman"/>
          <w:sz w:val="24"/>
        </w:rPr>
        <w:t>.</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Ces notions de « </w:t>
      </w:r>
      <w:r>
        <w:rPr>
          <w:rFonts w:ascii="Times New Roman" w:hAnsi="Times New Roman"/>
          <w:i/>
          <w:sz w:val="24"/>
        </w:rPr>
        <w:t>valeur économique »</w:t>
      </w:r>
      <w:r>
        <w:rPr>
          <w:rFonts w:ascii="Times New Roman" w:hAnsi="Times New Roman"/>
          <w:sz w:val="24"/>
        </w:rPr>
        <w:t xml:space="preserve"> et de « </w:t>
      </w:r>
      <w:r>
        <w:rPr>
          <w:rFonts w:ascii="Times New Roman" w:hAnsi="Times New Roman"/>
          <w:i/>
          <w:sz w:val="24"/>
        </w:rPr>
        <w:t>meilleure traitement</w:t>
      </w:r>
      <w:r>
        <w:rPr>
          <w:rFonts w:ascii="Times New Roman" w:hAnsi="Times New Roman"/>
          <w:sz w:val="24"/>
        </w:rPr>
        <w:t> » sont donc au cœur du pouvoir du juge qui devra évaluer l’entreprise. Ainsi, le plan peut être imposé par des créancier juniors et insécurisés à des créanciers séniors et sécurisés si ces deux tests sont satisfaits. On a appelé cette situation « </w:t>
      </w:r>
      <w:r>
        <w:rPr>
          <w:rFonts w:ascii="Times New Roman" w:hAnsi="Times New Roman"/>
          <w:i/>
          <w:sz w:val="24"/>
        </w:rPr>
        <w:t>le Cross class cram-down »</w:t>
      </w:r>
      <w:r>
        <w:rPr>
          <w:rFonts w:ascii="Times New Roman" w:hAnsi="Times New Roman"/>
          <w:sz w:val="24"/>
        </w:rPr>
        <w:t xml:space="preserve"> qui visait l’hypothèse où les sécurisés écrasent les non-sécurisés.</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 xml:space="preserve">Virgin Atlantic Airlines a utilisé cette procédure avec succès (jugement du 2 septembre reconnu aux Etats-Unis sous le </w:t>
      </w:r>
      <w:r>
        <w:rPr>
          <w:rFonts w:ascii="Times New Roman" w:hAnsi="Times New Roman"/>
          <w:i/>
          <w:sz w:val="24"/>
        </w:rPr>
        <w:t>chapter 15</w:t>
      </w:r>
      <w:r>
        <w:rPr>
          <w:rFonts w:ascii="Times New Roman" w:hAnsi="Times New Roman"/>
          <w:sz w:val="24"/>
        </w:rPr>
        <w:t>).</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La CIGA n’a pas prévu de règle sur le financement durant la procédure puisque ce sujet est examiné dans le cadre de la réforme du droit des sociétés en cours.</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 xml:space="preserve">Le Super Schème se rapproche du </w:t>
      </w:r>
      <w:r>
        <w:rPr>
          <w:rFonts w:ascii="Times New Roman" w:hAnsi="Times New Roman"/>
          <w:i/>
          <w:sz w:val="24"/>
        </w:rPr>
        <w:t>chapter 11</w:t>
      </w:r>
      <w:r>
        <w:rPr>
          <w:rFonts w:ascii="Times New Roman" w:hAnsi="Times New Roman"/>
          <w:sz w:val="24"/>
        </w:rPr>
        <w:t>, même si le moratoire a moins d’effet que le moratoire US, si le pouvoir du juge anglais de guider la procédure est moins grand que le pouvoir du juge US. La procédure ne peut prendre que de 8 à 12 semaines et n’impose qu’un coût modéré.</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u w:val="single"/>
        </w:rPr>
        <w:t>En droit des Pays-Bas</w:t>
      </w:r>
      <w:r>
        <w:rPr>
          <w:rFonts w:ascii="Times New Roman" w:hAnsi="Times New Roman"/>
          <w:sz w:val="24"/>
        </w:rPr>
        <w:t>. La loi « </w:t>
      </w:r>
      <w:r w:rsidRPr="00075E72">
        <w:rPr>
          <w:rFonts w:ascii="Times New Roman" w:hAnsi="Times New Roman"/>
          <w:i/>
          <w:sz w:val="24"/>
        </w:rPr>
        <w:t>Wet Homologatie Onderhand Akkoord</w:t>
      </w:r>
      <w:r>
        <w:rPr>
          <w:rFonts w:ascii="Times New Roman" w:hAnsi="Times New Roman"/>
          <w:i/>
          <w:sz w:val="24"/>
        </w:rPr>
        <w:t> »</w:t>
      </w:r>
      <w:r>
        <w:rPr>
          <w:rFonts w:ascii="Times New Roman" w:hAnsi="Times New Roman"/>
          <w:sz w:val="24"/>
        </w:rPr>
        <w:t>, en abrégé, WOHA, a été adoptée et publiée au journal officiel. Elle est applicable au 01/01/2021. C’est le 1</w:t>
      </w:r>
      <w:r w:rsidRPr="00075E72">
        <w:rPr>
          <w:rFonts w:ascii="Times New Roman" w:hAnsi="Times New Roman"/>
          <w:sz w:val="24"/>
          <w:vertAlign w:val="superscript"/>
        </w:rPr>
        <w:t>er</w:t>
      </w:r>
      <w:r>
        <w:rPr>
          <w:rFonts w:ascii="Times New Roman" w:hAnsi="Times New Roman"/>
          <w:sz w:val="24"/>
        </w:rPr>
        <w:t xml:space="preserve"> pays à transposer la directive. Il s’agit aussi d’une procédure d’un débiteur en possession qui peut être initiée tant par le débiteur ou par un praticien de l’insolvabilité que par un ou plusieurs créanciers, par un actionnaire ou par le représentant des travailleurs. Elle vise les grandes entreprises, mais aussi les PME avec des règles particulières. Elle peut viser les créanciers financiers, les actionnaires, les créanciers garantis ou non-garantis, les privilégiés, à l’exclusion des travailleurs.</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 xml:space="preserve">Le débiteur peut choisir entre une procédure publique et une procédure confidentielle. Dans une procédure publique, le plan est publié et les audiences sont publiques (par conséquent, la procédure est couverte par le Règlement), mais ne vise que les débiteurs qui ont leur COMI aux Pays-Bas. Dans la procédure confidentielle, le débiteur peut ne </w:t>
      </w:r>
      <w:r>
        <w:rPr>
          <w:rFonts w:ascii="Times New Roman" w:hAnsi="Times New Roman"/>
          <w:sz w:val="24"/>
        </w:rPr>
        <w:lastRenderedPageBreak/>
        <w:t>pas avoir son COMI aux Pays-Bas à condition d’avoir des liens suffisants avec le territoire. Le plan peut prévoir des mesures de restructuration de la dette, une conversion des dettes en actions, des augmentations de capital, la fin de contrats et la modification des droits des créanciers garantis. Le plan doit contenir la valeur going-concern de l’entreprise et la valeur de liquidation. Pour que le plan soit possible, il faut que la première soit supérieure à la deuxième. Cette valeur doit être établie selon différents scénarios, notamment en fonction des mesures de restructuration qui doivent être décrites. Le plan peut prévoir un paiement en cas de refus du plan (minimum 20% pour les PME). Cette valorisation peut être aidée ou faite l’expert en restructuration désigné par le juge et suite à des audiences où les créanciers contestataires viennent débattre devant le juge de la valeur pour obtenir des décisions provisoires sur celle-ci.</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Les créanciers et actionnaires sont divisés en classes selon leur rang, leur droit dans le plan de restructuration et les actionnaires toujours dans une classe distincte. La majorité est fixée à 2/3 du total des créances. Si une classe au moins a voté, le plan est présenté à la validation. Le Tribunal appliquera le test du Best Interest of Creditors et vérifiera s’il n’y a pas une violation « </w:t>
      </w:r>
      <w:r>
        <w:rPr>
          <w:rFonts w:ascii="Times New Roman" w:hAnsi="Times New Roman"/>
          <w:i/>
          <w:sz w:val="24"/>
        </w:rPr>
        <w:t>injustifiée</w:t>
      </w:r>
      <w:r>
        <w:rPr>
          <w:rFonts w:ascii="Times New Roman" w:hAnsi="Times New Roman"/>
          <w:sz w:val="24"/>
        </w:rPr>
        <w:t xml:space="preserve"> de la règle de priorité absolue. Le juge doit vérifier si la valeur going-concern de l’entreprise est redistribuée équitablement entre les actionnaires et les créanciers (pas seulement en numéraire, mais en titre ou en droits).</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Si le plan n’est pas homologué, un autre peut être présenté par l’expert. Le débiteur, lui, doit attendre 3 ans.</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La procédure ne peut durer que 4 à 5 ans semaines. Le texte prévoit un moratoire soit général, soit particulier pour une période maximum de 8 mois, une protection contre les clauses de compensation ou de changement de contrôle et différentes protections pour assurer la poursuite des affaires.</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numPr>
          <w:ilvl w:val="0"/>
          <w:numId w:val="2"/>
        </w:numPr>
        <w:spacing w:line="240" w:lineRule="auto"/>
        <w:ind w:hanging="567"/>
        <w:rPr>
          <w:rFonts w:ascii="Times New Roman" w:hAnsi="Times New Roman"/>
          <w:sz w:val="24"/>
        </w:rPr>
      </w:pPr>
      <w:r w:rsidRPr="00AA6517">
        <w:rPr>
          <w:rFonts w:ascii="Times New Roman" w:hAnsi="Times New Roman"/>
          <w:sz w:val="24"/>
          <w:u w:val="single"/>
        </w:rPr>
        <w:t>En droit Allemand</w:t>
      </w:r>
      <w:r>
        <w:rPr>
          <w:rFonts w:ascii="Times New Roman" w:hAnsi="Times New Roman"/>
          <w:sz w:val="24"/>
        </w:rPr>
        <w:t>. Le projet de loi (STARUG) a été présenté, le 9 septembre 2020, avec la volonté de rendre applicable en janvier ou février 2021. La procédure est accessible aux entreprises confrontées à des difficultés « </w:t>
      </w:r>
      <w:r>
        <w:rPr>
          <w:rFonts w:ascii="Times New Roman" w:hAnsi="Times New Roman"/>
          <w:i/>
          <w:sz w:val="24"/>
        </w:rPr>
        <w:t>imminentes »</w:t>
      </w:r>
      <w:r>
        <w:rPr>
          <w:rFonts w:ascii="Times New Roman" w:hAnsi="Times New Roman"/>
          <w:sz w:val="24"/>
        </w:rPr>
        <w:t xml:space="preserve"> et qui ne sont pas en faillite (soit 24 mois au lieu de 12 mois auparavant). Il n’y avait pas, en droit Allemand, de procédure « </w:t>
      </w:r>
      <w:r>
        <w:rPr>
          <w:rFonts w:ascii="Times New Roman" w:hAnsi="Times New Roman"/>
          <w:i/>
          <w:sz w:val="24"/>
        </w:rPr>
        <w:t>préventive »</w:t>
      </w:r>
      <w:r>
        <w:rPr>
          <w:rFonts w:ascii="Times New Roman" w:hAnsi="Times New Roman"/>
          <w:sz w:val="24"/>
        </w:rPr>
        <w:t xml:space="preserve"> confidentielle puisque la procédure introduite en 2010 de « </w:t>
      </w:r>
      <w:r w:rsidRPr="00AA6517">
        <w:rPr>
          <w:rFonts w:ascii="Times New Roman" w:hAnsi="Times New Roman"/>
          <w:i/>
          <w:sz w:val="24"/>
          <w:lang w:val="de-DE"/>
        </w:rPr>
        <w:t>Schatzchumverfahren</w:t>
      </w:r>
      <w:r>
        <w:rPr>
          <w:rFonts w:ascii="Times New Roman" w:hAnsi="Times New Roman"/>
          <w:i/>
          <w:sz w:val="24"/>
        </w:rPr>
        <w:t> »</w:t>
      </w:r>
      <w:r>
        <w:rPr>
          <w:rFonts w:ascii="Times New Roman" w:hAnsi="Times New Roman"/>
          <w:sz w:val="24"/>
        </w:rPr>
        <w:t xml:space="preserve"> était une procédure « </w:t>
      </w:r>
      <w:r>
        <w:rPr>
          <w:rFonts w:ascii="Times New Roman" w:hAnsi="Times New Roman"/>
          <w:i/>
          <w:sz w:val="24"/>
        </w:rPr>
        <w:t>préparatoire »</w:t>
      </w:r>
      <w:r>
        <w:rPr>
          <w:rFonts w:ascii="Times New Roman" w:hAnsi="Times New Roman"/>
          <w:sz w:val="24"/>
        </w:rPr>
        <w:t xml:space="preserve"> à la procédure d’insolvabilité – les dirigeants ont des obligations assez lourdes en présence d’une menace économique identifiable (1 STARUG) sous peine d’indemnités. À l’instar du droit Hollandais, le débiteur peut choisir entre une procédure confidentielle et une procédure publique. Un moratoire de 3 mois renouvelable est prévu. La majorité est fixée à 75% par montant de créance ou de la valeur de leur garantie ou sur la valeur nominale des actions. Le plan peut être confirmé si la majorité des classes ont approuvé le plan, si le test du Best Interest et de viabilité sont concluants et si la règle du « </w:t>
      </w:r>
      <w:r>
        <w:rPr>
          <w:rFonts w:ascii="Times New Roman" w:hAnsi="Times New Roman"/>
          <w:i/>
          <w:sz w:val="24"/>
        </w:rPr>
        <w:t>relaxed absolute priority rule »</w:t>
      </w:r>
      <w:r>
        <w:rPr>
          <w:rFonts w:ascii="Times New Roman" w:hAnsi="Times New Roman"/>
          <w:sz w:val="24"/>
        </w:rPr>
        <w:t xml:space="preserve"> est vérifiée.</w:t>
      </w:r>
    </w:p>
    <w:p w:rsidR="004F1974" w:rsidRDefault="004F1974" w:rsidP="004F1974">
      <w:pPr>
        <w:pStyle w:val="Paragraphedeliste"/>
        <w:spacing w:line="240" w:lineRule="auto"/>
        <w:ind w:left="786"/>
        <w:rPr>
          <w:rFonts w:ascii="Times New Roman" w:hAnsi="Times New Roman"/>
          <w:sz w:val="24"/>
          <w:u w:val="single"/>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Cette notion intègre la doctrine de la New-Value pour les actionnaires et permet à l’actionnaire de garder le surplus de valeur jusqu’à la valeur going-concern puisque, dans la règle « </w:t>
      </w:r>
      <w:r>
        <w:rPr>
          <w:rFonts w:ascii="Times New Roman" w:hAnsi="Times New Roman"/>
          <w:i/>
          <w:sz w:val="24"/>
        </w:rPr>
        <w:t>absolue »</w:t>
      </w:r>
      <w:r>
        <w:rPr>
          <w:rFonts w:ascii="Times New Roman" w:hAnsi="Times New Roman"/>
          <w:sz w:val="24"/>
        </w:rPr>
        <w:t xml:space="preserve"> de la priorité absolue, les actionnaires sont traités comme des créanciers subordonnés. La création de classes complémentaires est possible, mais elles seront traitées selon leur rang, y compris lorsque plusieurs classes ont le même rang.</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 xml:space="preserve">La dérogation à la règle de priorité absolue (§28 SanInFOG) s’applique aussi entre créanciers de rangs différents. Le </w:t>
      </w:r>
      <w:r>
        <w:rPr>
          <w:rFonts w:ascii="Times New Roman" w:hAnsi="Times New Roman"/>
          <w:i/>
          <w:sz w:val="24"/>
        </w:rPr>
        <w:t>Cram-down</w:t>
      </w:r>
      <w:r>
        <w:rPr>
          <w:rFonts w:ascii="Times New Roman" w:hAnsi="Times New Roman"/>
          <w:sz w:val="24"/>
        </w:rPr>
        <w:t xml:space="preserve"> est possible si les créanciers reçoivent une juste part de la valeur économique de la restructuration. Le plan peut prévoir de nouveaux financements et des garanties contre l’insolvabilité liée à l’échec du plan.</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Un avis important en droit Français</w:t>
      </w:r>
      <w:r>
        <w:rPr>
          <w:rFonts w:ascii="Times New Roman" w:hAnsi="Times New Roman"/>
          <w:sz w:val="24"/>
        </w:rPr>
        <w:t>. Le Haut Comité juridique de la Place Financière de Paris a rendu public, le 25 septembre 2020, un avis sur la transposition à faire en France de la directive.</w:t>
      </w:r>
    </w:p>
    <w:p w:rsidR="004F1974" w:rsidRDefault="004F1974" w:rsidP="004F1974">
      <w:pPr>
        <w:pStyle w:val="Paragraphedeliste"/>
        <w:spacing w:line="240" w:lineRule="auto"/>
        <w:ind w:left="786"/>
        <w:rPr>
          <w:rFonts w:ascii="Times New Roman" w:hAnsi="Times New Roman"/>
          <w:sz w:val="24"/>
          <w:u w:val="single"/>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On retiendra qu’il propose aussi une procédure confidentielle (sauvegarde accélérée et sauvegarde financière accélérée fusionnée) et une procédure publique en utilisant la conciliation comme 1</w:t>
      </w:r>
      <w:r w:rsidRPr="002D56AE">
        <w:rPr>
          <w:rFonts w:ascii="Times New Roman" w:hAnsi="Times New Roman"/>
          <w:sz w:val="24"/>
          <w:vertAlign w:val="superscript"/>
        </w:rPr>
        <w:t>ère</w:t>
      </w:r>
      <w:r>
        <w:rPr>
          <w:rFonts w:ascii="Times New Roman" w:hAnsi="Times New Roman"/>
          <w:sz w:val="24"/>
        </w:rPr>
        <w:t xml:space="preserve"> phase confidentielle de la procédure semi-collective publique. Il propose de confier à un administrateur provisoire la création des classes en concertation avec le débiteur, de regrouper les actionnaires dans une classe dont le vote dans la classe vaudrait vote à l’AG, prévoir un dispositif particulier pour les PRME (possibilité d’une classe unique,</w:t>
      </w:r>
      <w:r w:rsidR="004F523B">
        <w:rPr>
          <w:rFonts w:ascii="Times New Roman" w:hAnsi="Times New Roman"/>
          <w:sz w:val="24"/>
        </w:rPr>
        <w:t xml:space="preserve"> 2/3 du montant des créances et</w:t>
      </w:r>
      <w:r>
        <w:rPr>
          <w:rFonts w:ascii="Times New Roman" w:hAnsi="Times New Roman"/>
          <w:sz w:val="24"/>
        </w:rPr>
        <w:t xml:space="preserve"> de 40%).</w:t>
      </w:r>
    </w:p>
    <w:p w:rsidR="004F1974" w:rsidRDefault="004F1974" w:rsidP="004F1974">
      <w:pPr>
        <w:pStyle w:val="Paragraphedeliste"/>
        <w:spacing w:line="240" w:lineRule="auto"/>
        <w:ind w:left="786"/>
        <w:rPr>
          <w:rFonts w:ascii="Times New Roman" w:hAnsi="Times New Roman"/>
          <w:sz w:val="24"/>
        </w:rPr>
      </w:pPr>
    </w:p>
    <w:p w:rsidR="004F1974" w:rsidRDefault="004F1974" w:rsidP="004F1974">
      <w:pPr>
        <w:pStyle w:val="Paragraphedeliste"/>
        <w:spacing w:line="240" w:lineRule="auto"/>
        <w:ind w:left="786"/>
        <w:rPr>
          <w:rFonts w:ascii="Times New Roman" w:hAnsi="Times New Roman"/>
          <w:sz w:val="24"/>
        </w:rPr>
      </w:pPr>
      <w:r>
        <w:rPr>
          <w:rFonts w:ascii="Times New Roman" w:hAnsi="Times New Roman"/>
          <w:sz w:val="24"/>
        </w:rPr>
        <w:t xml:space="preserve">S’agissant de la règle de priorité, le comité recommande al règle de priorité </w:t>
      </w:r>
      <w:r>
        <w:rPr>
          <w:rFonts w:ascii="Times New Roman" w:hAnsi="Times New Roman"/>
          <w:sz w:val="24"/>
          <w:u w:val="single"/>
        </w:rPr>
        <w:t>relative</w:t>
      </w:r>
      <w:r>
        <w:rPr>
          <w:rFonts w:ascii="Times New Roman" w:hAnsi="Times New Roman"/>
          <w:sz w:val="24"/>
        </w:rPr>
        <w:t>.</w:t>
      </w:r>
    </w:p>
    <w:p w:rsidR="004F1974" w:rsidRDefault="004F1974" w:rsidP="004F1974">
      <w:pPr>
        <w:pStyle w:val="Paragraphedeliste"/>
        <w:spacing w:line="240" w:lineRule="auto"/>
        <w:ind w:left="786"/>
        <w:rPr>
          <w:rFonts w:ascii="Times New Roman" w:hAnsi="Times New Roman"/>
          <w:sz w:val="24"/>
        </w:rPr>
      </w:pPr>
    </w:p>
    <w:p w:rsidR="004F1974" w:rsidRPr="00146F7F" w:rsidRDefault="004F1974" w:rsidP="00146F7F">
      <w:pPr>
        <w:ind w:left="2160"/>
        <w:rPr>
          <w:rFonts w:ascii="Trebuchet MS" w:hAnsi="Trebuchet MS"/>
          <w:i/>
          <w:sz w:val="20"/>
          <w:lang w:eastAsia="fr-BE"/>
        </w:rPr>
      </w:pPr>
    </w:p>
    <w:p w:rsidR="00146F7F" w:rsidRPr="00146F7F" w:rsidRDefault="00FB4F2D" w:rsidP="007565AA">
      <w:pPr>
        <w:pStyle w:val="Paragraphedeliste"/>
        <w:numPr>
          <w:ilvl w:val="0"/>
          <w:numId w:val="2"/>
        </w:numPr>
        <w:spacing w:line="240" w:lineRule="auto"/>
        <w:rPr>
          <w:rFonts w:ascii="Times New Roman" w:hAnsi="Times New Roman"/>
          <w:sz w:val="24"/>
        </w:rPr>
      </w:pPr>
      <w:r>
        <w:rPr>
          <w:rFonts w:ascii="Times New Roman" w:hAnsi="Times New Roman"/>
          <w:sz w:val="24"/>
        </w:rPr>
        <w:t>Le parlement des Pays-</w:t>
      </w:r>
      <w:r w:rsidR="00093E56">
        <w:rPr>
          <w:rFonts w:ascii="Times New Roman" w:hAnsi="Times New Roman"/>
          <w:sz w:val="24"/>
        </w:rPr>
        <w:t>B</w:t>
      </w:r>
      <w:r>
        <w:rPr>
          <w:rFonts w:ascii="Times New Roman" w:hAnsi="Times New Roman"/>
          <w:sz w:val="24"/>
        </w:rPr>
        <w:t>as a approuvé une loi ( la WOHA) qui se veut la transposition de la directive et qui sur cette question dispose :</w:t>
      </w:r>
    </w:p>
    <w:p w:rsidR="00146F7F" w:rsidRPr="00146F7F" w:rsidRDefault="00146F7F" w:rsidP="00146F7F">
      <w:pPr>
        <w:spacing w:line="240" w:lineRule="auto"/>
        <w:rPr>
          <w:rFonts w:ascii="Trebuchet MS" w:hAnsi="Trebuchet MS"/>
          <w:b/>
          <w:sz w:val="20"/>
          <w:u w:val="single"/>
          <w:lang w:eastAsia="fr-BE"/>
        </w:rPr>
      </w:pP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Le tribunal approuvera l’homologation d’un accord auquel toutes les classes n’ont pas voté, il refusera si pour cela une demande est introduite par un ou plusieurs créanciers ou actionnaires qui étaient contre l’accord et sont dans une classe qui n’a pas voté l’accord et qui comprend :</w:t>
      </w:r>
    </w:p>
    <w:p w:rsidR="00146F7F" w:rsidRPr="00146F7F" w:rsidRDefault="00146F7F" w:rsidP="00FB4F2D">
      <w:pPr>
        <w:spacing w:line="240" w:lineRule="auto"/>
        <w:ind w:left="1146"/>
        <w:rPr>
          <w:rFonts w:ascii="Times New Roman" w:hAnsi="Times New Roman"/>
          <w:i/>
        </w:rPr>
      </w:pPr>
    </w:p>
    <w:p w:rsidR="00146F7F" w:rsidRDefault="00146F7F" w:rsidP="00FB4F2D">
      <w:pPr>
        <w:numPr>
          <w:ilvl w:val="0"/>
          <w:numId w:val="37"/>
        </w:numPr>
        <w:spacing w:line="240" w:lineRule="auto"/>
        <w:ind w:left="1866"/>
        <w:rPr>
          <w:rFonts w:ascii="Times New Roman" w:hAnsi="Times New Roman"/>
          <w:i/>
        </w:rPr>
      </w:pPr>
      <w:r w:rsidRPr="00146F7F">
        <w:rPr>
          <w:rFonts w:ascii="Times New Roman" w:hAnsi="Times New Roman"/>
          <w:i/>
        </w:rPr>
        <w:t xml:space="preserve">les créanciers ou les actionnaires qui, sur base de l’accord, recevraient une valeur inférieure au montant des créances ou au montant nominal des créances pour lesquelles ils ont été inscrits dans une classe, alors qu’il y aurait simultanément une ou plusieurs autres classes de créanciers ou actionnaires avec un rang inférieur qui sur base de l’accord recevraient ou conserveraient des droits, sauf si l’acquisition de tels droits  </w:t>
      </w:r>
      <w:r w:rsidRPr="00146F7F">
        <w:rPr>
          <w:rFonts w:ascii="Times New Roman" w:hAnsi="Times New Roman"/>
          <w:i/>
          <w:u w:val="single"/>
        </w:rPr>
        <w:t xml:space="preserve">constitue une contre-prestation conforme au prix du marché </w:t>
      </w:r>
      <w:r w:rsidRPr="00146F7F">
        <w:rPr>
          <w:rFonts w:ascii="Times New Roman" w:hAnsi="Times New Roman"/>
          <w:i/>
        </w:rPr>
        <w:t xml:space="preserve">en un apport d’un crédit sous la forme d’un apport de nouveau capital par les actionnaires ou créanciers susvisés ;  </w:t>
      </w:r>
    </w:p>
    <w:p w:rsidR="00093E56" w:rsidRPr="00146F7F" w:rsidRDefault="00093E56" w:rsidP="00093E56">
      <w:pPr>
        <w:spacing w:line="240" w:lineRule="auto"/>
        <w:ind w:left="1866"/>
        <w:rPr>
          <w:rFonts w:ascii="Times New Roman" w:hAnsi="Times New Roman"/>
          <w:i/>
        </w:rPr>
      </w:pPr>
    </w:p>
    <w:p w:rsidR="00146F7F" w:rsidRPr="00146F7F" w:rsidRDefault="00146F7F" w:rsidP="00FB4F2D">
      <w:pPr>
        <w:numPr>
          <w:ilvl w:val="0"/>
          <w:numId w:val="37"/>
        </w:numPr>
        <w:spacing w:line="240" w:lineRule="auto"/>
        <w:ind w:left="1866"/>
        <w:rPr>
          <w:rFonts w:ascii="Times New Roman" w:hAnsi="Times New Roman"/>
          <w:i/>
        </w:rPr>
      </w:pPr>
      <w:r w:rsidRPr="00146F7F">
        <w:rPr>
          <w:rFonts w:ascii="Times New Roman" w:hAnsi="Times New Roman"/>
          <w:i/>
        </w:rPr>
        <w:t xml:space="preserve"> les créanciers ou les actionnaires qui, sur base de l’accord, recevraient une valeur inférieure au montant des créances ou au montant nominal des créances pour lesquelles ils ont été inscrits dans une classe, alors qu’il y aurait simultanément une ou plusieurs autres classe de créanciers ou actionnaires avec un rang supérieur  qui sur base de l’accord reçoivent un montant  supérieur  que celui du montant de leurs créances ou du montant nominal des créances pour lesquelles ils ont été inscrits dans une classe ; </w:t>
      </w:r>
    </w:p>
    <w:p w:rsidR="00146F7F" w:rsidRPr="00146F7F" w:rsidRDefault="00146F7F" w:rsidP="00FB4F2D">
      <w:pPr>
        <w:spacing w:line="240" w:lineRule="auto"/>
        <w:ind w:left="1866"/>
        <w:rPr>
          <w:rFonts w:ascii="Times New Roman" w:hAnsi="Times New Roman"/>
          <w:i/>
        </w:rPr>
      </w:pPr>
    </w:p>
    <w:p w:rsidR="00146F7F" w:rsidRPr="00146F7F" w:rsidRDefault="00146F7F" w:rsidP="00FB4F2D">
      <w:pPr>
        <w:numPr>
          <w:ilvl w:val="0"/>
          <w:numId w:val="37"/>
        </w:numPr>
        <w:spacing w:line="240" w:lineRule="auto"/>
        <w:ind w:left="1866"/>
        <w:rPr>
          <w:rFonts w:ascii="Times New Roman" w:hAnsi="Times New Roman"/>
          <w:i/>
        </w:rPr>
      </w:pPr>
      <w:r w:rsidRPr="00146F7F">
        <w:rPr>
          <w:rFonts w:ascii="Times New Roman" w:hAnsi="Times New Roman"/>
          <w:i/>
        </w:rPr>
        <w:t>les créanciers ou les actionnaires qui sans motif légitime sur base de l’accord recevraient des montants qui en proportion sont inférieurs à ceux qu’une autre classe de créanciers ou actionnaires recevraient avec une classe d’un rang semblable au leur ;</w:t>
      </w:r>
    </w:p>
    <w:p w:rsidR="00146F7F" w:rsidRPr="00146F7F" w:rsidRDefault="00146F7F" w:rsidP="00FB4F2D">
      <w:pPr>
        <w:ind w:left="1854"/>
        <w:rPr>
          <w:rFonts w:ascii="Times New Roman" w:hAnsi="Times New Roman"/>
          <w:i/>
        </w:rPr>
      </w:pPr>
    </w:p>
    <w:p w:rsidR="00146F7F" w:rsidRPr="00146F7F" w:rsidRDefault="00146F7F" w:rsidP="00FB4F2D">
      <w:pPr>
        <w:numPr>
          <w:ilvl w:val="0"/>
          <w:numId w:val="37"/>
        </w:numPr>
        <w:spacing w:line="240" w:lineRule="auto"/>
        <w:ind w:left="1866"/>
        <w:rPr>
          <w:rFonts w:ascii="Times New Roman" w:hAnsi="Times New Roman"/>
          <w:i/>
        </w:rPr>
      </w:pPr>
      <w:r w:rsidRPr="00146F7F">
        <w:rPr>
          <w:rFonts w:ascii="Times New Roman" w:hAnsi="Times New Roman"/>
          <w:i/>
        </w:rPr>
        <w:lastRenderedPageBreak/>
        <w:t>les créanciers ou actionnaires dont les montants sur base de l’accord seraient modifiés alors qu’il y aurait d’autres créanciers ou actionnaires  avec un rang similaire qui sans motif légitime seraient restés en dehors dudit accord ;</w:t>
      </w:r>
    </w:p>
    <w:p w:rsidR="00146F7F" w:rsidRPr="00146F7F" w:rsidRDefault="00146F7F" w:rsidP="00FB4F2D">
      <w:pPr>
        <w:ind w:left="1854"/>
        <w:rPr>
          <w:rFonts w:ascii="Times New Roman" w:hAnsi="Times New Roman"/>
          <w:i/>
        </w:rPr>
      </w:pPr>
    </w:p>
    <w:p w:rsidR="00146F7F" w:rsidRPr="00146F7F" w:rsidRDefault="00146F7F" w:rsidP="00FB4F2D">
      <w:pPr>
        <w:numPr>
          <w:ilvl w:val="0"/>
          <w:numId w:val="37"/>
        </w:numPr>
        <w:spacing w:line="240" w:lineRule="auto"/>
        <w:ind w:left="1866"/>
        <w:rPr>
          <w:rFonts w:ascii="Times New Roman" w:hAnsi="Times New Roman"/>
          <w:i/>
        </w:rPr>
      </w:pPr>
      <w:r w:rsidRPr="00146F7F">
        <w:rPr>
          <w:rFonts w:ascii="Times New Roman" w:hAnsi="Times New Roman"/>
          <w:i/>
        </w:rPr>
        <w:t>les créanciers qui, sur base de l’accord, n’auraient pas droit à un paiement en espèce supérieur au taux du montant qu’ils auraient espéré en cas de liquidation du capital du débiteur.</w:t>
      </w:r>
    </w:p>
    <w:p w:rsidR="00146F7F" w:rsidRPr="00FB4F2D" w:rsidRDefault="00146F7F" w:rsidP="00FB4F2D">
      <w:pPr>
        <w:pStyle w:val="Paragraphedeliste"/>
        <w:spacing w:line="240" w:lineRule="auto"/>
        <w:ind w:left="1572"/>
        <w:rPr>
          <w:rFonts w:ascii="Times New Roman" w:hAnsi="Times New Roman"/>
          <w:i/>
        </w:rPr>
      </w:pPr>
    </w:p>
    <w:p w:rsidR="00146F7F" w:rsidRPr="00146F7F" w:rsidRDefault="00146F7F" w:rsidP="00146F7F">
      <w:pPr>
        <w:pStyle w:val="Paragraphedeliste"/>
        <w:spacing w:line="240" w:lineRule="auto"/>
        <w:ind w:left="786"/>
        <w:rPr>
          <w:rFonts w:ascii="Times New Roman" w:hAnsi="Times New Roman"/>
          <w:sz w:val="24"/>
        </w:rPr>
      </w:pPr>
    </w:p>
    <w:p w:rsidR="00146F7F" w:rsidRPr="00146F7F" w:rsidRDefault="00FB4F2D" w:rsidP="007565AA">
      <w:pPr>
        <w:pStyle w:val="Paragraphedeliste"/>
        <w:numPr>
          <w:ilvl w:val="0"/>
          <w:numId w:val="2"/>
        </w:numPr>
        <w:spacing w:line="240" w:lineRule="auto"/>
        <w:rPr>
          <w:rFonts w:ascii="Times New Roman" w:hAnsi="Times New Roman"/>
          <w:sz w:val="24"/>
        </w:rPr>
      </w:pPr>
      <w:r>
        <w:rPr>
          <w:rFonts w:ascii="Times New Roman" w:hAnsi="Times New Roman"/>
          <w:sz w:val="24"/>
        </w:rPr>
        <w:t xml:space="preserve">Le gouvernement fédéral Allemand est en train d’examiner une loi qui sur cette question prévoit </w:t>
      </w:r>
    </w:p>
    <w:p w:rsidR="00146F7F" w:rsidRDefault="00146F7F" w:rsidP="00146F7F">
      <w:pPr>
        <w:pStyle w:val="Paragraphedeliste"/>
        <w:spacing w:line="240" w:lineRule="auto"/>
        <w:ind w:left="786"/>
        <w:rPr>
          <w:rFonts w:ascii="Times New Roman" w:hAnsi="Times New Roman"/>
          <w:sz w:val="24"/>
        </w:rPr>
      </w:pPr>
    </w:p>
    <w:p w:rsidR="00146F7F" w:rsidRPr="00146F7F" w:rsidRDefault="00FB4F2D" w:rsidP="00FB4F2D">
      <w:pPr>
        <w:spacing w:line="240" w:lineRule="auto"/>
        <w:ind w:left="1145"/>
        <w:rPr>
          <w:rFonts w:ascii="Times New Roman" w:hAnsi="Times New Roman"/>
          <w:i/>
        </w:rPr>
      </w:pPr>
      <w:r>
        <w:rPr>
          <w:rFonts w:ascii="Times New Roman" w:hAnsi="Times New Roman"/>
          <w:i/>
        </w:rPr>
        <w:t>1</w:t>
      </w:r>
      <w:r w:rsidR="00146F7F" w:rsidRPr="00146F7F">
        <w:rPr>
          <w:rFonts w:ascii="Times New Roman" w:hAnsi="Times New Roman"/>
          <w:i/>
        </w:rPr>
        <w:t xml:space="preserve"> Même si les majorités requises n’ont pas été atteintes, l’approbation par une classe votante  sera considérée comme</w:t>
      </w:r>
      <w:r>
        <w:rPr>
          <w:rFonts w:ascii="Times New Roman" w:hAnsi="Times New Roman"/>
          <w:i/>
        </w:rPr>
        <w:t xml:space="preserve"> obtenue si l</w:t>
      </w:r>
      <w:r w:rsidR="00146F7F" w:rsidRPr="00146F7F">
        <w:rPr>
          <w:rFonts w:ascii="Times New Roman" w:hAnsi="Times New Roman"/>
          <w:i/>
        </w:rPr>
        <w:t xml:space="preserve">e plan n’est pas susceptible de mettre cette classe </w:t>
      </w:r>
      <w:r w:rsidR="00146F7F" w:rsidRPr="00146F7F">
        <w:rPr>
          <w:rFonts w:ascii="Times New Roman" w:hAnsi="Times New Roman"/>
          <w:i/>
          <w:u w:val="single"/>
        </w:rPr>
        <w:t>dans une situation pire que celle qui serait advenue sans le plan</w:t>
      </w:r>
      <w:r w:rsidR="00146F7F" w:rsidRPr="00146F7F">
        <w:rPr>
          <w:rFonts w:ascii="Times New Roman" w:hAnsi="Times New Roman"/>
          <w:i/>
        </w:rPr>
        <w:t>,</w:t>
      </w:r>
    </w:p>
    <w:p w:rsidR="00FB4F2D" w:rsidRDefault="00146F7F" w:rsidP="00FB4F2D">
      <w:pPr>
        <w:spacing w:line="240" w:lineRule="auto"/>
        <w:ind w:left="1146"/>
        <w:rPr>
          <w:rFonts w:ascii="Times New Roman" w:hAnsi="Times New Roman"/>
          <w:i/>
        </w:rPr>
      </w:pPr>
      <w:r w:rsidRPr="00146F7F">
        <w:rPr>
          <w:rFonts w:ascii="Times New Roman" w:hAnsi="Times New Roman"/>
          <w:i/>
        </w:rPr>
        <w:tab/>
      </w: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2. Les membres de cette classe sont « associés » (impliqués) de manière raisonnable (</w:t>
      </w:r>
      <w:r w:rsidRPr="00146F7F">
        <w:rPr>
          <w:rFonts w:ascii="Times New Roman" w:hAnsi="Times New Roman"/>
          <w:i/>
          <w:u w:val="single"/>
        </w:rPr>
        <w:t>appropriée, proportionnelle</w:t>
      </w:r>
      <w:r w:rsidRPr="00146F7F">
        <w:rPr>
          <w:rFonts w:ascii="Times New Roman" w:hAnsi="Times New Roman"/>
          <w:i/>
        </w:rPr>
        <w:t xml:space="preserve">) au paiement sur base </w:t>
      </w:r>
      <w:r w:rsidRPr="00146F7F">
        <w:rPr>
          <w:rFonts w:ascii="Times New Roman" w:hAnsi="Times New Roman"/>
          <w:i/>
          <w:u w:val="single"/>
        </w:rPr>
        <w:t>de la valeur économique</w:t>
      </w:r>
      <w:r w:rsidRPr="00146F7F">
        <w:rPr>
          <w:rFonts w:ascii="Times New Roman" w:hAnsi="Times New Roman"/>
          <w:i/>
        </w:rPr>
        <w:t xml:space="preserve"> telle que déterminée par le plan ; </w:t>
      </w:r>
    </w:p>
    <w:p w:rsidR="00146F7F" w:rsidRPr="00146F7F" w:rsidRDefault="00146F7F" w:rsidP="00FB4F2D">
      <w:pPr>
        <w:spacing w:line="240" w:lineRule="auto"/>
        <w:ind w:left="1146"/>
        <w:rPr>
          <w:rFonts w:ascii="Times New Roman" w:hAnsi="Times New Roman"/>
          <w:i/>
        </w:rPr>
      </w:pP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(2) Pour un groupe de créanciers, une participation raisonnable (appropriée) au sens du point 2 du paragraphe 1 sera déterminée si, en accordance avec le plan:</w:t>
      </w:r>
    </w:p>
    <w:p w:rsidR="00146F7F" w:rsidRPr="00146F7F" w:rsidRDefault="00146F7F" w:rsidP="00FB4F2D">
      <w:pPr>
        <w:spacing w:line="240" w:lineRule="auto"/>
        <w:ind w:left="1146"/>
        <w:rPr>
          <w:rFonts w:ascii="Times New Roman" w:hAnsi="Times New Roman"/>
          <w:i/>
        </w:rPr>
      </w:pP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 xml:space="preserve">Aucun autre créancier ne recevra un montant qui sera au-dessus du montant total de sa créance ; </w:t>
      </w:r>
    </w:p>
    <w:p w:rsidR="00093E56" w:rsidRDefault="00093E56" w:rsidP="00FB4F2D">
      <w:pPr>
        <w:spacing w:line="240" w:lineRule="auto"/>
        <w:ind w:left="1146"/>
        <w:rPr>
          <w:rFonts w:ascii="Times New Roman" w:hAnsi="Times New Roman"/>
          <w:i/>
        </w:rPr>
      </w:pP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 xml:space="preserve">Ni un créancier d’un rang inférieur à la classe serait remboursé en dehors de l’existence d’un plan, ni le débiteur ou une personne impliquée recevrait un quelconque montant et aucun créancier, hors plan, qui serait sur un pied d’égalité avec d’autres créanciers se trouverait pourtant en meilleure position que de tels créanciers. </w:t>
      </w:r>
    </w:p>
    <w:p w:rsidR="00146F7F" w:rsidRPr="00146F7F" w:rsidRDefault="00146F7F" w:rsidP="00FB4F2D">
      <w:pPr>
        <w:spacing w:line="240" w:lineRule="auto"/>
        <w:ind w:left="1146"/>
        <w:rPr>
          <w:rFonts w:ascii="Times New Roman" w:hAnsi="Times New Roman"/>
          <w:i/>
        </w:rPr>
      </w:pP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 xml:space="preserve">(3) En ce qui concerne les actionnaires, une rémunération appropriée, suivant la signification du point 2 du paragraphe 1 sera rencontrée lorsque dans le plan : </w:t>
      </w: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 xml:space="preserve"> </w:t>
      </w: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Aucun créancier ne reçoit une valeur excédant le montant total de sa créance ; et</w:t>
      </w:r>
    </w:p>
    <w:p w:rsidR="00146F7F" w:rsidRPr="00146F7F" w:rsidRDefault="00146F7F" w:rsidP="00FB4F2D">
      <w:pPr>
        <w:spacing w:line="240" w:lineRule="auto"/>
        <w:ind w:left="1146"/>
        <w:rPr>
          <w:rFonts w:ascii="Times New Roman" w:hAnsi="Times New Roman"/>
          <w:i/>
        </w:rPr>
      </w:pPr>
      <w:r w:rsidRPr="00146F7F">
        <w:rPr>
          <w:rFonts w:ascii="Times New Roman" w:hAnsi="Times New Roman"/>
          <w:i/>
        </w:rPr>
        <w:t xml:space="preserve">Aucun actionnaire qui, en dehors du plan, serait placé sur un pied d’égalité avec d’autres créanciers, serait mieux traité que ces derniers. </w:t>
      </w:r>
    </w:p>
    <w:p w:rsidR="00146F7F" w:rsidRDefault="00146F7F" w:rsidP="00146F7F">
      <w:pPr>
        <w:pStyle w:val="Paragraphedeliste"/>
        <w:spacing w:line="240" w:lineRule="auto"/>
        <w:ind w:left="786"/>
        <w:rPr>
          <w:rFonts w:ascii="Times New Roman" w:hAnsi="Times New Roman"/>
          <w:sz w:val="24"/>
        </w:rPr>
      </w:pPr>
    </w:p>
    <w:p w:rsidR="008064D7" w:rsidRDefault="008064D7" w:rsidP="00936DB9">
      <w:pPr>
        <w:pStyle w:val="Paragraphedeliste"/>
        <w:spacing w:line="240" w:lineRule="auto"/>
        <w:ind w:left="786"/>
        <w:rPr>
          <w:rFonts w:ascii="Times New Roman" w:hAnsi="Times New Roman"/>
          <w:sz w:val="24"/>
        </w:rPr>
      </w:pPr>
      <w:r>
        <w:rPr>
          <w:rFonts w:ascii="Times New Roman" w:hAnsi="Times New Roman"/>
          <w:sz w:val="24"/>
          <w:u w:val="single"/>
        </w:rPr>
        <w:t>L’ensemble de ces règles form</w:t>
      </w:r>
      <w:r w:rsidR="00936DB9">
        <w:rPr>
          <w:rFonts w:ascii="Times New Roman" w:hAnsi="Times New Roman"/>
          <w:sz w:val="24"/>
          <w:u w:val="single"/>
        </w:rPr>
        <w:t>e</w:t>
      </w:r>
      <w:r>
        <w:rPr>
          <w:rFonts w:ascii="Times New Roman" w:hAnsi="Times New Roman"/>
          <w:sz w:val="24"/>
          <w:u w:val="single"/>
        </w:rPr>
        <w:t xml:space="preserve">nt ce que l’on appelle </w:t>
      </w:r>
      <w:r w:rsidRPr="00EC0CF4">
        <w:rPr>
          <w:rFonts w:ascii="Times New Roman" w:hAnsi="Times New Roman"/>
          <w:sz w:val="24"/>
          <w:u w:val="single"/>
        </w:rPr>
        <w:t>« </w:t>
      </w:r>
      <w:r w:rsidRPr="007C17D3">
        <w:rPr>
          <w:rFonts w:ascii="Times New Roman" w:hAnsi="Times New Roman"/>
          <w:i/>
          <w:sz w:val="24"/>
          <w:u w:val="single"/>
        </w:rPr>
        <w:t>In the money</w:t>
      </w:r>
      <w:r w:rsidRPr="00E05EC6">
        <w:rPr>
          <w:rFonts w:ascii="Times New Roman" w:hAnsi="Times New Roman"/>
          <w:sz w:val="24"/>
        </w:rPr>
        <w:t> »</w:t>
      </w:r>
      <w:r>
        <w:rPr>
          <w:rFonts w:ascii="Times New Roman" w:hAnsi="Times New Roman"/>
          <w:sz w:val="24"/>
        </w:rPr>
        <w:t xml:space="preserve">. </w:t>
      </w:r>
    </w:p>
    <w:p w:rsidR="008064D7" w:rsidRDefault="008064D7" w:rsidP="00FB7CA2">
      <w:pPr>
        <w:pStyle w:val="Paragraphedeliste"/>
        <w:spacing w:line="240" w:lineRule="auto"/>
        <w:ind w:left="786"/>
        <w:rPr>
          <w:rFonts w:ascii="Times New Roman" w:hAnsi="Times New Roman"/>
          <w:sz w:val="24"/>
          <w:u w:val="single"/>
        </w:rPr>
      </w:pPr>
    </w:p>
    <w:p w:rsidR="004F1974" w:rsidRDefault="004F1974" w:rsidP="00FB7CA2">
      <w:pPr>
        <w:pStyle w:val="Paragraphedeliste"/>
        <w:spacing w:line="240" w:lineRule="auto"/>
        <w:ind w:left="786"/>
        <w:rPr>
          <w:rFonts w:ascii="Times New Roman" w:hAnsi="Times New Roman"/>
          <w:sz w:val="24"/>
          <w:u w:val="single"/>
        </w:rPr>
      </w:pPr>
    </w:p>
    <w:p w:rsidR="008064D7" w:rsidRDefault="008064D7" w:rsidP="00936DB9">
      <w:pPr>
        <w:pStyle w:val="Paragraphedeliste"/>
        <w:numPr>
          <w:ilvl w:val="0"/>
          <w:numId w:val="2"/>
        </w:numPr>
        <w:spacing w:line="240" w:lineRule="auto"/>
        <w:rPr>
          <w:rFonts w:ascii="Times New Roman" w:hAnsi="Times New Roman"/>
          <w:sz w:val="24"/>
        </w:rPr>
      </w:pPr>
      <w:r w:rsidRPr="00936DB9">
        <w:rPr>
          <w:rFonts w:ascii="Times New Roman" w:hAnsi="Times New Roman"/>
          <w:sz w:val="24"/>
          <w:u w:val="single"/>
        </w:rPr>
        <w:t>Ces règles sont au cœur d’une nouvelle manière de traiter l’insolvabilité</w:t>
      </w:r>
      <w:r w:rsidR="00936DB9">
        <w:rPr>
          <w:rFonts w:ascii="Times New Roman" w:hAnsi="Times New Roman"/>
          <w:sz w:val="24"/>
        </w:rPr>
        <w:t xml:space="preserve"> d’une part, quant à la procédure à mettre en place,</w:t>
      </w:r>
      <w:r>
        <w:rPr>
          <w:rFonts w:ascii="Times New Roman" w:hAnsi="Times New Roman"/>
          <w:sz w:val="24"/>
        </w:rPr>
        <w:t xml:space="preserve"> procédure qui vise </w:t>
      </w:r>
      <w:r w:rsidR="00936DB9">
        <w:rPr>
          <w:rFonts w:ascii="Times New Roman" w:hAnsi="Times New Roman"/>
          <w:sz w:val="24"/>
        </w:rPr>
        <w:t xml:space="preserve">plus </w:t>
      </w:r>
      <w:r>
        <w:rPr>
          <w:rFonts w:ascii="Times New Roman" w:hAnsi="Times New Roman"/>
          <w:sz w:val="24"/>
        </w:rPr>
        <w:t>à aboutir, par la négociation</w:t>
      </w:r>
      <w:r w:rsidR="00936DB9">
        <w:rPr>
          <w:rFonts w:ascii="Times New Roman" w:hAnsi="Times New Roman"/>
          <w:sz w:val="24"/>
        </w:rPr>
        <w:t>,</w:t>
      </w:r>
      <w:r>
        <w:rPr>
          <w:rFonts w:ascii="Times New Roman" w:hAnsi="Times New Roman"/>
          <w:sz w:val="24"/>
        </w:rPr>
        <w:t xml:space="preserve"> à un nouvel équilibre entre les créanciers – sécurisés et non sécurisés</w:t>
      </w:r>
      <w:r w:rsidR="00936DB9">
        <w:rPr>
          <w:rFonts w:ascii="Times New Roman" w:hAnsi="Times New Roman"/>
          <w:sz w:val="24"/>
        </w:rPr>
        <w:t xml:space="preserve"> </w:t>
      </w:r>
      <w:r>
        <w:rPr>
          <w:rFonts w:ascii="Times New Roman" w:hAnsi="Times New Roman"/>
          <w:sz w:val="24"/>
        </w:rPr>
        <w:t>- les actionnaires et les débiteurs</w:t>
      </w:r>
      <w:r w:rsidR="00936DB9">
        <w:rPr>
          <w:rFonts w:ascii="Times New Roman" w:hAnsi="Times New Roman"/>
          <w:sz w:val="24"/>
        </w:rPr>
        <w:t>,</w:t>
      </w:r>
      <w:r>
        <w:rPr>
          <w:rFonts w:ascii="Times New Roman" w:hAnsi="Times New Roman"/>
          <w:sz w:val="24"/>
        </w:rPr>
        <w:t xml:space="preserve"> plus par </w:t>
      </w:r>
      <w:r w:rsidR="00936DB9">
        <w:rPr>
          <w:rFonts w:ascii="Times New Roman" w:hAnsi="Times New Roman"/>
          <w:sz w:val="24"/>
        </w:rPr>
        <w:t>des accords</w:t>
      </w:r>
      <w:r>
        <w:rPr>
          <w:rFonts w:ascii="Times New Roman" w:hAnsi="Times New Roman"/>
          <w:sz w:val="24"/>
        </w:rPr>
        <w:t xml:space="preserve"> </w:t>
      </w:r>
      <w:r w:rsidR="00936DB9">
        <w:rPr>
          <w:rFonts w:ascii="Times New Roman" w:hAnsi="Times New Roman"/>
          <w:sz w:val="24"/>
        </w:rPr>
        <w:t>« </w:t>
      </w:r>
      <w:r w:rsidRPr="00936DB9">
        <w:rPr>
          <w:rFonts w:ascii="Times New Roman" w:hAnsi="Times New Roman"/>
          <w:i/>
          <w:sz w:val="24"/>
        </w:rPr>
        <w:t>contraint</w:t>
      </w:r>
      <w:r w:rsidR="00936DB9" w:rsidRPr="00936DB9">
        <w:rPr>
          <w:rFonts w:ascii="Times New Roman" w:hAnsi="Times New Roman"/>
          <w:i/>
          <w:sz w:val="24"/>
        </w:rPr>
        <w:t>s</w:t>
      </w:r>
      <w:r w:rsidR="00936DB9">
        <w:rPr>
          <w:rFonts w:ascii="Times New Roman" w:hAnsi="Times New Roman"/>
          <w:sz w:val="24"/>
        </w:rPr>
        <w:t> »</w:t>
      </w:r>
      <w:r>
        <w:rPr>
          <w:rFonts w:ascii="Times New Roman" w:hAnsi="Times New Roman"/>
          <w:sz w:val="24"/>
        </w:rPr>
        <w:t xml:space="preserve"> que par l’imposition judiciaire</w:t>
      </w:r>
      <w:r>
        <w:rPr>
          <w:rStyle w:val="Appelnotedebasdep"/>
          <w:rFonts w:ascii="Times New Roman" w:hAnsi="Times New Roman"/>
          <w:sz w:val="24"/>
        </w:rPr>
        <w:footnoteReference w:id="9"/>
      </w:r>
      <w:r>
        <w:rPr>
          <w:rFonts w:ascii="Times New Roman" w:hAnsi="Times New Roman"/>
          <w:sz w:val="24"/>
        </w:rPr>
        <w:t xml:space="preserve"> et</w:t>
      </w:r>
      <w:r w:rsidR="00936DB9">
        <w:rPr>
          <w:rFonts w:ascii="Times New Roman" w:hAnsi="Times New Roman"/>
          <w:sz w:val="24"/>
        </w:rPr>
        <w:t>,</w:t>
      </w:r>
      <w:r>
        <w:rPr>
          <w:rFonts w:ascii="Times New Roman" w:hAnsi="Times New Roman"/>
          <w:sz w:val="24"/>
        </w:rPr>
        <w:t xml:space="preserve"> d’autre part</w:t>
      </w:r>
      <w:r w:rsidR="00936DB9">
        <w:rPr>
          <w:rFonts w:ascii="Times New Roman" w:hAnsi="Times New Roman"/>
          <w:sz w:val="24"/>
        </w:rPr>
        <w:t>,</w:t>
      </w:r>
      <w:r>
        <w:rPr>
          <w:rFonts w:ascii="Times New Roman" w:hAnsi="Times New Roman"/>
          <w:sz w:val="24"/>
        </w:rPr>
        <w:t xml:space="preserve"> sur le fond </w:t>
      </w:r>
      <w:r w:rsidR="00936DB9">
        <w:rPr>
          <w:rFonts w:ascii="Times New Roman" w:hAnsi="Times New Roman"/>
          <w:sz w:val="24"/>
        </w:rPr>
        <w:t>du droit qui sert à arbitrer les intérêts antagonistes en présence d’une insuffisance d’actifs, c’est-à-dire, en traitant les créanciers d’après la valeur du débiteur ou de l’actif sous-jacent à ces droits</w:t>
      </w:r>
      <w:r>
        <w:rPr>
          <w:rFonts w:ascii="Times New Roman" w:hAnsi="Times New Roman"/>
          <w:sz w:val="24"/>
        </w:rPr>
        <w:t>.</w:t>
      </w:r>
    </w:p>
    <w:p w:rsidR="008064D7" w:rsidRDefault="008064D7" w:rsidP="00374719">
      <w:pPr>
        <w:pStyle w:val="Paragraphedeliste"/>
        <w:spacing w:line="240" w:lineRule="auto"/>
        <w:ind w:left="786"/>
        <w:rPr>
          <w:rFonts w:ascii="Times New Roman" w:hAnsi="Times New Roman"/>
          <w:sz w:val="24"/>
          <w:u w:val="single"/>
        </w:rPr>
      </w:pPr>
    </w:p>
    <w:p w:rsidR="008064D7" w:rsidRDefault="008064D7" w:rsidP="00374719">
      <w:pPr>
        <w:pStyle w:val="Paragraphedeliste"/>
        <w:spacing w:line="240" w:lineRule="auto"/>
        <w:ind w:left="786"/>
        <w:rPr>
          <w:rFonts w:ascii="Times New Roman" w:hAnsi="Times New Roman"/>
          <w:sz w:val="24"/>
        </w:rPr>
      </w:pPr>
      <w:r>
        <w:rPr>
          <w:rFonts w:ascii="Times New Roman" w:hAnsi="Times New Roman"/>
          <w:sz w:val="24"/>
        </w:rPr>
        <w:lastRenderedPageBreak/>
        <w:t xml:space="preserve">L’idée </w:t>
      </w:r>
      <w:r w:rsidR="00936DB9">
        <w:rPr>
          <w:rFonts w:ascii="Times New Roman" w:hAnsi="Times New Roman"/>
          <w:sz w:val="24"/>
        </w:rPr>
        <w:t>(</w:t>
      </w:r>
      <w:r>
        <w:rPr>
          <w:rFonts w:ascii="Times New Roman" w:hAnsi="Times New Roman"/>
          <w:sz w:val="24"/>
        </w:rPr>
        <w:t>à la base</w:t>
      </w:r>
      <w:r w:rsidR="00936DB9">
        <w:rPr>
          <w:rFonts w:ascii="Times New Roman" w:hAnsi="Times New Roman"/>
          <w:sz w:val="24"/>
        </w:rPr>
        <w:t>)</w:t>
      </w:r>
      <w:r>
        <w:rPr>
          <w:rFonts w:ascii="Times New Roman" w:hAnsi="Times New Roman"/>
          <w:sz w:val="24"/>
        </w:rPr>
        <w:t xml:space="preserve"> est simple : </w:t>
      </w:r>
      <w:r w:rsidR="00936DB9">
        <w:rPr>
          <w:rFonts w:ascii="Times New Roman" w:hAnsi="Times New Roman"/>
          <w:sz w:val="24"/>
        </w:rPr>
        <w:t>l’</w:t>
      </w:r>
      <w:r>
        <w:rPr>
          <w:rFonts w:ascii="Times New Roman" w:hAnsi="Times New Roman"/>
          <w:sz w:val="24"/>
        </w:rPr>
        <w:t>équilibre entre créanciers et actionnaires doit se trouver entre deux bornes ; une inférieure, à savoir ce que les créanciers auraient en cas de liquidation et une supérieure, ce qu’ils auraient sur base de la valeur de l’entreprise en activité. Entre ces deux bornes, des règles d’arbitrage doivent pousser les créanciers à tomber d’accord : il faudra favoriser un accord entre les créanciers sécurisés – qui</w:t>
      </w:r>
      <w:r w:rsidR="0038177F">
        <w:rPr>
          <w:rFonts w:ascii="Times New Roman" w:hAnsi="Times New Roman"/>
          <w:sz w:val="24"/>
        </w:rPr>
        <w:t>,</w:t>
      </w:r>
      <w:r>
        <w:rPr>
          <w:rFonts w:ascii="Times New Roman" w:hAnsi="Times New Roman"/>
          <w:sz w:val="24"/>
        </w:rPr>
        <w:t xml:space="preserve"> en cas de faillite</w:t>
      </w:r>
      <w:r w:rsidR="0038177F">
        <w:rPr>
          <w:rFonts w:ascii="Times New Roman" w:hAnsi="Times New Roman"/>
          <w:sz w:val="24"/>
        </w:rPr>
        <w:t>,</w:t>
      </w:r>
      <w:r>
        <w:rPr>
          <w:rFonts w:ascii="Times New Roman" w:hAnsi="Times New Roman"/>
          <w:sz w:val="24"/>
        </w:rPr>
        <w:t xml:space="preserve"> seront privilégiés </w:t>
      </w:r>
      <w:r w:rsidR="0038177F">
        <w:rPr>
          <w:rFonts w:ascii="Times New Roman" w:hAnsi="Times New Roman"/>
          <w:sz w:val="24"/>
        </w:rPr>
        <w:t>et</w:t>
      </w:r>
      <w:r>
        <w:rPr>
          <w:rFonts w:ascii="Times New Roman" w:hAnsi="Times New Roman"/>
          <w:sz w:val="24"/>
        </w:rPr>
        <w:t xml:space="preserve"> une classe au moins de créanciers non-sécurisés par un traitement « </w:t>
      </w:r>
      <w:r w:rsidRPr="007C17D3">
        <w:rPr>
          <w:rFonts w:ascii="Times New Roman" w:hAnsi="Times New Roman"/>
          <w:i/>
          <w:sz w:val="24"/>
        </w:rPr>
        <w:t>Fair</w:t>
      </w:r>
      <w:r>
        <w:rPr>
          <w:rFonts w:ascii="Times New Roman" w:hAnsi="Times New Roman"/>
          <w:sz w:val="24"/>
        </w:rPr>
        <w:t xml:space="preserve"> » qui dépend en grande partie d’une appréciation du juge sur les valeurs. </w:t>
      </w:r>
    </w:p>
    <w:p w:rsidR="008064D7" w:rsidRDefault="008064D7" w:rsidP="00374719">
      <w:pPr>
        <w:pStyle w:val="Paragraphedeliste"/>
        <w:spacing w:line="240" w:lineRule="auto"/>
        <w:ind w:left="786"/>
        <w:rPr>
          <w:rFonts w:ascii="Times New Roman" w:hAnsi="Times New Roman"/>
          <w:sz w:val="24"/>
        </w:rPr>
      </w:pPr>
    </w:p>
    <w:p w:rsidR="008064D7" w:rsidRDefault="0038177F" w:rsidP="00374719">
      <w:pPr>
        <w:pStyle w:val="Paragraphedeliste"/>
        <w:spacing w:line="240" w:lineRule="auto"/>
        <w:ind w:left="786"/>
        <w:rPr>
          <w:rFonts w:ascii="Times New Roman" w:hAnsi="Times New Roman"/>
          <w:sz w:val="24"/>
        </w:rPr>
      </w:pPr>
      <w:r>
        <w:rPr>
          <w:rFonts w:ascii="Times New Roman" w:hAnsi="Times New Roman"/>
          <w:sz w:val="24"/>
        </w:rPr>
        <w:t>Si l’idée est séduisante a priori, elle se complexifie vite puisque la</w:t>
      </w:r>
      <w:r w:rsidR="008064D7">
        <w:rPr>
          <w:rFonts w:ascii="Times New Roman" w:hAnsi="Times New Roman"/>
          <w:sz w:val="24"/>
        </w:rPr>
        <w:t xml:space="preserve"> valeur est</w:t>
      </w:r>
      <w:r>
        <w:rPr>
          <w:rFonts w:ascii="Times New Roman" w:hAnsi="Times New Roman"/>
          <w:sz w:val="24"/>
        </w:rPr>
        <w:t>,</w:t>
      </w:r>
      <w:r w:rsidR="008064D7">
        <w:rPr>
          <w:rFonts w:ascii="Times New Roman" w:hAnsi="Times New Roman"/>
          <w:sz w:val="24"/>
        </w:rPr>
        <w:t xml:space="preserve"> par définition</w:t>
      </w:r>
      <w:r>
        <w:rPr>
          <w:rFonts w:ascii="Times New Roman" w:hAnsi="Times New Roman"/>
          <w:sz w:val="24"/>
        </w:rPr>
        <w:t>, une chose</w:t>
      </w:r>
      <w:r w:rsidR="008064D7">
        <w:rPr>
          <w:rFonts w:ascii="Times New Roman" w:hAnsi="Times New Roman"/>
          <w:sz w:val="24"/>
        </w:rPr>
        <w:t xml:space="preserve"> difficile à établir : c’est justement cette difficulté qui va servir d’aiguillon à une négociation et c’est cette même difficulté qui va attribuer, à défaut d’accord, un pouvoir important au juge</w:t>
      </w:r>
      <w:r>
        <w:rPr>
          <w:rFonts w:ascii="Times New Roman" w:hAnsi="Times New Roman"/>
          <w:sz w:val="24"/>
        </w:rPr>
        <w:t xml:space="preserve"> pour favoriser ces accords</w:t>
      </w:r>
      <w:r w:rsidR="008064D7">
        <w:rPr>
          <w:rFonts w:ascii="Times New Roman" w:hAnsi="Times New Roman"/>
          <w:sz w:val="24"/>
        </w:rPr>
        <w:t>.</w:t>
      </w:r>
    </w:p>
    <w:p w:rsidR="008064D7" w:rsidRDefault="008064D7" w:rsidP="00374719">
      <w:pPr>
        <w:pStyle w:val="Paragraphedeliste"/>
        <w:spacing w:line="240" w:lineRule="auto"/>
        <w:ind w:left="786"/>
        <w:rPr>
          <w:rFonts w:ascii="Times New Roman" w:hAnsi="Times New Roman"/>
          <w:sz w:val="24"/>
        </w:rPr>
      </w:pPr>
    </w:p>
    <w:p w:rsidR="008064D7" w:rsidRPr="00264E24" w:rsidRDefault="008064D7" w:rsidP="00264E24"/>
    <w:p w:rsidR="008064D7" w:rsidRPr="00F31798" w:rsidRDefault="008064D7" w:rsidP="007565AA">
      <w:pPr>
        <w:pStyle w:val="Titre2"/>
        <w:numPr>
          <w:ilvl w:val="0"/>
          <w:numId w:val="10"/>
        </w:numPr>
        <w:rPr>
          <w:rFonts w:ascii="Times New Roman" w:hAnsi="Times New Roman" w:cs="Times New Roman"/>
        </w:rPr>
      </w:pPr>
      <w:bookmarkStart w:id="3" w:name="_Toc55407449"/>
      <w:r>
        <w:rPr>
          <w:rFonts w:ascii="Times New Roman" w:hAnsi="Times New Roman" w:cs="Times New Roman"/>
        </w:rPr>
        <w:t>Un</w:t>
      </w:r>
      <w:r w:rsidRPr="00F31798">
        <w:rPr>
          <w:rFonts w:ascii="Times New Roman" w:hAnsi="Times New Roman" w:cs="Times New Roman"/>
        </w:rPr>
        <w:t xml:space="preserve"> besoin </w:t>
      </w:r>
      <w:r>
        <w:rPr>
          <w:rFonts w:ascii="Times New Roman" w:hAnsi="Times New Roman" w:cs="Times New Roman"/>
        </w:rPr>
        <w:t xml:space="preserve">du marché </w:t>
      </w:r>
      <w:r w:rsidRPr="00F31798">
        <w:rPr>
          <w:rFonts w:ascii="Times New Roman" w:hAnsi="Times New Roman" w:cs="Times New Roman"/>
        </w:rPr>
        <w:t>d’un nouveau droit de l’insolvabilité</w:t>
      </w:r>
      <w:bookmarkEnd w:id="3"/>
      <w:r w:rsidRPr="00F31798">
        <w:rPr>
          <w:rFonts w:ascii="Times New Roman" w:hAnsi="Times New Roman" w:cs="Times New Roman"/>
        </w:rPr>
        <w:t xml:space="preserve"> </w:t>
      </w:r>
    </w:p>
    <w:p w:rsidR="0038177F" w:rsidRDefault="008064D7" w:rsidP="00357C77">
      <w:pPr>
        <w:pStyle w:val="Paragraphedeliste"/>
        <w:numPr>
          <w:ilvl w:val="0"/>
          <w:numId w:val="2"/>
        </w:numPr>
        <w:spacing w:line="240" w:lineRule="auto"/>
        <w:rPr>
          <w:rFonts w:ascii="Times New Roman" w:hAnsi="Times New Roman"/>
          <w:sz w:val="24"/>
        </w:rPr>
      </w:pPr>
      <w:r>
        <w:rPr>
          <w:rFonts w:ascii="Times New Roman" w:hAnsi="Times New Roman"/>
          <w:sz w:val="24"/>
          <w:u w:val="single"/>
        </w:rPr>
        <w:t xml:space="preserve">Les </w:t>
      </w:r>
      <w:r w:rsidR="0038177F">
        <w:rPr>
          <w:rFonts w:ascii="Times New Roman" w:hAnsi="Times New Roman"/>
          <w:sz w:val="24"/>
          <w:u w:val="single"/>
        </w:rPr>
        <w:t xml:space="preserve">PME et les </w:t>
      </w:r>
      <w:r>
        <w:rPr>
          <w:rFonts w:ascii="Times New Roman" w:hAnsi="Times New Roman"/>
          <w:sz w:val="24"/>
          <w:u w:val="single"/>
        </w:rPr>
        <w:t>grandes entreprises, cotées ou non, ont besoin d’un nouveau droit à la solvabilité</w:t>
      </w:r>
      <w:r w:rsidRPr="0038177F">
        <w:rPr>
          <w:rFonts w:ascii="Times New Roman" w:hAnsi="Times New Roman"/>
          <w:sz w:val="24"/>
        </w:rPr>
        <w:t xml:space="preserve">. </w:t>
      </w:r>
    </w:p>
    <w:p w:rsidR="0038177F" w:rsidRDefault="0038177F" w:rsidP="0038177F">
      <w:pPr>
        <w:pStyle w:val="Paragraphedeliste"/>
        <w:spacing w:line="240" w:lineRule="auto"/>
        <w:ind w:left="786"/>
        <w:rPr>
          <w:rFonts w:ascii="Times New Roman" w:hAnsi="Times New Roman"/>
          <w:sz w:val="24"/>
          <w:u w:val="single"/>
        </w:rPr>
      </w:pPr>
    </w:p>
    <w:p w:rsidR="008064D7" w:rsidRPr="00357C77" w:rsidRDefault="008064D7" w:rsidP="0038177F">
      <w:pPr>
        <w:pStyle w:val="Paragraphedeliste"/>
        <w:spacing w:line="240" w:lineRule="auto"/>
        <w:ind w:left="786"/>
        <w:rPr>
          <w:rFonts w:ascii="Times New Roman" w:hAnsi="Times New Roman"/>
          <w:sz w:val="24"/>
        </w:rPr>
      </w:pPr>
      <w:r w:rsidRPr="00357C77">
        <w:rPr>
          <w:rFonts w:ascii="Times New Roman" w:hAnsi="Times New Roman"/>
          <w:sz w:val="24"/>
        </w:rPr>
        <w:t xml:space="preserve">Un certain nombre </w:t>
      </w:r>
      <w:r w:rsidR="0038177F">
        <w:rPr>
          <w:rFonts w:ascii="Times New Roman" w:hAnsi="Times New Roman"/>
          <w:sz w:val="24"/>
        </w:rPr>
        <w:t xml:space="preserve">de ces entreprise, qui ne sont pas des petites ou très moyennes, PME, </w:t>
      </w:r>
      <w:r w:rsidRPr="00357C77">
        <w:rPr>
          <w:rFonts w:ascii="Times New Roman" w:hAnsi="Times New Roman"/>
          <w:sz w:val="24"/>
        </w:rPr>
        <w:t>ont dû reco</w:t>
      </w:r>
      <w:r w:rsidR="0038177F">
        <w:rPr>
          <w:rFonts w:ascii="Times New Roman" w:hAnsi="Times New Roman"/>
          <w:sz w:val="24"/>
        </w:rPr>
        <w:t>urir récemment à des procédures</w:t>
      </w:r>
      <w:r w:rsidRPr="00357C77">
        <w:rPr>
          <w:rFonts w:ascii="Times New Roman" w:hAnsi="Times New Roman"/>
          <w:sz w:val="24"/>
        </w:rPr>
        <w:t xml:space="preserve"> pour se sauver ; BRANTANO, CAMAÏEU, MAXITOYS, PREMAMAN PAIN QUOTIDIEN</w:t>
      </w:r>
      <w:r w:rsidR="0038177F">
        <w:rPr>
          <w:rFonts w:ascii="Times New Roman" w:hAnsi="Times New Roman"/>
          <w:sz w:val="24"/>
        </w:rPr>
        <w:t xml:space="preserve"> en Belgique</w:t>
      </w:r>
      <w:r w:rsidRPr="00357C77">
        <w:rPr>
          <w:rFonts w:ascii="Times New Roman" w:hAnsi="Times New Roman"/>
          <w:sz w:val="24"/>
        </w:rPr>
        <w:t xml:space="preserve"> et </w:t>
      </w:r>
      <w:r w:rsidR="0038177F">
        <w:rPr>
          <w:rFonts w:ascii="Times New Roman" w:hAnsi="Times New Roman"/>
          <w:sz w:val="24"/>
        </w:rPr>
        <w:t xml:space="preserve">bien </w:t>
      </w:r>
      <w:r w:rsidRPr="00357C77">
        <w:rPr>
          <w:rFonts w:ascii="Times New Roman" w:hAnsi="Times New Roman"/>
          <w:sz w:val="24"/>
        </w:rPr>
        <w:t xml:space="preserve">d’autres </w:t>
      </w:r>
      <w:r w:rsidR="0038177F">
        <w:rPr>
          <w:rFonts w:ascii="Times New Roman" w:hAnsi="Times New Roman"/>
          <w:sz w:val="24"/>
        </w:rPr>
        <w:t xml:space="preserve">à l’étranger </w:t>
      </w:r>
      <w:r w:rsidRPr="00357C77">
        <w:rPr>
          <w:rFonts w:ascii="Times New Roman" w:hAnsi="Times New Roman"/>
          <w:sz w:val="24"/>
        </w:rPr>
        <w:t xml:space="preserve">ont utilisé les procédures </w:t>
      </w:r>
      <w:r w:rsidR="0038177F">
        <w:rPr>
          <w:rFonts w:ascii="Times New Roman" w:hAnsi="Times New Roman"/>
          <w:sz w:val="24"/>
        </w:rPr>
        <w:t>« </w:t>
      </w:r>
      <w:r w:rsidR="0038177F">
        <w:rPr>
          <w:rFonts w:ascii="Times New Roman" w:hAnsi="Times New Roman"/>
          <w:i/>
          <w:sz w:val="24"/>
        </w:rPr>
        <w:t>traditionnelles »</w:t>
      </w:r>
      <w:r w:rsidRPr="00357C77">
        <w:rPr>
          <w:rFonts w:ascii="Times New Roman" w:hAnsi="Times New Roman"/>
          <w:sz w:val="24"/>
        </w:rPr>
        <w:t>, pas toujours de manière convaincante</w:t>
      </w:r>
      <w:r w:rsidR="0038177F">
        <w:rPr>
          <w:rFonts w:ascii="Times New Roman" w:hAnsi="Times New Roman"/>
          <w:sz w:val="24"/>
        </w:rPr>
        <w:t>,</w:t>
      </w:r>
      <w:r w:rsidRPr="00357C77">
        <w:rPr>
          <w:rFonts w:ascii="Times New Roman" w:hAnsi="Times New Roman"/>
          <w:sz w:val="24"/>
        </w:rPr>
        <w:t xml:space="preserve"> alors que les entreprises qui ont utilisé des procédures plus « </w:t>
      </w:r>
      <w:r w:rsidRPr="00357C77">
        <w:rPr>
          <w:rFonts w:ascii="Times New Roman" w:hAnsi="Times New Roman"/>
          <w:i/>
          <w:sz w:val="24"/>
        </w:rPr>
        <w:t>modernes »</w:t>
      </w:r>
      <w:r w:rsidRPr="00357C77">
        <w:rPr>
          <w:rFonts w:ascii="Times New Roman" w:hAnsi="Times New Roman"/>
          <w:sz w:val="24"/>
        </w:rPr>
        <w:t xml:space="preserve"> ont pu réussir</w:t>
      </w:r>
      <w:r w:rsidR="0038177F">
        <w:rPr>
          <w:rFonts w:ascii="Times New Roman" w:hAnsi="Times New Roman"/>
          <w:sz w:val="24"/>
        </w:rPr>
        <w:t xml:space="preserve"> très rapidement</w:t>
      </w:r>
      <w:r w:rsidRPr="00357C77">
        <w:rPr>
          <w:rFonts w:ascii="Times New Roman" w:hAnsi="Times New Roman"/>
          <w:sz w:val="24"/>
        </w:rPr>
        <w:t xml:space="preserve"> leur restructuration comme NYRSTAR, HEMA, VIRGIN, …</w:t>
      </w:r>
    </w:p>
    <w:p w:rsidR="008064D7" w:rsidRDefault="008064D7" w:rsidP="00CC5766">
      <w:pPr>
        <w:pStyle w:val="Paragraphedeliste"/>
        <w:spacing w:line="240" w:lineRule="auto"/>
        <w:ind w:left="786"/>
        <w:rPr>
          <w:rFonts w:ascii="Times New Roman" w:hAnsi="Times New Roman"/>
          <w:sz w:val="24"/>
          <w:u w:val="single"/>
        </w:rPr>
      </w:pPr>
    </w:p>
    <w:p w:rsidR="008064D7" w:rsidRPr="008D4F5C" w:rsidRDefault="008064D7" w:rsidP="00CC5766">
      <w:pPr>
        <w:pStyle w:val="Paragraphedeliste"/>
        <w:spacing w:line="240" w:lineRule="auto"/>
        <w:ind w:left="786"/>
        <w:rPr>
          <w:rFonts w:ascii="Times New Roman" w:hAnsi="Times New Roman"/>
          <w:sz w:val="24"/>
        </w:rPr>
      </w:pPr>
      <w:r>
        <w:rPr>
          <w:rFonts w:ascii="Times New Roman" w:hAnsi="Times New Roman"/>
          <w:sz w:val="24"/>
        </w:rPr>
        <w:t xml:space="preserve">Certains de ces dossiers se sont terminés par des plans de liquidation ou de cession (à l’instar de LA HALLE, CAMAIEU, MAXITOYS,) d’autres par des accords de conversion de créance en action </w:t>
      </w:r>
      <w:r w:rsidR="0038177F">
        <w:rPr>
          <w:rFonts w:ascii="Times New Roman" w:hAnsi="Times New Roman"/>
          <w:sz w:val="24"/>
        </w:rPr>
        <w:t>ou</w:t>
      </w:r>
      <w:r>
        <w:rPr>
          <w:rFonts w:ascii="Times New Roman" w:hAnsi="Times New Roman"/>
          <w:sz w:val="24"/>
        </w:rPr>
        <w:t xml:space="preserve"> des étalements </w:t>
      </w:r>
      <w:r w:rsidR="0038177F">
        <w:rPr>
          <w:rFonts w:ascii="Times New Roman" w:hAnsi="Times New Roman"/>
          <w:sz w:val="24"/>
        </w:rPr>
        <w:t xml:space="preserve">de dette </w:t>
      </w:r>
      <w:r>
        <w:rPr>
          <w:rFonts w:ascii="Times New Roman" w:hAnsi="Times New Roman"/>
          <w:sz w:val="24"/>
        </w:rPr>
        <w:t xml:space="preserve">(RALLYE ou CASINO), d’autres par des faillites critiquées par les </w:t>
      </w:r>
      <w:r w:rsidRPr="007C17D3">
        <w:rPr>
          <w:rFonts w:ascii="Times New Roman" w:hAnsi="Times New Roman"/>
          <w:i/>
          <w:sz w:val="24"/>
        </w:rPr>
        <w:t>Stakeholders</w:t>
      </w:r>
      <w:r>
        <w:rPr>
          <w:rFonts w:ascii="Times New Roman" w:hAnsi="Times New Roman"/>
          <w:sz w:val="24"/>
        </w:rPr>
        <w:t xml:space="preserve"> (CAMAIEU, BRANTANO), d’autres encore par des vrais rebonds en bourse (HAMON ou ACADOMIA).</w:t>
      </w:r>
    </w:p>
    <w:p w:rsidR="008064D7" w:rsidRDefault="008064D7" w:rsidP="00CC5766">
      <w:pPr>
        <w:pStyle w:val="Paragraphedeliste"/>
        <w:spacing w:line="240" w:lineRule="auto"/>
        <w:ind w:left="786"/>
        <w:rPr>
          <w:rFonts w:ascii="Times New Roman" w:hAnsi="Times New Roman"/>
          <w:sz w:val="24"/>
          <w:u w:val="single"/>
        </w:rPr>
      </w:pPr>
    </w:p>
    <w:p w:rsidR="008064D7" w:rsidRPr="00CC5766" w:rsidRDefault="0038177F" w:rsidP="00CC5766">
      <w:pPr>
        <w:pStyle w:val="Paragraphedeliste"/>
        <w:spacing w:line="240" w:lineRule="auto"/>
        <w:ind w:left="786"/>
        <w:rPr>
          <w:rFonts w:ascii="Times New Roman" w:hAnsi="Times New Roman"/>
          <w:sz w:val="24"/>
        </w:rPr>
      </w:pPr>
      <w:r>
        <w:rPr>
          <w:rFonts w:ascii="Times New Roman" w:hAnsi="Times New Roman"/>
          <w:sz w:val="24"/>
        </w:rPr>
        <w:t>Celles qui les ont réussies</w:t>
      </w:r>
      <w:r w:rsidR="008064D7" w:rsidRPr="00CC5766">
        <w:rPr>
          <w:rFonts w:ascii="Times New Roman" w:hAnsi="Times New Roman"/>
          <w:sz w:val="24"/>
        </w:rPr>
        <w:t xml:space="preserve"> </w:t>
      </w:r>
      <w:r w:rsidR="008064D7">
        <w:rPr>
          <w:rFonts w:ascii="Times New Roman" w:hAnsi="Times New Roman"/>
          <w:sz w:val="24"/>
        </w:rPr>
        <w:t xml:space="preserve">ont préservé </w:t>
      </w:r>
      <w:r w:rsidR="008064D7" w:rsidRPr="0038177F">
        <w:rPr>
          <w:rFonts w:ascii="Times New Roman" w:hAnsi="Times New Roman"/>
          <w:sz w:val="24"/>
          <w:u w:val="single"/>
        </w:rPr>
        <w:t>la valeur de l’entreprise</w:t>
      </w:r>
      <w:r>
        <w:rPr>
          <w:rFonts w:ascii="Times New Roman" w:hAnsi="Times New Roman"/>
          <w:sz w:val="24"/>
        </w:rPr>
        <w:t xml:space="preserve"> et donc celles des actionnaires et des détenteurs d’intérêts</w:t>
      </w:r>
      <w:r w:rsidR="008064D7">
        <w:rPr>
          <w:rFonts w:ascii="Times New Roman" w:hAnsi="Times New Roman"/>
          <w:sz w:val="24"/>
        </w:rPr>
        <w:t xml:space="preserve">, d’autres pas, certaines ont apporté aux créanciers un sort acceptable tandis que d’autres non, quelques-unes </w:t>
      </w:r>
      <w:r>
        <w:rPr>
          <w:rFonts w:ascii="Times New Roman" w:hAnsi="Times New Roman"/>
          <w:sz w:val="24"/>
        </w:rPr>
        <w:t>ayant</w:t>
      </w:r>
      <w:r w:rsidR="008064D7">
        <w:rPr>
          <w:rFonts w:ascii="Times New Roman" w:hAnsi="Times New Roman"/>
          <w:sz w:val="24"/>
        </w:rPr>
        <w:t xml:space="preserve"> conduit à des pertes i</w:t>
      </w:r>
      <w:r>
        <w:rPr>
          <w:rFonts w:ascii="Times New Roman" w:hAnsi="Times New Roman"/>
          <w:sz w:val="24"/>
        </w:rPr>
        <w:t>mportantes pour les créanciers au point où la stabilité du système financier pourrait être en cause.</w:t>
      </w:r>
    </w:p>
    <w:p w:rsidR="008064D7" w:rsidRDefault="008064D7" w:rsidP="00CC5766">
      <w:pPr>
        <w:pStyle w:val="Paragraphedeliste"/>
        <w:spacing w:line="240" w:lineRule="auto"/>
        <w:ind w:left="786"/>
        <w:rPr>
          <w:rFonts w:ascii="Times New Roman" w:hAnsi="Times New Roman"/>
          <w:sz w:val="24"/>
          <w:u w:val="single"/>
        </w:rPr>
      </w:pPr>
    </w:p>
    <w:p w:rsidR="008064D7" w:rsidRDefault="008064D7" w:rsidP="00CC5766">
      <w:pPr>
        <w:pStyle w:val="Paragraphedeliste"/>
        <w:spacing w:line="240" w:lineRule="auto"/>
        <w:ind w:left="786"/>
        <w:rPr>
          <w:rFonts w:ascii="Times New Roman" w:hAnsi="Times New Roman"/>
          <w:sz w:val="24"/>
        </w:rPr>
      </w:pPr>
      <w:r>
        <w:rPr>
          <w:rFonts w:ascii="Times New Roman" w:hAnsi="Times New Roman"/>
          <w:sz w:val="24"/>
        </w:rPr>
        <w:t>Certaines de ces entreprises ont eu une grande valeur financière, économique ou parfois boursière</w:t>
      </w:r>
      <w:r w:rsidR="00DB4C93">
        <w:rPr>
          <w:rFonts w:ascii="Times New Roman" w:hAnsi="Times New Roman"/>
          <w:sz w:val="24"/>
        </w:rPr>
        <w:t xml:space="preserve"> et leur disparition prive la collectivité de PIB, de taxes, d’emploi et de participation à l’économie</w:t>
      </w:r>
      <w:r>
        <w:rPr>
          <w:rFonts w:ascii="Times New Roman" w:hAnsi="Times New Roman"/>
          <w:sz w:val="24"/>
        </w:rPr>
        <w:t>. C</w:t>
      </w:r>
      <w:r w:rsidRPr="002D7766">
        <w:rPr>
          <w:rFonts w:ascii="Times New Roman" w:hAnsi="Times New Roman"/>
          <w:sz w:val="24"/>
        </w:rPr>
        <w:t xml:space="preserve">es entreprises </w:t>
      </w:r>
      <w:r>
        <w:rPr>
          <w:rFonts w:ascii="Times New Roman" w:hAnsi="Times New Roman"/>
          <w:sz w:val="24"/>
        </w:rPr>
        <w:t>se sont souvent très endetté</w:t>
      </w:r>
      <w:r w:rsidR="00DB4C93">
        <w:rPr>
          <w:rFonts w:ascii="Times New Roman" w:hAnsi="Times New Roman"/>
          <w:sz w:val="24"/>
        </w:rPr>
        <w:t>es</w:t>
      </w:r>
      <w:r w:rsidRPr="002D7766">
        <w:rPr>
          <w:rFonts w:ascii="Times New Roman" w:hAnsi="Times New Roman"/>
          <w:sz w:val="24"/>
        </w:rPr>
        <w:t xml:space="preserve"> pour financer leur développement, se mondialiser ou assurer leur croissance externe</w:t>
      </w:r>
      <w:r>
        <w:rPr>
          <w:rFonts w:ascii="Times New Roman" w:hAnsi="Times New Roman"/>
          <w:sz w:val="24"/>
        </w:rPr>
        <w:t xml:space="preserve">. Elles ont </w:t>
      </w:r>
      <w:r w:rsidR="00DB4C93">
        <w:rPr>
          <w:rFonts w:ascii="Times New Roman" w:hAnsi="Times New Roman"/>
          <w:sz w:val="24"/>
        </w:rPr>
        <w:t xml:space="preserve">eu </w:t>
      </w:r>
      <w:r w:rsidRPr="00A311FC">
        <w:rPr>
          <w:rFonts w:ascii="Times New Roman" w:hAnsi="Times New Roman"/>
          <w:sz w:val="24"/>
        </w:rPr>
        <w:t>un passif financier structuré de manière complexe en plusieurs « </w:t>
      </w:r>
      <w:r w:rsidRPr="00AC0EB0">
        <w:rPr>
          <w:rFonts w:ascii="Times New Roman" w:hAnsi="Times New Roman"/>
          <w:i/>
          <w:sz w:val="24"/>
        </w:rPr>
        <w:t>couches</w:t>
      </w:r>
      <w:r w:rsidRPr="00A311FC">
        <w:rPr>
          <w:rFonts w:ascii="Times New Roman" w:hAnsi="Times New Roman"/>
          <w:sz w:val="24"/>
        </w:rPr>
        <w:t xml:space="preserve"> » avec des garanties et des droits différents. </w:t>
      </w:r>
      <w:r>
        <w:rPr>
          <w:rFonts w:ascii="Times New Roman" w:hAnsi="Times New Roman"/>
          <w:sz w:val="24"/>
        </w:rPr>
        <w:t>À chaque « </w:t>
      </w:r>
      <w:r>
        <w:rPr>
          <w:rFonts w:ascii="Times New Roman" w:hAnsi="Times New Roman"/>
          <w:i/>
          <w:sz w:val="24"/>
        </w:rPr>
        <w:t>tour de table »</w:t>
      </w:r>
      <w:r>
        <w:rPr>
          <w:rFonts w:ascii="Times New Roman" w:hAnsi="Times New Roman"/>
          <w:sz w:val="24"/>
        </w:rPr>
        <w:t>, l</w:t>
      </w:r>
      <w:r w:rsidRPr="00A311FC">
        <w:rPr>
          <w:rFonts w:ascii="Times New Roman" w:hAnsi="Times New Roman"/>
          <w:sz w:val="24"/>
        </w:rPr>
        <w:t>’entreprise</w:t>
      </w:r>
      <w:r w:rsidR="00DB4C93">
        <w:rPr>
          <w:rFonts w:ascii="Times New Roman" w:hAnsi="Times New Roman"/>
          <w:sz w:val="24"/>
        </w:rPr>
        <w:t>,</w:t>
      </w:r>
      <w:r w:rsidRPr="00A311FC">
        <w:rPr>
          <w:rFonts w:ascii="Times New Roman" w:hAnsi="Times New Roman"/>
          <w:sz w:val="24"/>
        </w:rPr>
        <w:t xml:space="preserve"> qui doit proposer à ses détenteurs d’intérêt</w:t>
      </w:r>
      <w:r w:rsidR="00DB4C93">
        <w:rPr>
          <w:rFonts w:ascii="Times New Roman" w:hAnsi="Times New Roman"/>
          <w:sz w:val="24"/>
        </w:rPr>
        <w:t>s</w:t>
      </w:r>
      <w:r w:rsidRPr="00A311FC">
        <w:rPr>
          <w:rFonts w:ascii="Times New Roman" w:hAnsi="Times New Roman"/>
          <w:sz w:val="24"/>
        </w:rPr>
        <w:t xml:space="preserve"> une restructuration de son endettement sans passer par une liquidation pure et simple</w:t>
      </w:r>
      <w:r w:rsidR="00DB4C93">
        <w:rPr>
          <w:rFonts w:ascii="Times New Roman" w:hAnsi="Times New Roman"/>
          <w:sz w:val="24"/>
        </w:rPr>
        <w:t>,</w:t>
      </w:r>
      <w:r>
        <w:rPr>
          <w:rFonts w:ascii="Times New Roman" w:hAnsi="Times New Roman"/>
          <w:sz w:val="24"/>
        </w:rPr>
        <w:t xml:space="preserve"> </w:t>
      </w:r>
      <w:r w:rsidRPr="00A311FC">
        <w:rPr>
          <w:rFonts w:ascii="Times New Roman" w:hAnsi="Times New Roman"/>
          <w:sz w:val="24"/>
        </w:rPr>
        <w:t>doit, pour convaincre ses créanciers</w:t>
      </w:r>
      <w:r>
        <w:rPr>
          <w:rFonts w:ascii="Times New Roman" w:hAnsi="Times New Roman"/>
          <w:sz w:val="24"/>
        </w:rPr>
        <w:t>, se baser sur</w:t>
      </w:r>
      <w:r w:rsidRPr="00A311FC">
        <w:rPr>
          <w:rFonts w:ascii="Times New Roman" w:hAnsi="Times New Roman"/>
          <w:sz w:val="24"/>
        </w:rPr>
        <w:t xml:space="preserve"> la viabilité de tout ou partie de ses activités ainsi </w:t>
      </w:r>
      <w:r>
        <w:rPr>
          <w:rFonts w:ascii="Times New Roman" w:hAnsi="Times New Roman"/>
          <w:sz w:val="24"/>
        </w:rPr>
        <w:t>que</w:t>
      </w:r>
      <w:r w:rsidRPr="00A311FC">
        <w:rPr>
          <w:rFonts w:ascii="Times New Roman" w:hAnsi="Times New Roman"/>
          <w:sz w:val="24"/>
        </w:rPr>
        <w:t xml:space="preserve"> </w:t>
      </w:r>
      <w:r>
        <w:rPr>
          <w:rFonts w:ascii="Times New Roman" w:hAnsi="Times New Roman"/>
          <w:sz w:val="24"/>
        </w:rPr>
        <w:t xml:space="preserve">sur </w:t>
      </w:r>
      <w:r w:rsidRPr="00A311FC">
        <w:rPr>
          <w:rFonts w:ascii="Times New Roman" w:hAnsi="Times New Roman"/>
          <w:sz w:val="24"/>
        </w:rPr>
        <w:t xml:space="preserve">sa valeur actuelle rapportée à sa </w:t>
      </w:r>
      <w:r w:rsidRPr="00A311FC">
        <w:rPr>
          <w:rFonts w:ascii="Times New Roman" w:hAnsi="Times New Roman"/>
          <w:sz w:val="24"/>
        </w:rPr>
        <w:lastRenderedPageBreak/>
        <w:t>valeur future</w:t>
      </w:r>
      <w:r>
        <w:rPr>
          <w:rFonts w:ascii="Times New Roman" w:hAnsi="Times New Roman"/>
          <w:sz w:val="24"/>
        </w:rPr>
        <w:t>. Elle doit,</w:t>
      </w:r>
      <w:r w:rsidRPr="00A311FC">
        <w:rPr>
          <w:rFonts w:ascii="Times New Roman" w:hAnsi="Times New Roman"/>
          <w:sz w:val="24"/>
        </w:rPr>
        <w:t xml:space="preserve"> pour convaincre les différents détenteurs d’intérêts</w:t>
      </w:r>
      <w:r>
        <w:rPr>
          <w:rFonts w:ascii="Times New Roman" w:hAnsi="Times New Roman"/>
          <w:sz w:val="24"/>
        </w:rPr>
        <w:t xml:space="preserve">, </w:t>
      </w:r>
      <w:r w:rsidRPr="00A311FC">
        <w:rPr>
          <w:rFonts w:ascii="Times New Roman" w:hAnsi="Times New Roman"/>
          <w:sz w:val="24"/>
        </w:rPr>
        <w:t>accepter des cessions de dettes, des abattements, des conversions en actions, l’octroi de nouveau</w:t>
      </w:r>
      <w:r>
        <w:rPr>
          <w:rFonts w:ascii="Times New Roman" w:hAnsi="Times New Roman"/>
          <w:sz w:val="24"/>
        </w:rPr>
        <w:t>x</w:t>
      </w:r>
      <w:r w:rsidRPr="00A311FC">
        <w:rPr>
          <w:rFonts w:ascii="Times New Roman" w:hAnsi="Times New Roman"/>
          <w:sz w:val="24"/>
        </w:rPr>
        <w:t xml:space="preserve"> financement</w:t>
      </w:r>
      <w:r>
        <w:rPr>
          <w:rFonts w:ascii="Times New Roman" w:hAnsi="Times New Roman"/>
          <w:sz w:val="24"/>
        </w:rPr>
        <w:t>s ou des plans structurés et complexes de remboursement</w:t>
      </w:r>
      <w:r w:rsidRPr="00A311FC">
        <w:rPr>
          <w:rFonts w:ascii="Times New Roman" w:hAnsi="Times New Roman"/>
          <w:sz w:val="24"/>
        </w:rPr>
        <w:t>.</w:t>
      </w:r>
      <w:r>
        <w:rPr>
          <w:rFonts w:ascii="Times New Roman" w:hAnsi="Times New Roman"/>
          <w:sz w:val="24"/>
        </w:rPr>
        <w:t xml:space="preserve"> </w:t>
      </w:r>
    </w:p>
    <w:p w:rsidR="008064D7" w:rsidRDefault="008064D7" w:rsidP="00CC5766">
      <w:pPr>
        <w:pStyle w:val="Paragraphedeliste"/>
        <w:spacing w:line="240" w:lineRule="auto"/>
        <w:ind w:left="786"/>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sidRPr="003D6360">
        <w:rPr>
          <w:rFonts w:ascii="Times New Roman" w:hAnsi="Times New Roman"/>
          <w:sz w:val="24"/>
          <w:u w:val="single"/>
        </w:rPr>
        <w:t>Les commerçants, les TPE et les PME petites et moyennes sont aussi touchées</w:t>
      </w:r>
      <w:r>
        <w:rPr>
          <w:rFonts w:ascii="Times New Roman" w:hAnsi="Times New Roman"/>
          <w:sz w:val="24"/>
          <w:u w:val="single"/>
        </w:rPr>
        <w:t xml:space="preserve"> par la crise et ont besoin d’une réforme du droit de l’insolvabilité</w:t>
      </w:r>
      <w:r w:rsidRPr="003D6360">
        <w:rPr>
          <w:rFonts w:ascii="Times New Roman" w:hAnsi="Times New Roman"/>
          <w:sz w:val="24"/>
        </w:rPr>
        <w:t xml:space="preserve">. </w:t>
      </w:r>
      <w:r w:rsidR="00DB4C93">
        <w:rPr>
          <w:rFonts w:ascii="Times New Roman" w:hAnsi="Times New Roman"/>
          <w:sz w:val="24"/>
        </w:rPr>
        <w:t xml:space="preserve">Le sursis ne les protège pas des dettes post-sursitaires ni même bancaires (loi sûreté financière) et la publicité des procédures les tuent souvent avant même la fin du processus. </w:t>
      </w:r>
      <w:r>
        <w:rPr>
          <w:rFonts w:ascii="Times New Roman" w:hAnsi="Times New Roman"/>
          <w:sz w:val="24"/>
        </w:rPr>
        <w:t>Les pertes pour les créanciers -</w:t>
      </w:r>
      <w:r w:rsidR="00DB4C93">
        <w:rPr>
          <w:rFonts w:ascii="Times New Roman" w:hAnsi="Times New Roman"/>
          <w:sz w:val="24"/>
        </w:rPr>
        <w:t xml:space="preserve"> </w:t>
      </w:r>
      <w:r>
        <w:rPr>
          <w:rFonts w:ascii="Times New Roman" w:hAnsi="Times New Roman"/>
          <w:sz w:val="24"/>
        </w:rPr>
        <w:t xml:space="preserve">eux-mêmes débiteurs d’autres créanciers- sont importantes et l’effet domino à la base du droit de l’insolvabilité se </w:t>
      </w:r>
      <w:r w:rsidR="00DB4C93">
        <w:rPr>
          <w:rFonts w:ascii="Times New Roman" w:hAnsi="Times New Roman"/>
          <w:sz w:val="24"/>
        </w:rPr>
        <w:t>met</w:t>
      </w:r>
      <w:r>
        <w:rPr>
          <w:rFonts w:ascii="Times New Roman" w:hAnsi="Times New Roman"/>
          <w:sz w:val="24"/>
        </w:rPr>
        <w:t xml:space="preserve"> en œuvre.</w:t>
      </w:r>
    </w:p>
    <w:p w:rsidR="008064D7" w:rsidRDefault="008064D7" w:rsidP="00CC5766">
      <w:pPr>
        <w:pStyle w:val="Paragraphedeliste"/>
        <w:spacing w:line="240" w:lineRule="auto"/>
        <w:ind w:left="786"/>
        <w:rPr>
          <w:rFonts w:ascii="Times New Roman" w:hAnsi="Times New Roman"/>
          <w:sz w:val="24"/>
          <w:u w:val="single"/>
        </w:rPr>
      </w:pPr>
    </w:p>
    <w:p w:rsidR="008064D7" w:rsidRDefault="008064D7" w:rsidP="00CC5766">
      <w:pPr>
        <w:pStyle w:val="Paragraphedeliste"/>
        <w:spacing w:line="240" w:lineRule="auto"/>
        <w:ind w:left="786"/>
        <w:rPr>
          <w:rFonts w:ascii="Times New Roman" w:hAnsi="Times New Roman"/>
          <w:sz w:val="24"/>
        </w:rPr>
      </w:pPr>
      <w:r w:rsidRPr="003D6360">
        <w:rPr>
          <w:rFonts w:ascii="Times New Roman" w:hAnsi="Times New Roman"/>
          <w:sz w:val="24"/>
        </w:rPr>
        <w:t xml:space="preserve">Les </w:t>
      </w:r>
      <w:r w:rsidR="00DB4C93">
        <w:rPr>
          <w:rFonts w:ascii="Times New Roman" w:hAnsi="Times New Roman"/>
          <w:sz w:val="24"/>
        </w:rPr>
        <w:t xml:space="preserve">difficultés des </w:t>
      </w:r>
      <w:r w:rsidRPr="003D6360">
        <w:rPr>
          <w:rFonts w:ascii="Times New Roman" w:hAnsi="Times New Roman"/>
          <w:sz w:val="24"/>
        </w:rPr>
        <w:t xml:space="preserve">petites et moyennes PME </w:t>
      </w:r>
      <w:r w:rsidR="00DB4C93">
        <w:rPr>
          <w:rFonts w:ascii="Times New Roman" w:hAnsi="Times New Roman"/>
          <w:sz w:val="24"/>
        </w:rPr>
        <w:t>sont</w:t>
      </w:r>
      <w:r>
        <w:rPr>
          <w:rFonts w:ascii="Times New Roman" w:hAnsi="Times New Roman"/>
          <w:sz w:val="24"/>
        </w:rPr>
        <w:t xml:space="preserve"> différent</w:t>
      </w:r>
      <w:r w:rsidR="00DB4C93">
        <w:rPr>
          <w:rFonts w:ascii="Times New Roman" w:hAnsi="Times New Roman"/>
          <w:sz w:val="24"/>
        </w:rPr>
        <w:t>e</w:t>
      </w:r>
      <w:r>
        <w:rPr>
          <w:rFonts w:ascii="Times New Roman" w:hAnsi="Times New Roman"/>
          <w:sz w:val="24"/>
        </w:rPr>
        <w:t>s de</w:t>
      </w:r>
      <w:r w:rsidR="00DB4C93">
        <w:rPr>
          <w:rFonts w:ascii="Times New Roman" w:hAnsi="Times New Roman"/>
          <w:sz w:val="24"/>
        </w:rPr>
        <w:t xml:space="preserve"> celles des</w:t>
      </w:r>
      <w:r>
        <w:rPr>
          <w:rFonts w:ascii="Times New Roman" w:hAnsi="Times New Roman"/>
          <w:sz w:val="24"/>
        </w:rPr>
        <w:t xml:space="preserve"> grandes entreprises. Elles sont confrontées d’abord à une crise de solvabilité et</w:t>
      </w:r>
      <w:r w:rsidRPr="003D6360">
        <w:rPr>
          <w:rFonts w:ascii="Times New Roman" w:hAnsi="Times New Roman"/>
          <w:sz w:val="24"/>
        </w:rPr>
        <w:t xml:space="preserve"> surtout de liquidité</w:t>
      </w:r>
      <w:r>
        <w:rPr>
          <w:rFonts w:ascii="Times New Roman" w:hAnsi="Times New Roman"/>
          <w:sz w:val="24"/>
        </w:rPr>
        <w:t xml:space="preserve">s qui les prive de capacités </w:t>
      </w:r>
      <w:r w:rsidRPr="003D6360">
        <w:rPr>
          <w:rFonts w:ascii="Times New Roman" w:hAnsi="Times New Roman"/>
          <w:sz w:val="24"/>
        </w:rPr>
        <w:t>de remboursement</w:t>
      </w:r>
      <w:r>
        <w:rPr>
          <w:rFonts w:ascii="Times New Roman" w:hAnsi="Times New Roman"/>
          <w:sz w:val="24"/>
        </w:rPr>
        <w:t xml:space="preserve"> de leur endettement</w:t>
      </w:r>
      <w:r w:rsidR="00DB4C93">
        <w:rPr>
          <w:rFonts w:ascii="Times New Roman" w:hAnsi="Times New Roman"/>
          <w:sz w:val="24"/>
        </w:rPr>
        <w:t xml:space="preserve"> souvent opérationnelles.</w:t>
      </w:r>
      <w:r w:rsidRPr="003D6360">
        <w:rPr>
          <w:rFonts w:ascii="Times New Roman" w:hAnsi="Times New Roman"/>
          <w:sz w:val="24"/>
        </w:rPr>
        <w:t xml:space="preserve"> </w:t>
      </w:r>
      <w:r>
        <w:rPr>
          <w:rFonts w:ascii="Times New Roman" w:hAnsi="Times New Roman"/>
          <w:sz w:val="24"/>
        </w:rPr>
        <w:t xml:space="preserve"> </w:t>
      </w:r>
    </w:p>
    <w:p w:rsidR="008064D7" w:rsidRDefault="008064D7" w:rsidP="00CC5766">
      <w:pPr>
        <w:pStyle w:val="Paragraphedeliste"/>
        <w:spacing w:line="240" w:lineRule="auto"/>
        <w:ind w:left="786"/>
        <w:rPr>
          <w:rFonts w:ascii="Times New Roman" w:hAnsi="Times New Roman"/>
          <w:sz w:val="24"/>
        </w:rPr>
      </w:pPr>
    </w:p>
    <w:p w:rsidR="008064D7" w:rsidRDefault="008064D7" w:rsidP="00CC5766">
      <w:pPr>
        <w:pStyle w:val="Paragraphedeliste"/>
        <w:spacing w:line="240" w:lineRule="auto"/>
        <w:ind w:left="786"/>
        <w:rPr>
          <w:rFonts w:ascii="Times New Roman" w:hAnsi="Times New Roman"/>
          <w:sz w:val="24"/>
        </w:rPr>
      </w:pPr>
      <w:r>
        <w:rPr>
          <w:rFonts w:ascii="Times New Roman" w:hAnsi="Times New Roman"/>
          <w:sz w:val="24"/>
        </w:rPr>
        <w:t>De nombreux auteurs et praticiens affirment, dans les colloques et les lieux de dialogue, que l’introduction de la directive et de son concept « </w:t>
      </w:r>
      <w:r w:rsidRPr="007C17D3">
        <w:rPr>
          <w:rFonts w:ascii="Times New Roman" w:hAnsi="Times New Roman"/>
          <w:i/>
          <w:sz w:val="24"/>
        </w:rPr>
        <w:t>In the money</w:t>
      </w:r>
      <w:r>
        <w:rPr>
          <w:rFonts w:ascii="Times New Roman" w:hAnsi="Times New Roman"/>
          <w:sz w:val="24"/>
        </w:rPr>
        <w:t xml:space="preserve"> » n’est pas pertinente pour les PME en raison de la complexité de la règle, </w:t>
      </w:r>
      <w:r w:rsidR="00DB4C93">
        <w:rPr>
          <w:rFonts w:ascii="Times New Roman" w:hAnsi="Times New Roman"/>
          <w:sz w:val="24"/>
        </w:rPr>
        <w:t xml:space="preserve">de </w:t>
      </w:r>
      <w:r>
        <w:rPr>
          <w:rFonts w:ascii="Times New Roman" w:hAnsi="Times New Roman"/>
          <w:sz w:val="24"/>
        </w:rPr>
        <w:t xml:space="preserve">son coût et de l’absence d’utilité. </w:t>
      </w:r>
      <w:r w:rsidR="00DB4C93">
        <w:rPr>
          <w:rFonts w:ascii="Times New Roman" w:hAnsi="Times New Roman"/>
          <w:sz w:val="24"/>
        </w:rPr>
        <w:t>Il n’en est rien puisqu’il</w:t>
      </w:r>
      <w:r>
        <w:rPr>
          <w:rFonts w:ascii="Times New Roman" w:hAnsi="Times New Roman"/>
          <w:sz w:val="24"/>
        </w:rPr>
        <w:t xml:space="preserve"> faut d’abord rappeler que la directive laisse aux Etats la possibilité de ne pas imposer le nouveau système aux PME tout en laissant le choix aux PME d’y recourir. </w:t>
      </w:r>
    </w:p>
    <w:p w:rsidR="008064D7" w:rsidRDefault="008064D7" w:rsidP="00CC5766">
      <w:pPr>
        <w:pStyle w:val="Paragraphedeliste"/>
        <w:spacing w:line="240" w:lineRule="auto"/>
        <w:ind w:left="786"/>
        <w:rPr>
          <w:rFonts w:ascii="Times New Roman" w:hAnsi="Times New Roman"/>
          <w:sz w:val="24"/>
        </w:rPr>
      </w:pPr>
    </w:p>
    <w:p w:rsidR="008064D7" w:rsidRPr="00EB2D79"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concurrence existe</w:t>
      </w:r>
      <w:r w:rsidR="00DB4C93">
        <w:rPr>
          <w:rFonts w:ascii="Times New Roman" w:hAnsi="Times New Roman"/>
          <w:sz w:val="24"/>
          <w:u w:val="single"/>
        </w:rPr>
        <w:t xml:space="preserve"> entre Etas</w:t>
      </w:r>
      <w:r>
        <w:rPr>
          <w:rFonts w:ascii="Times New Roman" w:hAnsi="Times New Roman"/>
          <w:sz w:val="24"/>
          <w:u w:val="single"/>
        </w:rPr>
        <w:t> : les Etats-</w:t>
      </w:r>
      <w:r w:rsidRPr="008949EB">
        <w:rPr>
          <w:rFonts w:ascii="Times New Roman" w:hAnsi="Times New Roman"/>
          <w:sz w:val="24"/>
          <w:u w:val="single"/>
        </w:rPr>
        <w:t xml:space="preserve">membres amis mais néanmoins concurrents ont </w:t>
      </w:r>
      <w:r>
        <w:rPr>
          <w:rFonts w:ascii="Times New Roman" w:hAnsi="Times New Roman"/>
          <w:sz w:val="24"/>
          <w:u w:val="single"/>
        </w:rPr>
        <w:t xml:space="preserve">ainsi </w:t>
      </w:r>
      <w:r w:rsidRPr="008949EB">
        <w:rPr>
          <w:rFonts w:ascii="Times New Roman" w:hAnsi="Times New Roman"/>
          <w:sz w:val="24"/>
          <w:u w:val="single"/>
        </w:rPr>
        <w:t>adopté</w:t>
      </w:r>
      <w:r>
        <w:rPr>
          <w:rFonts w:ascii="Times New Roman" w:hAnsi="Times New Roman"/>
          <w:sz w:val="24"/>
          <w:u w:val="single"/>
        </w:rPr>
        <w:t xml:space="preserve"> </w:t>
      </w:r>
      <w:r w:rsidRPr="00EB2D79">
        <w:rPr>
          <w:rFonts w:ascii="Times New Roman" w:hAnsi="Times New Roman"/>
          <w:sz w:val="24"/>
          <w:u w:val="single"/>
        </w:rPr>
        <w:t xml:space="preserve">ou envisagent d’adopter des </w:t>
      </w:r>
      <w:r w:rsidRPr="005802E8">
        <w:rPr>
          <w:rFonts w:ascii="Times New Roman" w:hAnsi="Times New Roman"/>
          <w:sz w:val="24"/>
          <w:u w:val="single"/>
        </w:rPr>
        <w:t>législations qui intègrent le concept</w:t>
      </w:r>
      <w:r>
        <w:rPr>
          <w:rFonts w:ascii="Times New Roman" w:hAnsi="Times New Roman"/>
          <w:sz w:val="24"/>
          <w:u w:val="single"/>
        </w:rPr>
        <w:t xml:space="preserve"> « </w:t>
      </w:r>
      <w:r w:rsidRPr="007C17D3">
        <w:rPr>
          <w:rFonts w:ascii="Times New Roman" w:hAnsi="Times New Roman"/>
          <w:i/>
          <w:sz w:val="24"/>
          <w:u w:val="single"/>
        </w:rPr>
        <w:t>In the money</w:t>
      </w:r>
      <w:r>
        <w:rPr>
          <w:rFonts w:ascii="Times New Roman" w:hAnsi="Times New Roman"/>
          <w:sz w:val="24"/>
          <w:u w:val="single"/>
        </w:rPr>
        <w:t> »</w:t>
      </w:r>
      <w:r>
        <w:rPr>
          <w:rFonts w:ascii="Times New Roman" w:hAnsi="Times New Roman"/>
          <w:sz w:val="24"/>
        </w:rPr>
        <w:t> : les</w:t>
      </w:r>
      <w:r w:rsidRPr="008949EB">
        <w:rPr>
          <w:rFonts w:ascii="Times New Roman" w:hAnsi="Times New Roman"/>
          <w:sz w:val="24"/>
        </w:rPr>
        <w:t xml:space="preserve"> Pays-Bas </w:t>
      </w:r>
      <w:r>
        <w:rPr>
          <w:rFonts w:ascii="Times New Roman" w:hAnsi="Times New Roman"/>
          <w:sz w:val="24"/>
        </w:rPr>
        <w:t>avec Le WHOA</w:t>
      </w:r>
      <w:r w:rsidRPr="008949EB">
        <w:rPr>
          <w:rFonts w:ascii="Times New Roman" w:hAnsi="Times New Roman"/>
          <w:sz w:val="24"/>
        </w:rPr>
        <w:t xml:space="preserve">, </w:t>
      </w:r>
      <w:r>
        <w:rPr>
          <w:rFonts w:ascii="Times New Roman" w:hAnsi="Times New Roman"/>
          <w:sz w:val="24"/>
        </w:rPr>
        <w:t>la</w:t>
      </w:r>
      <w:r w:rsidRPr="008949EB">
        <w:rPr>
          <w:rFonts w:ascii="Times New Roman" w:hAnsi="Times New Roman"/>
          <w:sz w:val="24"/>
        </w:rPr>
        <w:t xml:space="preserve"> Pologne, </w:t>
      </w:r>
      <w:r>
        <w:rPr>
          <w:rFonts w:ascii="Times New Roman" w:hAnsi="Times New Roman"/>
          <w:sz w:val="24"/>
        </w:rPr>
        <w:t>l’</w:t>
      </w:r>
      <w:r w:rsidRPr="008949EB">
        <w:rPr>
          <w:rFonts w:ascii="Times New Roman" w:hAnsi="Times New Roman"/>
          <w:sz w:val="24"/>
        </w:rPr>
        <w:t xml:space="preserve">Espagne, </w:t>
      </w:r>
      <w:r>
        <w:rPr>
          <w:rFonts w:ascii="Times New Roman" w:hAnsi="Times New Roman"/>
          <w:sz w:val="24"/>
        </w:rPr>
        <w:t>le Royaume-Uni</w:t>
      </w:r>
      <w:r w:rsidRPr="008949EB">
        <w:rPr>
          <w:rFonts w:ascii="Times New Roman" w:hAnsi="Times New Roman"/>
          <w:sz w:val="24"/>
        </w:rPr>
        <w:t xml:space="preserve">, </w:t>
      </w:r>
      <w:r>
        <w:rPr>
          <w:rFonts w:ascii="Times New Roman" w:hAnsi="Times New Roman"/>
          <w:sz w:val="24"/>
        </w:rPr>
        <w:t>l’Allemagne, la France.</w:t>
      </w:r>
    </w:p>
    <w:p w:rsidR="008064D7" w:rsidRDefault="008064D7" w:rsidP="00CC5766">
      <w:pPr>
        <w:pStyle w:val="Paragraphedeliste"/>
        <w:spacing w:line="240" w:lineRule="auto"/>
        <w:ind w:left="786"/>
        <w:rPr>
          <w:rFonts w:ascii="Times New Roman" w:hAnsi="Times New Roman"/>
          <w:sz w:val="24"/>
        </w:rPr>
      </w:pPr>
    </w:p>
    <w:p w:rsidR="008064D7" w:rsidRDefault="008064D7" w:rsidP="00CC5766">
      <w:pPr>
        <w:pStyle w:val="Paragraphedeliste"/>
        <w:spacing w:line="240" w:lineRule="auto"/>
        <w:ind w:left="786"/>
        <w:rPr>
          <w:rFonts w:ascii="Times New Roman" w:hAnsi="Times New Roman"/>
          <w:sz w:val="24"/>
        </w:rPr>
      </w:pPr>
      <w:r>
        <w:rPr>
          <w:rFonts w:ascii="Times New Roman" w:hAnsi="Times New Roman"/>
          <w:sz w:val="24"/>
        </w:rPr>
        <w:t>Les entreprises, notamment belges, qui recourent à ces procédures -</w:t>
      </w:r>
      <w:r w:rsidR="00DB4C93">
        <w:rPr>
          <w:rFonts w:ascii="Times New Roman" w:hAnsi="Times New Roman"/>
          <w:sz w:val="24"/>
        </w:rPr>
        <w:t xml:space="preserve"> </w:t>
      </w:r>
      <w:r>
        <w:rPr>
          <w:rFonts w:ascii="Times New Roman" w:hAnsi="Times New Roman"/>
          <w:sz w:val="24"/>
        </w:rPr>
        <w:t>nous pensons à NYRSTAR, HEMA ou VIRGIN- démontrent une attente du marché sur un nouveau droit de l’insolvabilité.</w:t>
      </w:r>
    </w:p>
    <w:p w:rsidR="008064D7" w:rsidRDefault="008064D7" w:rsidP="00CC5766">
      <w:pPr>
        <w:pStyle w:val="Paragraphedeliste"/>
        <w:spacing w:line="240" w:lineRule="auto"/>
        <w:ind w:left="786"/>
        <w:rPr>
          <w:rFonts w:ascii="Times New Roman" w:hAnsi="Times New Roman"/>
          <w:sz w:val="24"/>
        </w:rPr>
      </w:pPr>
    </w:p>
    <w:p w:rsidR="008064D7" w:rsidRDefault="008064D7" w:rsidP="00CC5766">
      <w:pPr>
        <w:pStyle w:val="Paragraphedeliste"/>
        <w:spacing w:line="240" w:lineRule="auto"/>
        <w:ind w:left="786"/>
        <w:rPr>
          <w:rFonts w:ascii="Times New Roman" w:hAnsi="Times New Roman"/>
          <w:sz w:val="24"/>
        </w:rPr>
      </w:pPr>
      <w:r>
        <w:rPr>
          <w:rFonts w:ascii="Times New Roman" w:hAnsi="Times New Roman"/>
          <w:sz w:val="24"/>
        </w:rPr>
        <w:t>Le projet de loi 1137</w:t>
      </w:r>
      <w:r>
        <w:rPr>
          <w:rStyle w:val="Appelnotedebasdep"/>
          <w:rFonts w:ascii="Times New Roman" w:hAnsi="Times New Roman"/>
          <w:sz w:val="24"/>
        </w:rPr>
        <w:footnoteReference w:id="10"/>
      </w:r>
      <w:r>
        <w:rPr>
          <w:rFonts w:ascii="Times New Roman" w:hAnsi="Times New Roman"/>
          <w:sz w:val="24"/>
        </w:rPr>
        <w:t xml:space="preserve"> que la Commission du Parlement a renvoyé aux calendes grecques, prévoyait</w:t>
      </w:r>
      <w:r w:rsidR="00DB4C93">
        <w:rPr>
          <w:rFonts w:ascii="Times New Roman" w:hAnsi="Times New Roman"/>
          <w:sz w:val="24"/>
        </w:rPr>
        <w:t>,</w:t>
      </w:r>
      <w:r>
        <w:rPr>
          <w:rFonts w:ascii="Times New Roman" w:hAnsi="Times New Roman"/>
          <w:sz w:val="24"/>
        </w:rPr>
        <w:t xml:space="preserve"> à travers les règles applicables au sursis, une application timide du concept.</w:t>
      </w:r>
    </w:p>
    <w:p w:rsidR="008064D7" w:rsidRDefault="008064D7" w:rsidP="00CC5766">
      <w:pPr>
        <w:pStyle w:val="Paragraphedeliste"/>
        <w:spacing w:line="240" w:lineRule="auto"/>
        <w:ind w:left="786"/>
        <w:rPr>
          <w:rFonts w:ascii="Times New Roman" w:hAnsi="Times New Roman"/>
          <w:sz w:val="24"/>
        </w:rPr>
      </w:pPr>
    </w:p>
    <w:p w:rsidR="008064D7" w:rsidRDefault="008064D7" w:rsidP="00CC5766">
      <w:pPr>
        <w:pStyle w:val="Paragraphedeliste"/>
        <w:spacing w:line="240" w:lineRule="auto"/>
        <w:ind w:left="786"/>
        <w:rPr>
          <w:rFonts w:ascii="Times New Roman" w:hAnsi="Times New Roman"/>
          <w:sz w:val="24"/>
        </w:rPr>
      </w:pPr>
      <w:r>
        <w:rPr>
          <w:rFonts w:ascii="Times New Roman" w:hAnsi="Times New Roman"/>
          <w:sz w:val="24"/>
        </w:rPr>
        <w:t xml:space="preserve">La déclaration gouvernementale ne fait pas expressément référence à cette question. Il faudra donc attendre le projet de loi transposant la directive pour examiner la vision du gouvernement et attendre l’adoption de la loi, sa mise en œuvre et les éventuelles critiques liées à une mauvaise transposition de la directive pour pouvoir </w:t>
      </w:r>
      <w:r w:rsidRPr="007C17D3">
        <w:rPr>
          <w:rFonts w:ascii="Times New Roman" w:hAnsi="Times New Roman"/>
          <w:i/>
          <w:sz w:val="24"/>
        </w:rPr>
        <w:t>Fair</w:t>
      </w:r>
      <w:r>
        <w:rPr>
          <w:rFonts w:ascii="Times New Roman" w:hAnsi="Times New Roman"/>
          <w:sz w:val="24"/>
        </w:rPr>
        <w:t>e du concept un outil utilisable par les entreprises.</w:t>
      </w:r>
    </w:p>
    <w:p w:rsidR="008064D7" w:rsidRDefault="008064D7" w:rsidP="00CC5766">
      <w:pPr>
        <w:pStyle w:val="Paragraphedeliste"/>
        <w:spacing w:line="240" w:lineRule="auto"/>
        <w:ind w:left="786"/>
        <w:rPr>
          <w:rFonts w:ascii="Times New Roman" w:hAnsi="Times New Roman"/>
          <w:sz w:val="24"/>
        </w:rPr>
      </w:pPr>
    </w:p>
    <w:p w:rsidR="008064D7" w:rsidRPr="00F31798" w:rsidRDefault="008064D7" w:rsidP="007565AA">
      <w:pPr>
        <w:pStyle w:val="Titre2"/>
        <w:numPr>
          <w:ilvl w:val="0"/>
          <w:numId w:val="10"/>
        </w:numPr>
        <w:rPr>
          <w:rFonts w:ascii="Times New Roman" w:hAnsi="Times New Roman" w:cs="Times New Roman"/>
        </w:rPr>
      </w:pPr>
      <w:bookmarkStart w:id="4" w:name="_Toc55407450"/>
      <w:r>
        <w:rPr>
          <w:rFonts w:ascii="Times New Roman" w:hAnsi="Times New Roman" w:cs="Times New Roman"/>
        </w:rPr>
        <w:t>Le « </w:t>
      </w:r>
      <w:r w:rsidRPr="007C17D3">
        <w:rPr>
          <w:rFonts w:ascii="Times New Roman" w:hAnsi="Times New Roman" w:cs="Times New Roman"/>
          <w:i/>
        </w:rPr>
        <w:t>In the money</w:t>
      </w:r>
      <w:r>
        <w:rPr>
          <w:rFonts w:ascii="Times New Roman" w:hAnsi="Times New Roman" w:cs="Times New Roman"/>
        </w:rPr>
        <w:t xml:space="preserve"> » est pratiqué </w:t>
      </w:r>
      <w:r w:rsidR="00DB4C93">
        <w:rPr>
          <w:rFonts w:ascii="Times New Roman" w:hAnsi="Times New Roman" w:cs="Times New Roman"/>
        </w:rPr>
        <w:t>avec</w:t>
      </w:r>
      <w:r>
        <w:rPr>
          <w:rFonts w:ascii="Times New Roman" w:hAnsi="Times New Roman" w:cs="Times New Roman"/>
        </w:rPr>
        <w:t xml:space="preserve"> succès</w:t>
      </w:r>
      <w:bookmarkEnd w:id="4"/>
    </w:p>
    <w:p w:rsidR="008064D7" w:rsidRDefault="008064D7" w:rsidP="000A3F37">
      <w:pPr>
        <w:pStyle w:val="Paragraphedeliste"/>
        <w:spacing w:line="240" w:lineRule="auto"/>
        <w:ind w:left="786"/>
        <w:rPr>
          <w:rFonts w:ascii="Times New Roman" w:hAnsi="Times New Roman"/>
          <w:sz w:val="24"/>
          <w:u w:val="single"/>
        </w:rPr>
      </w:pPr>
    </w:p>
    <w:p w:rsidR="008064D7" w:rsidRPr="00F82082" w:rsidRDefault="00DB4C93"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lastRenderedPageBreak/>
        <w:t>C</w:t>
      </w:r>
      <w:r w:rsidR="008064D7" w:rsidRPr="00357C77">
        <w:rPr>
          <w:rFonts w:ascii="Times New Roman" w:hAnsi="Times New Roman"/>
          <w:sz w:val="24"/>
          <w:u w:val="single"/>
        </w:rPr>
        <w:t>es règles proviennent de la pratique du Chapitre 11 de la loi américaine sur la faillite</w:t>
      </w:r>
      <w:r w:rsidR="008064D7" w:rsidRPr="00082475">
        <w:rPr>
          <w:rStyle w:val="Appelnotedebasdep"/>
          <w:rFonts w:ascii="Times New Roman" w:hAnsi="Times New Roman"/>
          <w:sz w:val="24"/>
        </w:rPr>
        <w:footnoteReference w:id="11"/>
      </w:r>
      <w:r w:rsidR="008064D7">
        <w:rPr>
          <w:rFonts w:ascii="Times New Roman" w:hAnsi="Times New Roman"/>
          <w:sz w:val="24"/>
        </w:rPr>
        <w:t xml:space="preserve"> dont la directive s’est inspirée en reprenant, selon les auteurs avisés, </w:t>
      </w:r>
      <w:r w:rsidR="008064D7" w:rsidRPr="00F82082">
        <w:rPr>
          <w:rFonts w:ascii="Times New Roman" w:hAnsi="Times New Roman"/>
          <w:sz w:val="24"/>
        </w:rPr>
        <w:t>des règles fort similaires</w:t>
      </w:r>
      <w:r w:rsidR="008064D7">
        <w:rPr>
          <w:rStyle w:val="Appelnotedebasdep"/>
          <w:rFonts w:ascii="Times New Roman" w:hAnsi="Times New Roman"/>
          <w:sz w:val="24"/>
        </w:rPr>
        <w:footnoteReference w:id="12"/>
      </w:r>
      <w:r w:rsidR="008064D7">
        <w:rPr>
          <w:rFonts w:ascii="Times New Roman" w:hAnsi="Times New Roman"/>
          <w:sz w:val="24"/>
        </w:rPr>
        <w:t xml:space="preserve"> ce que d’ailleurs nous allons nous employer a vérifier en détail.</w:t>
      </w:r>
    </w:p>
    <w:p w:rsidR="008064D7" w:rsidRDefault="008064D7" w:rsidP="007E6664">
      <w:pPr>
        <w:pStyle w:val="Paragraphedeliste"/>
        <w:spacing w:line="240" w:lineRule="auto"/>
        <w:ind w:left="786"/>
        <w:rPr>
          <w:rFonts w:ascii="Times New Roman" w:hAnsi="Times New Roman"/>
          <w:sz w:val="24"/>
          <w:u w:val="single"/>
        </w:rPr>
      </w:pPr>
    </w:p>
    <w:p w:rsidR="008064D7" w:rsidRDefault="008064D7" w:rsidP="007E6664">
      <w:pPr>
        <w:pStyle w:val="Paragraphedeliste"/>
        <w:spacing w:line="240" w:lineRule="auto"/>
        <w:ind w:left="786"/>
        <w:rPr>
          <w:rFonts w:ascii="Times New Roman" w:hAnsi="Times New Roman"/>
          <w:sz w:val="24"/>
        </w:rPr>
      </w:pPr>
      <w:r>
        <w:rPr>
          <w:rFonts w:ascii="Times New Roman" w:hAnsi="Times New Roman"/>
          <w:sz w:val="24"/>
        </w:rPr>
        <w:t xml:space="preserve">Le chapitre 11 a pour objectif principal (au sein d’une procédure que les auteurs Américains qualifie de </w:t>
      </w:r>
      <w:r w:rsidR="00DB4C93">
        <w:rPr>
          <w:rFonts w:ascii="Times New Roman" w:hAnsi="Times New Roman"/>
          <w:sz w:val="24"/>
        </w:rPr>
        <w:t>P</w:t>
      </w:r>
      <w:r w:rsidR="00DB4C93" w:rsidRPr="00F477B4">
        <w:rPr>
          <w:rFonts w:ascii="Times New Roman" w:hAnsi="Times New Roman"/>
          <w:i/>
          <w:sz w:val="24"/>
        </w:rPr>
        <w:t>re-</w:t>
      </w:r>
      <w:r w:rsidR="00DB4C93" w:rsidRPr="00242A1C">
        <w:rPr>
          <w:rFonts w:ascii="Times New Roman" w:hAnsi="Times New Roman"/>
          <w:i/>
          <w:sz w:val="24"/>
        </w:rPr>
        <w:t>Insolvency</w:t>
      </w:r>
      <w:r>
        <w:rPr>
          <w:rFonts w:ascii="Times New Roman" w:hAnsi="Times New Roman"/>
          <w:sz w:val="24"/>
        </w:rPr>
        <w:t xml:space="preserve">) de permettre, en l’encadrant, </w:t>
      </w:r>
      <w:r w:rsidRPr="00F37B83">
        <w:rPr>
          <w:rFonts w:ascii="Times New Roman" w:hAnsi="Times New Roman"/>
          <w:sz w:val="24"/>
          <w:u w:val="single"/>
        </w:rPr>
        <w:t>une négociation</w:t>
      </w:r>
      <w:r>
        <w:rPr>
          <w:rStyle w:val="Appelnotedebasdep"/>
          <w:rFonts w:ascii="Times New Roman" w:hAnsi="Times New Roman"/>
          <w:sz w:val="24"/>
          <w:u w:val="single"/>
        </w:rPr>
        <w:footnoteReference w:id="13"/>
      </w:r>
      <w:r>
        <w:rPr>
          <w:rFonts w:ascii="Times New Roman" w:hAnsi="Times New Roman"/>
          <w:sz w:val="24"/>
        </w:rPr>
        <w:t xml:space="preserve"> </w:t>
      </w:r>
      <w:r>
        <w:rPr>
          <w:rStyle w:val="Appelnotedebasdep"/>
          <w:rFonts w:ascii="Times New Roman" w:hAnsi="Times New Roman"/>
          <w:sz w:val="24"/>
        </w:rPr>
        <w:footnoteReference w:id="14"/>
      </w:r>
      <w:r>
        <w:rPr>
          <w:rFonts w:ascii="Times New Roman" w:hAnsi="Times New Roman"/>
          <w:sz w:val="24"/>
        </w:rPr>
        <w:t>entre les créanciers et les actionnaires et, en particulier, de régler la situation où « </w:t>
      </w:r>
      <w:r w:rsidRPr="00224992">
        <w:rPr>
          <w:rFonts w:ascii="Times New Roman" w:hAnsi="Times New Roman"/>
          <w:i/>
          <w:sz w:val="24"/>
        </w:rPr>
        <w:t>des paiements partiels </w:t>
      </w:r>
      <w:r>
        <w:rPr>
          <w:rFonts w:ascii="Times New Roman" w:hAnsi="Times New Roman"/>
          <w:sz w:val="24"/>
        </w:rPr>
        <w:t>»</w:t>
      </w:r>
      <w:r>
        <w:rPr>
          <w:rStyle w:val="Appelnotedebasdep"/>
          <w:rFonts w:ascii="Times New Roman" w:hAnsi="Times New Roman"/>
          <w:sz w:val="24"/>
        </w:rPr>
        <w:footnoteReference w:id="15"/>
      </w:r>
      <w:r>
        <w:rPr>
          <w:rFonts w:ascii="Times New Roman" w:hAnsi="Times New Roman"/>
          <w:sz w:val="24"/>
        </w:rPr>
        <w:t xml:space="preserve"> doivent pouvoir être faits à des classes de créanciers dits inférieurs (</w:t>
      </w:r>
      <w:r w:rsidRPr="007C17D3">
        <w:rPr>
          <w:rFonts w:ascii="Times New Roman" w:hAnsi="Times New Roman"/>
          <w:i/>
          <w:sz w:val="24"/>
        </w:rPr>
        <w:t>Unsecured</w:t>
      </w:r>
      <w:r>
        <w:rPr>
          <w:rFonts w:ascii="Times New Roman" w:hAnsi="Times New Roman"/>
          <w:sz w:val="24"/>
        </w:rPr>
        <w:t>) par rapport à des classes de créanciers dits supérieurs (</w:t>
      </w:r>
      <w:r w:rsidRPr="007C17D3">
        <w:rPr>
          <w:rFonts w:ascii="Times New Roman" w:hAnsi="Times New Roman"/>
          <w:i/>
          <w:sz w:val="24"/>
        </w:rPr>
        <w:t>Secured</w:t>
      </w:r>
      <w:r>
        <w:rPr>
          <w:rFonts w:ascii="Times New Roman" w:hAnsi="Times New Roman"/>
          <w:sz w:val="24"/>
        </w:rPr>
        <w:t>).</w:t>
      </w:r>
      <w:r w:rsidR="00DB4C93">
        <w:rPr>
          <w:rFonts w:ascii="Times New Roman" w:hAnsi="Times New Roman"/>
          <w:sz w:val="24"/>
        </w:rPr>
        <w:t xml:space="preserve"> </w:t>
      </w:r>
      <w:r>
        <w:rPr>
          <w:rFonts w:ascii="Times New Roman" w:hAnsi="Times New Roman"/>
          <w:sz w:val="24"/>
        </w:rPr>
        <w:t xml:space="preserve">En partant de l’idée que la procédure </w:t>
      </w:r>
      <w:r w:rsidR="00DB4C93" w:rsidRPr="00F477B4">
        <w:rPr>
          <w:rFonts w:ascii="Times New Roman" w:hAnsi="Times New Roman"/>
          <w:i/>
          <w:sz w:val="24"/>
        </w:rPr>
        <w:t>Pre</w:t>
      </w:r>
      <w:r w:rsidR="00DB4C93">
        <w:rPr>
          <w:rFonts w:ascii="Times New Roman" w:hAnsi="Times New Roman"/>
          <w:i/>
          <w:sz w:val="24"/>
        </w:rPr>
        <w:t>-</w:t>
      </w:r>
      <w:r w:rsidR="00DB4C93" w:rsidRPr="00242A1C">
        <w:rPr>
          <w:rFonts w:ascii="Times New Roman" w:hAnsi="Times New Roman"/>
          <w:i/>
          <w:sz w:val="24"/>
        </w:rPr>
        <w:t>Insolvency</w:t>
      </w:r>
      <w:r>
        <w:rPr>
          <w:rFonts w:ascii="Times New Roman" w:hAnsi="Times New Roman"/>
          <w:sz w:val="24"/>
        </w:rPr>
        <w:t xml:space="preserve"> n’est pas une procédure d’</w:t>
      </w:r>
      <w:r w:rsidRPr="00242A1C">
        <w:rPr>
          <w:rFonts w:ascii="Times New Roman" w:hAnsi="Times New Roman"/>
          <w:i/>
          <w:sz w:val="24"/>
        </w:rPr>
        <w:t>Insolvency</w:t>
      </w:r>
      <w:r>
        <w:rPr>
          <w:rFonts w:ascii="Times New Roman" w:hAnsi="Times New Roman"/>
          <w:sz w:val="24"/>
        </w:rPr>
        <w:t>, il fallait</w:t>
      </w:r>
      <w:r w:rsidR="00DB4C93">
        <w:rPr>
          <w:rFonts w:ascii="Times New Roman" w:hAnsi="Times New Roman"/>
          <w:sz w:val="24"/>
        </w:rPr>
        <w:t>,</w:t>
      </w:r>
      <w:r>
        <w:rPr>
          <w:rFonts w:ascii="Times New Roman" w:hAnsi="Times New Roman"/>
          <w:sz w:val="24"/>
        </w:rPr>
        <w:t xml:space="preserve"> </w:t>
      </w:r>
      <w:r w:rsidR="00DB4C93">
        <w:rPr>
          <w:rFonts w:ascii="Times New Roman" w:hAnsi="Times New Roman"/>
          <w:sz w:val="24"/>
        </w:rPr>
        <w:t xml:space="preserve">d’une part </w:t>
      </w:r>
      <w:r>
        <w:rPr>
          <w:rFonts w:ascii="Times New Roman" w:hAnsi="Times New Roman"/>
          <w:sz w:val="24"/>
        </w:rPr>
        <w:t>pour le législateur</w:t>
      </w:r>
      <w:r w:rsidR="00661659">
        <w:rPr>
          <w:rFonts w:ascii="Times New Roman" w:hAnsi="Times New Roman"/>
          <w:sz w:val="24"/>
        </w:rPr>
        <w:t xml:space="preserve"> américain</w:t>
      </w:r>
      <w:r w:rsidR="00DB4C93">
        <w:rPr>
          <w:rFonts w:ascii="Times New Roman" w:hAnsi="Times New Roman"/>
          <w:sz w:val="24"/>
        </w:rPr>
        <w:t>,</w:t>
      </w:r>
      <w:r>
        <w:rPr>
          <w:rFonts w:ascii="Times New Roman" w:hAnsi="Times New Roman"/>
          <w:sz w:val="24"/>
        </w:rPr>
        <w:t xml:space="preserve"> respecter les règles</w:t>
      </w:r>
      <w:r w:rsidRPr="00F477B4">
        <w:rPr>
          <w:rFonts w:ascii="Times New Roman" w:hAnsi="Times New Roman"/>
          <w:sz w:val="24"/>
        </w:rPr>
        <w:t xml:space="preserve"> </w:t>
      </w:r>
      <w:r>
        <w:rPr>
          <w:rFonts w:ascii="Times New Roman" w:hAnsi="Times New Roman"/>
          <w:sz w:val="24"/>
        </w:rPr>
        <w:t>contractuelles de paiement qui auraient été appliquées sans faillite</w:t>
      </w:r>
      <w:r>
        <w:rPr>
          <w:rStyle w:val="Appelnotedebasdep"/>
          <w:rFonts w:ascii="Times New Roman" w:hAnsi="Times New Roman"/>
          <w:sz w:val="24"/>
        </w:rPr>
        <w:footnoteReference w:id="16"/>
      </w:r>
      <w:r>
        <w:rPr>
          <w:rFonts w:ascii="Times New Roman" w:hAnsi="Times New Roman"/>
          <w:sz w:val="24"/>
        </w:rPr>
        <w:t xml:space="preserve"> et qui permettraient aux créanciers sécurisés d’être payés </w:t>
      </w:r>
      <w:r w:rsidR="00DB4C93">
        <w:rPr>
          <w:rFonts w:ascii="Times New Roman" w:hAnsi="Times New Roman"/>
          <w:sz w:val="24"/>
        </w:rPr>
        <w:t>et, d’autre part, respecter en même temps</w:t>
      </w:r>
      <w:r>
        <w:rPr>
          <w:rFonts w:ascii="Times New Roman" w:hAnsi="Times New Roman"/>
          <w:sz w:val="24"/>
        </w:rPr>
        <w:t xml:space="preserve"> les règles qui seraient appliquées en cas de faillite (</w:t>
      </w:r>
      <w:r w:rsidRPr="007C17D3">
        <w:rPr>
          <w:rFonts w:ascii="Times New Roman" w:hAnsi="Times New Roman"/>
          <w:i/>
          <w:sz w:val="24"/>
        </w:rPr>
        <w:t>Chapter 7</w:t>
      </w:r>
      <w:r>
        <w:rPr>
          <w:rFonts w:ascii="Times New Roman" w:hAnsi="Times New Roman"/>
          <w:sz w:val="24"/>
        </w:rPr>
        <w:t>).</w:t>
      </w:r>
    </w:p>
    <w:p w:rsidR="008064D7" w:rsidRDefault="008064D7" w:rsidP="007E6664">
      <w:pPr>
        <w:pStyle w:val="Paragraphedeliste"/>
        <w:spacing w:line="240" w:lineRule="auto"/>
        <w:ind w:left="786"/>
        <w:rPr>
          <w:rFonts w:ascii="Times New Roman" w:hAnsi="Times New Roman"/>
          <w:sz w:val="24"/>
        </w:rPr>
      </w:pPr>
    </w:p>
    <w:p w:rsidR="008064D7" w:rsidRDefault="008064D7" w:rsidP="007E6664">
      <w:pPr>
        <w:pStyle w:val="Paragraphedeliste"/>
        <w:spacing w:line="240" w:lineRule="auto"/>
        <w:ind w:left="786"/>
        <w:rPr>
          <w:rFonts w:ascii="Times New Roman" w:hAnsi="Times New Roman"/>
          <w:sz w:val="24"/>
        </w:rPr>
      </w:pPr>
      <w:r>
        <w:rPr>
          <w:rFonts w:ascii="Times New Roman" w:hAnsi="Times New Roman"/>
          <w:sz w:val="24"/>
        </w:rPr>
        <w:t>Comme l’exposé le montrera, le cœur du système repose sur le vote par des créanciers réunis en classe d’un plan qui répartit un paiement souvent partiel entre différents créanciers en imposant cette répartition (</w:t>
      </w:r>
      <w:r w:rsidRPr="007C17D3">
        <w:rPr>
          <w:rFonts w:ascii="Times New Roman" w:hAnsi="Times New Roman"/>
          <w:i/>
          <w:sz w:val="24"/>
        </w:rPr>
        <w:t>cram-down</w:t>
      </w:r>
      <w:r>
        <w:rPr>
          <w:rFonts w:ascii="Times New Roman" w:hAnsi="Times New Roman"/>
          <w:sz w:val="24"/>
        </w:rPr>
        <w:t>) par le biais du juge</w:t>
      </w:r>
      <w:r w:rsidR="00DB4C93">
        <w:rPr>
          <w:rFonts w:ascii="Times New Roman" w:hAnsi="Times New Roman"/>
          <w:sz w:val="24"/>
        </w:rPr>
        <w:t xml:space="preserve"> à défaut d’accord induit par la peur que cet écrasement judiciaire soit moins profitable. L</w:t>
      </w:r>
      <w:r>
        <w:rPr>
          <w:rFonts w:ascii="Times New Roman" w:hAnsi="Times New Roman"/>
          <w:sz w:val="24"/>
        </w:rPr>
        <w:t>e juge</w:t>
      </w:r>
      <w:r w:rsidR="00DB4C93">
        <w:rPr>
          <w:rFonts w:ascii="Times New Roman" w:hAnsi="Times New Roman"/>
          <w:sz w:val="24"/>
        </w:rPr>
        <w:t>, pour menacer d’imposer ou imposer cet écrasement,</w:t>
      </w:r>
      <w:r>
        <w:rPr>
          <w:rFonts w:ascii="Times New Roman" w:hAnsi="Times New Roman"/>
          <w:sz w:val="24"/>
        </w:rPr>
        <w:t xml:space="preserve"> utilise quatre tests en se basant sur </w:t>
      </w:r>
      <w:r w:rsidRPr="00DB4C93">
        <w:rPr>
          <w:rFonts w:ascii="Times New Roman" w:hAnsi="Times New Roman"/>
          <w:sz w:val="24"/>
          <w:u w:val="single"/>
        </w:rPr>
        <w:t>la valeur de liquidation</w:t>
      </w:r>
      <w:r>
        <w:rPr>
          <w:rFonts w:ascii="Times New Roman" w:hAnsi="Times New Roman"/>
          <w:sz w:val="24"/>
        </w:rPr>
        <w:t xml:space="preserve"> et la </w:t>
      </w:r>
      <w:r w:rsidRPr="00DB4C93">
        <w:rPr>
          <w:rFonts w:ascii="Times New Roman" w:hAnsi="Times New Roman"/>
          <w:sz w:val="24"/>
          <w:u w:val="single"/>
        </w:rPr>
        <w:t xml:space="preserve">valeur </w:t>
      </w:r>
      <w:r w:rsidRPr="00DB4C93">
        <w:rPr>
          <w:rFonts w:ascii="Times New Roman" w:hAnsi="Times New Roman"/>
          <w:i/>
          <w:sz w:val="24"/>
          <w:u w:val="single"/>
        </w:rPr>
        <w:t>going-concern</w:t>
      </w:r>
      <w:r>
        <w:rPr>
          <w:rFonts w:ascii="Times New Roman" w:hAnsi="Times New Roman"/>
          <w:sz w:val="24"/>
        </w:rPr>
        <w:t>.</w:t>
      </w:r>
    </w:p>
    <w:p w:rsidR="008064D7" w:rsidRDefault="008064D7" w:rsidP="000A3F37">
      <w:pPr>
        <w:pStyle w:val="Paragraphedeliste"/>
        <w:spacing w:line="240" w:lineRule="auto"/>
        <w:ind w:left="786"/>
        <w:rPr>
          <w:rFonts w:ascii="Times New Roman" w:hAnsi="Times New Roman"/>
          <w:sz w:val="24"/>
        </w:rPr>
      </w:pPr>
    </w:p>
    <w:p w:rsidR="008064D7" w:rsidRPr="00DD2241" w:rsidRDefault="00661659" w:rsidP="000A3F37">
      <w:pPr>
        <w:pStyle w:val="Paragraphedeliste"/>
        <w:spacing w:line="240" w:lineRule="auto"/>
        <w:ind w:left="786"/>
        <w:rPr>
          <w:rFonts w:ascii="Times New Roman" w:hAnsi="Times New Roman"/>
          <w:sz w:val="24"/>
        </w:rPr>
      </w:pPr>
      <w:r>
        <w:rPr>
          <w:rFonts w:ascii="Times New Roman" w:hAnsi="Times New Roman"/>
          <w:sz w:val="24"/>
        </w:rPr>
        <w:t>Cette évaluation est faite sur base de celle proposée par</w:t>
      </w:r>
      <w:r w:rsidR="008064D7">
        <w:rPr>
          <w:rFonts w:ascii="Times New Roman" w:hAnsi="Times New Roman"/>
          <w:sz w:val="24"/>
        </w:rPr>
        <w:t xml:space="preserve"> le débiteur au moment du dépôt de sa demande</w:t>
      </w:r>
      <w:r>
        <w:rPr>
          <w:rFonts w:ascii="Times New Roman" w:hAnsi="Times New Roman"/>
          <w:sz w:val="24"/>
        </w:rPr>
        <w:t xml:space="preserve"> puisque c’est lui qui</w:t>
      </w:r>
      <w:r w:rsidR="008064D7">
        <w:rPr>
          <w:rFonts w:ascii="Times New Roman" w:hAnsi="Times New Roman"/>
          <w:sz w:val="24"/>
        </w:rPr>
        <w:t xml:space="preserve"> é</w:t>
      </w:r>
      <w:r w:rsidR="008064D7" w:rsidRPr="007C17D3">
        <w:rPr>
          <w:rFonts w:ascii="Times New Roman" w:hAnsi="Times New Roman"/>
          <w:i/>
          <w:sz w:val="24"/>
        </w:rPr>
        <w:t>value</w:t>
      </w:r>
      <w:r w:rsidR="008064D7">
        <w:rPr>
          <w:rFonts w:ascii="Times New Roman" w:hAnsi="Times New Roman"/>
          <w:sz w:val="24"/>
        </w:rPr>
        <w:t xml:space="preserve"> la valeur de l’entreprise</w:t>
      </w:r>
      <w:r w:rsidR="008064D7">
        <w:rPr>
          <w:rStyle w:val="Appelnotedebasdep"/>
          <w:rFonts w:ascii="Times New Roman" w:hAnsi="Times New Roman"/>
          <w:sz w:val="24"/>
        </w:rPr>
        <w:footnoteReference w:id="17"/>
      </w:r>
      <w:r w:rsidR="008064D7">
        <w:rPr>
          <w:rFonts w:ascii="Times New Roman" w:hAnsi="Times New Roman"/>
          <w:sz w:val="24"/>
        </w:rPr>
        <w:t>. S’installe alors une discussion-négociation entre créanciers et débiteur. Le débiteur contrôle le plan durant une 1</w:t>
      </w:r>
      <w:r w:rsidR="008064D7" w:rsidRPr="006B5F44">
        <w:rPr>
          <w:rFonts w:ascii="Times New Roman" w:hAnsi="Times New Roman"/>
          <w:sz w:val="24"/>
          <w:vertAlign w:val="superscript"/>
        </w:rPr>
        <w:t>ère</w:t>
      </w:r>
      <w:r w:rsidR="008064D7">
        <w:rPr>
          <w:rFonts w:ascii="Times New Roman" w:hAnsi="Times New Roman"/>
          <w:sz w:val="24"/>
        </w:rPr>
        <w:t xml:space="preserve"> phase de la procédure, les créanciers pouvant proposer un plan si le 1</w:t>
      </w:r>
      <w:r w:rsidR="008064D7" w:rsidRPr="006B5F44">
        <w:rPr>
          <w:rFonts w:ascii="Times New Roman" w:hAnsi="Times New Roman"/>
          <w:sz w:val="24"/>
          <w:vertAlign w:val="superscript"/>
        </w:rPr>
        <w:t>er</w:t>
      </w:r>
      <w:r w:rsidR="008064D7">
        <w:rPr>
          <w:rFonts w:ascii="Times New Roman" w:hAnsi="Times New Roman"/>
          <w:sz w:val="24"/>
        </w:rPr>
        <w:t xml:space="preserve"> plan n’est pas proposé dans le délai </w:t>
      </w:r>
      <w:r>
        <w:rPr>
          <w:rFonts w:ascii="Times New Roman" w:hAnsi="Times New Roman"/>
          <w:sz w:val="24"/>
        </w:rPr>
        <w:t xml:space="preserve">fixé </w:t>
      </w:r>
      <w:r w:rsidR="008064D7">
        <w:rPr>
          <w:rFonts w:ascii="Times New Roman" w:hAnsi="Times New Roman"/>
          <w:sz w:val="24"/>
        </w:rPr>
        <w:t>ou accepté (</w:t>
      </w:r>
      <w:r>
        <w:rPr>
          <w:rFonts w:ascii="Times New Roman" w:hAnsi="Times New Roman"/>
          <w:sz w:val="24"/>
        </w:rPr>
        <w:t>ce plan</w:t>
      </w:r>
      <w:r w:rsidR="008064D7">
        <w:rPr>
          <w:rFonts w:ascii="Times New Roman" w:hAnsi="Times New Roman"/>
          <w:sz w:val="24"/>
        </w:rPr>
        <w:t xml:space="preserve"> sera</w:t>
      </w:r>
      <w:r>
        <w:rPr>
          <w:rFonts w:ascii="Times New Roman" w:hAnsi="Times New Roman"/>
          <w:sz w:val="24"/>
        </w:rPr>
        <w:t>it</w:t>
      </w:r>
      <w:r w:rsidR="008064D7">
        <w:rPr>
          <w:rFonts w:ascii="Times New Roman" w:hAnsi="Times New Roman"/>
          <w:sz w:val="24"/>
        </w:rPr>
        <w:t xml:space="preserve"> moins favorable). Les cr</w:t>
      </w:r>
      <w:r>
        <w:rPr>
          <w:rFonts w:ascii="Times New Roman" w:hAnsi="Times New Roman"/>
          <w:sz w:val="24"/>
        </w:rPr>
        <w:t>éanciers peuvent tenter de voter</w:t>
      </w:r>
      <w:r w:rsidR="008064D7">
        <w:rPr>
          <w:rFonts w:ascii="Times New Roman" w:hAnsi="Times New Roman"/>
          <w:sz w:val="24"/>
        </w:rPr>
        <w:t xml:space="preserve"> contre </w:t>
      </w:r>
      <w:r>
        <w:rPr>
          <w:rFonts w:ascii="Times New Roman" w:hAnsi="Times New Roman"/>
          <w:sz w:val="24"/>
        </w:rPr>
        <w:t xml:space="preserve">le plan, mais cela provoquerait la liquidation, </w:t>
      </w:r>
      <w:r w:rsidR="008064D7">
        <w:rPr>
          <w:rFonts w:ascii="Times New Roman" w:hAnsi="Times New Roman"/>
          <w:sz w:val="24"/>
        </w:rPr>
        <w:t>ou</w:t>
      </w:r>
      <w:r>
        <w:rPr>
          <w:rFonts w:ascii="Times New Roman" w:hAnsi="Times New Roman"/>
          <w:sz w:val="24"/>
        </w:rPr>
        <w:t xml:space="preserve"> tenter</w:t>
      </w:r>
      <w:r w:rsidR="008064D7">
        <w:rPr>
          <w:rFonts w:ascii="Times New Roman" w:hAnsi="Times New Roman"/>
          <w:sz w:val="24"/>
        </w:rPr>
        <w:t xml:space="preserve"> de réunir des votes d’autres créanciers. Ils peuvent proposer d’autres valeurs et une </w:t>
      </w:r>
      <w:r>
        <w:rPr>
          <w:rFonts w:ascii="Times New Roman" w:hAnsi="Times New Roman"/>
          <w:sz w:val="24"/>
        </w:rPr>
        <w:t>autre répartition</w:t>
      </w:r>
      <w:r w:rsidR="008064D7">
        <w:rPr>
          <w:rFonts w:ascii="Times New Roman" w:hAnsi="Times New Roman"/>
          <w:sz w:val="24"/>
        </w:rPr>
        <w:t xml:space="preserve">. Les créanciers peuvent demander </w:t>
      </w:r>
      <w:r w:rsidR="00DD2241">
        <w:rPr>
          <w:rFonts w:ascii="Times New Roman" w:hAnsi="Times New Roman"/>
          <w:sz w:val="24"/>
        </w:rPr>
        <w:t xml:space="preserve">des audiences et </w:t>
      </w:r>
      <w:r w:rsidR="008064D7">
        <w:rPr>
          <w:rFonts w:ascii="Times New Roman" w:hAnsi="Times New Roman"/>
          <w:sz w:val="24"/>
        </w:rPr>
        <w:t xml:space="preserve">un </w:t>
      </w:r>
      <w:r w:rsidR="008064D7" w:rsidRPr="007C17D3">
        <w:rPr>
          <w:rFonts w:ascii="Times New Roman" w:hAnsi="Times New Roman"/>
          <w:i/>
          <w:sz w:val="24"/>
        </w:rPr>
        <w:t>hearing</w:t>
      </w:r>
      <w:r w:rsidR="008064D7">
        <w:rPr>
          <w:rFonts w:ascii="Times New Roman" w:hAnsi="Times New Roman"/>
          <w:sz w:val="24"/>
        </w:rPr>
        <w:t xml:space="preserve"> pour fixer une valeur « </w:t>
      </w:r>
      <w:r w:rsidR="008064D7" w:rsidRPr="007C17D3">
        <w:rPr>
          <w:rFonts w:ascii="Times New Roman" w:hAnsi="Times New Roman"/>
          <w:i/>
          <w:sz w:val="24"/>
        </w:rPr>
        <w:t>Fair</w:t>
      </w:r>
      <w:r w:rsidR="008064D7">
        <w:rPr>
          <w:rFonts w:ascii="Times New Roman" w:hAnsi="Times New Roman"/>
          <w:i/>
          <w:sz w:val="24"/>
        </w:rPr>
        <w:t xml:space="preserve"> and equal »</w:t>
      </w:r>
      <w:r w:rsidR="008064D7">
        <w:rPr>
          <w:rStyle w:val="Appelnotedebasdep"/>
          <w:rFonts w:ascii="Times New Roman" w:hAnsi="Times New Roman"/>
          <w:i/>
          <w:sz w:val="24"/>
        </w:rPr>
        <w:footnoteReference w:id="18"/>
      </w:r>
      <w:r w:rsidR="00DD2241">
        <w:rPr>
          <w:rFonts w:ascii="Times New Roman" w:hAnsi="Times New Roman"/>
          <w:sz w:val="24"/>
        </w:rPr>
        <w:t>.</w:t>
      </w:r>
    </w:p>
    <w:p w:rsidR="008064D7" w:rsidRDefault="008064D7" w:rsidP="000A3F37">
      <w:pPr>
        <w:pStyle w:val="Paragraphedeliste"/>
        <w:spacing w:line="240" w:lineRule="auto"/>
        <w:ind w:left="786"/>
        <w:rPr>
          <w:rFonts w:ascii="Times New Roman" w:hAnsi="Times New Roman"/>
          <w:sz w:val="24"/>
        </w:rPr>
      </w:pPr>
    </w:p>
    <w:p w:rsidR="008064D7" w:rsidRPr="006B5F44" w:rsidRDefault="00DD2241" w:rsidP="000A3F37">
      <w:pPr>
        <w:pStyle w:val="Paragraphedeliste"/>
        <w:spacing w:line="240" w:lineRule="auto"/>
        <w:ind w:left="786"/>
        <w:rPr>
          <w:rFonts w:ascii="Times New Roman" w:hAnsi="Times New Roman"/>
          <w:sz w:val="24"/>
        </w:rPr>
      </w:pPr>
      <w:r>
        <w:rPr>
          <w:rFonts w:ascii="Times New Roman" w:hAnsi="Times New Roman"/>
          <w:sz w:val="24"/>
        </w:rPr>
        <w:t>La méthode est efficace. Un auteur</w:t>
      </w:r>
      <w:r w:rsidR="008064D7">
        <w:rPr>
          <w:rStyle w:val="Appelnotedebasdep"/>
          <w:rFonts w:ascii="Times New Roman" w:hAnsi="Times New Roman"/>
          <w:sz w:val="24"/>
        </w:rPr>
        <w:footnoteReference w:id="19"/>
      </w:r>
      <w:r w:rsidR="008064D7">
        <w:rPr>
          <w:rFonts w:ascii="Times New Roman" w:hAnsi="Times New Roman"/>
          <w:sz w:val="24"/>
        </w:rPr>
        <w:t xml:space="preserve"> a </w:t>
      </w:r>
      <w:r>
        <w:rPr>
          <w:rFonts w:ascii="Times New Roman" w:hAnsi="Times New Roman"/>
          <w:sz w:val="24"/>
        </w:rPr>
        <w:t>étudié</w:t>
      </w:r>
      <w:r w:rsidR="008064D7">
        <w:rPr>
          <w:rFonts w:ascii="Times New Roman" w:hAnsi="Times New Roman"/>
          <w:sz w:val="24"/>
        </w:rPr>
        <w:t xml:space="preserve">  1342 </w:t>
      </w:r>
      <w:r w:rsidR="008064D7" w:rsidRPr="007C17D3">
        <w:rPr>
          <w:rFonts w:ascii="Times New Roman" w:hAnsi="Times New Roman"/>
          <w:i/>
          <w:sz w:val="24"/>
        </w:rPr>
        <w:t>Chapter 11</w:t>
      </w:r>
      <w:r w:rsidR="008064D7">
        <w:rPr>
          <w:rFonts w:ascii="Times New Roman" w:hAnsi="Times New Roman"/>
          <w:sz w:val="24"/>
        </w:rPr>
        <w:t xml:space="preserve"> entre 1979 et 1993. L’approche statistique montre qu’en général, la valeur estimée au départ par le débiteur est rarement exacte : la valeur estimée in fine </w:t>
      </w:r>
      <w:r>
        <w:rPr>
          <w:rFonts w:ascii="Times New Roman" w:hAnsi="Times New Roman"/>
          <w:sz w:val="24"/>
        </w:rPr>
        <w:t>soit inférieure</w:t>
      </w:r>
      <w:r w:rsidR="008064D7">
        <w:rPr>
          <w:rFonts w:ascii="Times New Roman" w:hAnsi="Times New Roman"/>
          <w:sz w:val="24"/>
        </w:rPr>
        <w:t xml:space="preserve"> </w:t>
      </w:r>
      <w:r>
        <w:rPr>
          <w:rFonts w:ascii="Times New Roman" w:hAnsi="Times New Roman"/>
          <w:sz w:val="24"/>
        </w:rPr>
        <w:t>(</w:t>
      </w:r>
      <w:r w:rsidR="008064D7">
        <w:rPr>
          <w:rFonts w:ascii="Times New Roman" w:hAnsi="Times New Roman"/>
          <w:sz w:val="24"/>
        </w:rPr>
        <w:t>20%</w:t>
      </w:r>
      <w:r>
        <w:rPr>
          <w:rFonts w:ascii="Times New Roman" w:hAnsi="Times New Roman"/>
          <w:sz w:val="24"/>
        </w:rPr>
        <w:t>), soit supérieure (2</w:t>
      </w:r>
      <w:r w:rsidR="008064D7">
        <w:rPr>
          <w:rFonts w:ascii="Times New Roman" w:hAnsi="Times New Roman"/>
          <w:sz w:val="24"/>
        </w:rPr>
        <w:t>50%</w:t>
      </w:r>
      <w:r>
        <w:rPr>
          <w:rFonts w:ascii="Times New Roman" w:hAnsi="Times New Roman"/>
          <w:sz w:val="24"/>
        </w:rPr>
        <w:t>)</w:t>
      </w:r>
      <w:r w:rsidR="008064D7">
        <w:rPr>
          <w:rFonts w:ascii="Times New Roman" w:hAnsi="Times New Roman"/>
          <w:sz w:val="24"/>
        </w:rPr>
        <w:t>.</w:t>
      </w:r>
      <w:r>
        <w:rPr>
          <w:rFonts w:ascii="Times New Roman" w:hAnsi="Times New Roman"/>
          <w:sz w:val="24"/>
        </w:rPr>
        <w:t xml:space="preserve"> Cette différence est évidemment due aux différences entre les hypothèses retenues pour fixer la valeur future du débiteur.</w:t>
      </w:r>
      <w:r w:rsidR="008064D7">
        <w:rPr>
          <w:rFonts w:ascii="Times New Roman" w:hAnsi="Times New Roman"/>
          <w:sz w:val="24"/>
        </w:rPr>
        <w:t xml:space="preserve"> L’écart peut être </w:t>
      </w:r>
      <w:r>
        <w:rPr>
          <w:rFonts w:ascii="Times New Roman" w:hAnsi="Times New Roman"/>
          <w:sz w:val="24"/>
        </w:rPr>
        <w:t>gigantesque :</w:t>
      </w:r>
      <w:r w:rsidR="008064D7">
        <w:rPr>
          <w:rFonts w:ascii="Times New Roman" w:hAnsi="Times New Roman"/>
          <w:sz w:val="24"/>
        </w:rPr>
        <w:t xml:space="preserve"> dans </w:t>
      </w:r>
      <w:r w:rsidR="008064D7">
        <w:rPr>
          <w:rFonts w:ascii="Times New Roman" w:hAnsi="Times New Roman"/>
          <w:sz w:val="24"/>
        </w:rPr>
        <w:lastRenderedPageBreak/>
        <w:t>National Gypson</w:t>
      </w:r>
      <w:r>
        <w:rPr>
          <w:rFonts w:ascii="Times New Roman" w:hAnsi="Times New Roman"/>
          <w:sz w:val="24"/>
        </w:rPr>
        <w:t xml:space="preserve"> – souvent cité à titre d’exemple</w:t>
      </w:r>
      <w:r w:rsidR="008064D7">
        <w:rPr>
          <w:rFonts w:ascii="Times New Roman" w:hAnsi="Times New Roman"/>
          <w:sz w:val="24"/>
        </w:rPr>
        <w:t>, le management a</w:t>
      </w:r>
      <w:r>
        <w:rPr>
          <w:rFonts w:ascii="Times New Roman" w:hAnsi="Times New Roman"/>
          <w:sz w:val="24"/>
        </w:rPr>
        <w:t>vait</w:t>
      </w:r>
      <w:r w:rsidR="008064D7">
        <w:rPr>
          <w:rFonts w:ascii="Times New Roman" w:hAnsi="Times New Roman"/>
          <w:sz w:val="24"/>
        </w:rPr>
        <w:t xml:space="preserve"> évalué l’entreprise à 182 millions, les créanciers juniors à 1 milliard. </w:t>
      </w:r>
    </w:p>
    <w:p w:rsidR="008064D7" w:rsidRDefault="008064D7" w:rsidP="000A3F37">
      <w:pPr>
        <w:pStyle w:val="Paragraphedeliste"/>
        <w:spacing w:line="240" w:lineRule="auto"/>
        <w:ind w:left="786"/>
        <w:rPr>
          <w:rFonts w:ascii="Times New Roman" w:hAnsi="Times New Roman"/>
          <w:sz w:val="24"/>
        </w:rPr>
      </w:pPr>
    </w:p>
    <w:p w:rsidR="008064D7" w:rsidRPr="001C1448" w:rsidRDefault="008064D7" w:rsidP="000A3F37">
      <w:pPr>
        <w:pStyle w:val="Paragraphedeliste"/>
        <w:spacing w:line="240" w:lineRule="auto"/>
        <w:ind w:left="786"/>
        <w:rPr>
          <w:rFonts w:ascii="Times New Roman" w:hAnsi="Times New Roman"/>
          <w:sz w:val="24"/>
        </w:rPr>
      </w:pPr>
      <w:r>
        <w:rPr>
          <w:rFonts w:ascii="Times New Roman" w:hAnsi="Times New Roman"/>
          <w:sz w:val="24"/>
        </w:rPr>
        <w:t xml:space="preserve">Mais à l’évidence, la valeur et </w:t>
      </w:r>
      <w:r w:rsidRPr="00F82082">
        <w:rPr>
          <w:rFonts w:ascii="Times New Roman" w:hAnsi="Times New Roman"/>
          <w:i/>
          <w:sz w:val="24"/>
        </w:rPr>
        <w:t>a fortiori</w:t>
      </w:r>
      <w:r>
        <w:rPr>
          <w:rFonts w:ascii="Times New Roman" w:hAnsi="Times New Roman"/>
          <w:sz w:val="24"/>
        </w:rPr>
        <w:t xml:space="preserve"> la valeur fixée par un juge n’est pas une science exacte mais plus une </w:t>
      </w:r>
      <w:r w:rsidR="00DD2241">
        <w:rPr>
          <w:rFonts w:ascii="Times New Roman" w:hAnsi="Times New Roman"/>
          <w:sz w:val="24"/>
        </w:rPr>
        <w:t>« </w:t>
      </w:r>
      <w:r w:rsidRPr="00DD2241">
        <w:rPr>
          <w:rFonts w:ascii="Times New Roman" w:hAnsi="Times New Roman"/>
          <w:i/>
          <w:sz w:val="24"/>
        </w:rPr>
        <w:t>estimation</w:t>
      </w:r>
      <w:r w:rsidR="00DD2241">
        <w:rPr>
          <w:rFonts w:ascii="Times New Roman" w:hAnsi="Times New Roman"/>
          <w:i/>
          <w:sz w:val="24"/>
        </w:rPr>
        <w:t> »</w:t>
      </w:r>
      <w:r>
        <w:rPr>
          <w:rFonts w:ascii="Times New Roman" w:hAnsi="Times New Roman"/>
          <w:sz w:val="24"/>
        </w:rPr>
        <w:t xml:space="preserve">, voire </w:t>
      </w:r>
      <w:r w:rsidR="00DD2241">
        <w:rPr>
          <w:rFonts w:ascii="Times New Roman" w:hAnsi="Times New Roman"/>
          <w:sz w:val="24"/>
        </w:rPr>
        <w:t>« </w:t>
      </w:r>
      <w:r w:rsidRPr="00DD2241">
        <w:rPr>
          <w:rFonts w:ascii="Times New Roman" w:hAnsi="Times New Roman"/>
          <w:i/>
          <w:sz w:val="24"/>
        </w:rPr>
        <w:t>un art</w:t>
      </w:r>
      <w:r w:rsidR="00DD2241">
        <w:rPr>
          <w:rFonts w:ascii="Times New Roman" w:hAnsi="Times New Roman"/>
          <w:sz w:val="24"/>
        </w:rPr>
        <w:t> »</w:t>
      </w:r>
      <w:r>
        <w:rPr>
          <w:rFonts w:ascii="Times New Roman" w:hAnsi="Times New Roman"/>
          <w:sz w:val="24"/>
        </w:rPr>
        <w:t xml:space="preserve">, de telle sorte que la gestion du processus qui aboutira à cette valeur devrait être - pour minimiser les risques pour </w:t>
      </w:r>
      <w:r w:rsidR="00DD2241">
        <w:rPr>
          <w:rFonts w:ascii="Times New Roman" w:hAnsi="Times New Roman"/>
          <w:sz w:val="24"/>
        </w:rPr>
        <w:t>chaque détenteurs d’intérêt - la</w:t>
      </w:r>
      <w:r>
        <w:rPr>
          <w:rFonts w:ascii="Times New Roman" w:hAnsi="Times New Roman"/>
          <w:sz w:val="24"/>
        </w:rPr>
        <w:t xml:space="preserve"> plus consensuel</w:t>
      </w:r>
      <w:r w:rsidR="00DD2241">
        <w:rPr>
          <w:rFonts w:ascii="Times New Roman" w:hAnsi="Times New Roman"/>
          <w:sz w:val="24"/>
        </w:rPr>
        <w:t>le</w:t>
      </w:r>
      <w:r>
        <w:rPr>
          <w:rFonts w:ascii="Times New Roman" w:hAnsi="Times New Roman"/>
          <w:sz w:val="24"/>
        </w:rPr>
        <w:t xml:space="preserve"> possible </w:t>
      </w:r>
      <w:r w:rsidR="00DD2241">
        <w:rPr>
          <w:rFonts w:ascii="Times New Roman" w:hAnsi="Times New Roman"/>
          <w:sz w:val="24"/>
        </w:rPr>
        <w:t>afin d’éviter aux parties d</w:t>
      </w:r>
      <w:r>
        <w:rPr>
          <w:rFonts w:ascii="Times New Roman" w:hAnsi="Times New Roman"/>
          <w:sz w:val="24"/>
        </w:rPr>
        <w:t>es surprises qui, comme nous le verrons, pe</w:t>
      </w:r>
      <w:r w:rsidR="00DD2241">
        <w:rPr>
          <w:rFonts w:ascii="Times New Roman" w:hAnsi="Times New Roman"/>
          <w:sz w:val="24"/>
        </w:rPr>
        <w:t>ut avoir de graves conséquences.</w:t>
      </w:r>
    </w:p>
    <w:p w:rsidR="008064D7" w:rsidRDefault="008064D7" w:rsidP="007E6664">
      <w:pPr>
        <w:pStyle w:val="Paragraphedeliste"/>
        <w:spacing w:line="240" w:lineRule="auto"/>
        <w:ind w:left="786"/>
        <w:rPr>
          <w:rFonts w:ascii="Times New Roman" w:hAnsi="Times New Roman"/>
          <w:sz w:val="24"/>
        </w:rPr>
      </w:pPr>
    </w:p>
    <w:p w:rsidR="008064D7" w:rsidRDefault="008064D7" w:rsidP="00A30070">
      <w:pPr>
        <w:pStyle w:val="Paragraphedeliste"/>
        <w:spacing w:line="240" w:lineRule="auto"/>
        <w:ind w:left="786"/>
        <w:rPr>
          <w:rFonts w:ascii="Times New Roman" w:hAnsi="Times New Roman"/>
          <w:sz w:val="24"/>
        </w:rPr>
      </w:pPr>
      <w:r>
        <w:rPr>
          <w:rFonts w:ascii="Times New Roman" w:hAnsi="Times New Roman"/>
          <w:sz w:val="24"/>
        </w:rPr>
        <w:t>C’est à travers la négociation sur la valeur que s’</w:t>
      </w:r>
      <w:r w:rsidR="00DD2241">
        <w:rPr>
          <w:rFonts w:ascii="Times New Roman" w:hAnsi="Times New Roman"/>
          <w:sz w:val="24"/>
        </w:rPr>
        <w:t>opère</w:t>
      </w:r>
      <w:r>
        <w:rPr>
          <w:rFonts w:ascii="Times New Roman" w:hAnsi="Times New Roman"/>
          <w:sz w:val="24"/>
        </w:rPr>
        <w:t xml:space="preserve"> le traitement des créanciers</w:t>
      </w:r>
      <w:r w:rsidR="00DD2241">
        <w:rPr>
          <w:rFonts w:ascii="Times New Roman" w:hAnsi="Times New Roman"/>
          <w:sz w:val="24"/>
        </w:rPr>
        <w:t> :</w:t>
      </w:r>
      <w:r>
        <w:rPr>
          <w:rFonts w:ascii="Times New Roman" w:hAnsi="Times New Roman"/>
          <w:sz w:val="24"/>
        </w:rPr>
        <w:t xml:space="preserve"> </w:t>
      </w:r>
      <w:r w:rsidR="00DD2241">
        <w:rPr>
          <w:rFonts w:ascii="Times New Roman" w:hAnsi="Times New Roman"/>
          <w:sz w:val="24"/>
        </w:rPr>
        <w:t>l</w:t>
      </w:r>
      <w:r>
        <w:rPr>
          <w:rFonts w:ascii="Times New Roman" w:hAnsi="Times New Roman"/>
          <w:sz w:val="24"/>
        </w:rPr>
        <w:t>e b</w:t>
      </w:r>
      <w:r w:rsidRPr="00A30070">
        <w:rPr>
          <w:rFonts w:ascii="Times New Roman" w:hAnsi="Times New Roman"/>
          <w:sz w:val="24"/>
        </w:rPr>
        <w:t xml:space="preserve">ut </w:t>
      </w:r>
      <w:r>
        <w:rPr>
          <w:rFonts w:ascii="Times New Roman" w:hAnsi="Times New Roman"/>
          <w:sz w:val="24"/>
        </w:rPr>
        <w:t xml:space="preserve">est clairement </w:t>
      </w:r>
      <w:r w:rsidRPr="00A30070">
        <w:rPr>
          <w:rFonts w:ascii="Times New Roman" w:hAnsi="Times New Roman"/>
          <w:sz w:val="24"/>
        </w:rPr>
        <w:t>de permettre aux créanciers de s’entendre sur un plan négocié</w:t>
      </w:r>
      <w:r>
        <w:rPr>
          <w:rStyle w:val="Appelnotedebasdep"/>
          <w:rFonts w:ascii="Times New Roman" w:hAnsi="Times New Roman"/>
          <w:sz w:val="24"/>
        </w:rPr>
        <w:footnoteReference w:id="20"/>
      </w:r>
      <w:r w:rsidR="00DD2241">
        <w:rPr>
          <w:rFonts w:ascii="Times New Roman" w:hAnsi="Times New Roman"/>
          <w:sz w:val="24"/>
        </w:rPr>
        <w:t xml:space="preserve">. </w:t>
      </w:r>
      <w:r w:rsidRPr="00A30070">
        <w:rPr>
          <w:rFonts w:ascii="Times New Roman" w:hAnsi="Times New Roman"/>
          <w:sz w:val="24"/>
        </w:rPr>
        <w:t>C’est pour arriver à « </w:t>
      </w:r>
      <w:r w:rsidRPr="00A30070">
        <w:rPr>
          <w:rFonts w:ascii="Times New Roman" w:hAnsi="Times New Roman"/>
          <w:i/>
          <w:sz w:val="24"/>
        </w:rPr>
        <w:t>forcer des accords</w:t>
      </w:r>
      <w:r w:rsidRPr="00A30070">
        <w:rPr>
          <w:rFonts w:ascii="Times New Roman" w:hAnsi="Times New Roman"/>
          <w:sz w:val="24"/>
        </w:rPr>
        <w:t xml:space="preserve"> » que la loi décrit une règle de priorité </w:t>
      </w:r>
      <w:r w:rsidRPr="00A30070">
        <w:rPr>
          <w:rFonts w:ascii="Times New Roman" w:hAnsi="Times New Roman"/>
          <w:sz w:val="24"/>
          <w:u w:val="single"/>
        </w:rPr>
        <w:t>absolue</w:t>
      </w:r>
      <w:r w:rsidRPr="00A30070">
        <w:rPr>
          <w:rFonts w:ascii="Times New Roman" w:hAnsi="Times New Roman"/>
          <w:sz w:val="24"/>
        </w:rPr>
        <w:t xml:space="preserve"> qui sera applicable si les parties ne s’entendent pas et donc si le juge doit valider le plan et le rendre opposable à des créanciers récalcitrants</w:t>
      </w:r>
      <w:r>
        <w:rPr>
          <w:rStyle w:val="Appelnotedebasdep"/>
          <w:rFonts w:ascii="Times New Roman" w:hAnsi="Times New Roman"/>
          <w:sz w:val="24"/>
        </w:rPr>
        <w:footnoteReference w:id="21"/>
      </w:r>
      <w:r w:rsidRPr="00A30070">
        <w:rPr>
          <w:rFonts w:ascii="Times New Roman" w:hAnsi="Times New Roman"/>
          <w:sz w:val="24"/>
        </w:rPr>
        <w:t xml:space="preserve">. </w:t>
      </w:r>
    </w:p>
    <w:p w:rsidR="008064D7" w:rsidRDefault="008064D7" w:rsidP="00A30070">
      <w:pPr>
        <w:pStyle w:val="Paragraphedeliste"/>
        <w:spacing w:line="240" w:lineRule="auto"/>
        <w:ind w:left="786"/>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sidRPr="006F2019">
        <w:rPr>
          <w:rFonts w:ascii="Times New Roman" w:hAnsi="Times New Roman"/>
          <w:sz w:val="24"/>
          <w:u w:val="single"/>
        </w:rPr>
        <w:t>C’est un système efficace</w:t>
      </w:r>
      <w:r w:rsidRPr="006F2019">
        <w:rPr>
          <w:rStyle w:val="Appelnotedebasdep"/>
          <w:rFonts w:ascii="Times New Roman" w:hAnsi="Times New Roman"/>
          <w:sz w:val="24"/>
        </w:rPr>
        <w:footnoteReference w:id="22"/>
      </w:r>
      <w:r w:rsidR="00DD2241">
        <w:rPr>
          <w:rFonts w:ascii="Times New Roman" w:hAnsi="Times New Roman"/>
          <w:sz w:val="24"/>
        </w:rPr>
        <w:t>.</w:t>
      </w:r>
    </w:p>
    <w:p w:rsidR="008064D7" w:rsidRDefault="008064D7" w:rsidP="00601DBE">
      <w:pPr>
        <w:pStyle w:val="Paragraphedeliste"/>
        <w:spacing w:line="240" w:lineRule="auto"/>
        <w:ind w:left="786"/>
        <w:rPr>
          <w:rFonts w:ascii="Times New Roman" w:hAnsi="Times New Roman"/>
          <w:sz w:val="24"/>
          <w:u w:val="single"/>
        </w:rPr>
      </w:pPr>
    </w:p>
    <w:p w:rsidR="008064D7" w:rsidRPr="0048428B" w:rsidRDefault="008064D7" w:rsidP="0048428B">
      <w:pPr>
        <w:pStyle w:val="Paragraphedeliste"/>
        <w:spacing w:line="240" w:lineRule="auto"/>
        <w:ind w:left="786"/>
        <w:rPr>
          <w:rFonts w:ascii="Times New Roman" w:hAnsi="Times New Roman"/>
          <w:sz w:val="24"/>
        </w:rPr>
      </w:pPr>
      <w:r>
        <w:rPr>
          <w:rFonts w:ascii="Times New Roman" w:hAnsi="Times New Roman"/>
          <w:sz w:val="24"/>
        </w:rPr>
        <w:t xml:space="preserve">Aux Etats-Unis, dans une </w:t>
      </w:r>
      <w:r w:rsidR="00DD2241">
        <w:rPr>
          <w:rFonts w:ascii="Times New Roman" w:hAnsi="Times New Roman"/>
          <w:sz w:val="24"/>
        </w:rPr>
        <w:t xml:space="preserve">autre </w:t>
      </w:r>
      <w:r>
        <w:rPr>
          <w:rFonts w:ascii="Times New Roman" w:hAnsi="Times New Roman"/>
          <w:sz w:val="24"/>
        </w:rPr>
        <w:t>étude intéressante</w:t>
      </w:r>
      <w:r>
        <w:rPr>
          <w:rStyle w:val="Appelnotedebasdep"/>
          <w:rFonts w:ascii="Times New Roman" w:hAnsi="Times New Roman"/>
          <w:sz w:val="24"/>
        </w:rPr>
        <w:footnoteReference w:id="23"/>
      </w:r>
      <w:r>
        <w:rPr>
          <w:rFonts w:ascii="Times New Roman" w:hAnsi="Times New Roman"/>
          <w:sz w:val="24"/>
        </w:rPr>
        <w:t xml:space="preserve">, les auteurs ont </w:t>
      </w:r>
      <w:r w:rsidR="00DD2241">
        <w:rPr>
          <w:rFonts w:ascii="Times New Roman" w:hAnsi="Times New Roman"/>
          <w:sz w:val="24"/>
        </w:rPr>
        <w:t>basé leurs conclusions sur</w:t>
      </w:r>
      <w:r>
        <w:rPr>
          <w:rFonts w:ascii="Times New Roman" w:hAnsi="Times New Roman"/>
          <w:sz w:val="24"/>
        </w:rPr>
        <w:t xml:space="preserve"> la base de données de 1994 à 2002, soit </w:t>
      </w:r>
      <w:r w:rsidR="00DD2241">
        <w:rPr>
          <w:rFonts w:ascii="Times New Roman" w:hAnsi="Times New Roman"/>
          <w:sz w:val="24"/>
        </w:rPr>
        <w:t xml:space="preserve">sur </w:t>
      </w:r>
      <w:r>
        <w:rPr>
          <w:rFonts w:ascii="Times New Roman" w:hAnsi="Times New Roman"/>
          <w:sz w:val="24"/>
        </w:rPr>
        <w:t>plus de 3000 cas</w:t>
      </w:r>
      <w:r w:rsidR="00DD2241">
        <w:rPr>
          <w:rFonts w:ascii="Times New Roman" w:hAnsi="Times New Roman"/>
          <w:sz w:val="24"/>
        </w:rPr>
        <w:t xml:space="preserve"> de procédures</w:t>
      </w:r>
      <w:r>
        <w:rPr>
          <w:rFonts w:ascii="Times New Roman" w:hAnsi="Times New Roman"/>
          <w:sz w:val="24"/>
        </w:rPr>
        <w:t xml:space="preserve"> dont 1422 </w:t>
      </w:r>
      <w:r w:rsidRPr="007C17D3">
        <w:rPr>
          <w:rFonts w:ascii="Times New Roman" w:hAnsi="Times New Roman"/>
          <w:i/>
          <w:sz w:val="24"/>
        </w:rPr>
        <w:t>Chapter 11</w:t>
      </w:r>
      <w:r>
        <w:rPr>
          <w:rFonts w:ascii="Times New Roman" w:hAnsi="Times New Roman"/>
          <w:sz w:val="24"/>
        </w:rPr>
        <w:t xml:space="preserve">. En moyenne, sur les dernières années </w:t>
      </w:r>
      <w:r w:rsidR="00DD2241">
        <w:rPr>
          <w:rFonts w:ascii="Times New Roman" w:hAnsi="Times New Roman"/>
          <w:sz w:val="24"/>
        </w:rPr>
        <w:t>étudiées (</w:t>
      </w:r>
      <w:r>
        <w:rPr>
          <w:rFonts w:ascii="Times New Roman" w:hAnsi="Times New Roman"/>
          <w:sz w:val="24"/>
        </w:rPr>
        <w:t xml:space="preserve">de 1994 à 2001), 30% des </w:t>
      </w:r>
      <w:r w:rsidRPr="007C17D3">
        <w:rPr>
          <w:rFonts w:ascii="Times New Roman" w:hAnsi="Times New Roman"/>
          <w:i/>
          <w:sz w:val="24"/>
        </w:rPr>
        <w:t>Chapter 11</w:t>
      </w:r>
      <w:r>
        <w:rPr>
          <w:rFonts w:ascii="Times New Roman" w:hAnsi="Times New Roman"/>
          <w:sz w:val="24"/>
        </w:rPr>
        <w:t xml:space="preserve"> ont abouti à la confirmation du plan, dans lesquels 70% sont des cas où le débiteur a proposé un plan. </w:t>
      </w:r>
      <w:r w:rsidRPr="0048428B">
        <w:rPr>
          <w:rFonts w:ascii="Times New Roman" w:hAnsi="Times New Roman"/>
          <w:sz w:val="24"/>
        </w:rPr>
        <w:t xml:space="preserve">Plus le débiteur a pu conduire la poursuite de ses </w:t>
      </w:r>
      <w:r w:rsidRPr="007C17D3">
        <w:rPr>
          <w:rFonts w:ascii="Times New Roman" w:hAnsi="Times New Roman"/>
          <w:sz w:val="24"/>
        </w:rPr>
        <w:t>affaire</w:t>
      </w:r>
      <w:r w:rsidRPr="0048428B">
        <w:rPr>
          <w:rFonts w:ascii="Times New Roman" w:hAnsi="Times New Roman"/>
          <w:sz w:val="24"/>
        </w:rPr>
        <w:t>s durant une période longue, plus le taux de réussite est élevé : 47%</w:t>
      </w:r>
      <w:r w:rsidR="00DD2241">
        <w:rPr>
          <w:rFonts w:ascii="Times New Roman" w:hAnsi="Times New Roman"/>
          <w:sz w:val="24"/>
        </w:rPr>
        <w:t xml:space="preserve"> de réussite</w:t>
      </w:r>
      <w:r w:rsidRPr="0048428B">
        <w:rPr>
          <w:rFonts w:ascii="Times New Roman" w:hAnsi="Times New Roman"/>
          <w:sz w:val="24"/>
        </w:rPr>
        <w:t xml:space="preserve"> pour ceux qui ont survécu 6 mois, 90% pour ceux qui ont </w:t>
      </w:r>
      <w:r w:rsidR="00DD2241">
        <w:rPr>
          <w:rFonts w:ascii="Times New Roman" w:hAnsi="Times New Roman"/>
          <w:sz w:val="24"/>
        </w:rPr>
        <w:t>survécu 24 mois au moins</w:t>
      </w:r>
      <w:r w:rsidRPr="0048428B">
        <w:rPr>
          <w:rFonts w:ascii="Times New Roman" w:hAnsi="Times New Roman"/>
          <w:sz w:val="24"/>
        </w:rPr>
        <w:t xml:space="preserve">. Le cumul des deux critères : viabilité et plan proposé par le débiteur conduit à 74% de réussite pour ceux qui ont poursuivi durant 6 mois contre 99% pour ceux qui ont poursuivi 24 mois. </w:t>
      </w:r>
      <w:r w:rsidR="00DD2241">
        <w:rPr>
          <w:rFonts w:ascii="Times New Roman" w:hAnsi="Times New Roman"/>
          <w:sz w:val="24"/>
        </w:rPr>
        <w:t>L’étude</w:t>
      </w:r>
      <w:r w:rsidRPr="0048428B">
        <w:rPr>
          <w:rFonts w:ascii="Times New Roman" w:hAnsi="Times New Roman"/>
          <w:sz w:val="24"/>
        </w:rPr>
        <w:t xml:space="preserve"> recouvre des secteurs d’activité (par exemple, l’immobilier où c’est, par nature, plus long) et des tailles très différentes, la longueur de la procédure</w:t>
      </w:r>
      <w:r w:rsidR="00DD2241">
        <w:rPr>
          <w:rFonts w:ascii="Times New Roman" w:hAnsi="Times New Roman"/>
          <w:sz w:val="24"/>
        </w:rPr>
        <w:t xml:space="preserve"> pour conclure que</w:t>
      </w:r>
      <w:r w:rsidRPr="0048428B">
        <w:rPr>
          <w:rFonts w:ascii="Times New Roman" w:hAnsi="Times New Roman"/>
          <w:sz w:val="24"/>
        </w:rPr>
        <w:t> : 35% des dossiers sont terminés après 6 mois, 93% sont terminés endéans les 24 mois, la période moyenne étant de 9 mois.</w:t>
      </w:r>
    </w:p>
    <w:p w:rsidR="008064D7" w:rsidRDefault="008064D7" w:rsidP="00601DBE">
      <w:pPr>
        <w:pStyle w:val="Paragraphedeliste"/>
        <w:spacing w:line="240" w:lineRule="auto"/>
        <w:ind w:left="786"/>
        <w:rPr>
          <w:rFonts w:ascii="Times New Roman" w:hAnsi="Times New Roman"/>
          <w:sz w:val="24"/>
        </w:rPr>
      </w:pPr>
    </w:p>
    <w:p w:rsidR="003F05E5" w:rsidRDefault="008064D7" w:rsidP="00601DBE">
      <w:pPr>
        <w:pStyle w:val="Paragraphedeliste"/>
        <w:spacing w:line="240" w:lineRule="auto"/>
        <w:ind w:left="786"/>
        <w:rPr>
          <w:rFonts w:ascii="Times New Roman" w:hAnsi="Times New Roman"/>
          <w:sz w:val="24"/>
        </w:rPr>
      </w:pPr>
      <w:r>
        <w:rPr>
          <w:rFonts w:ascii="Times New Roman" w:hAnsi="Times New Roman"/>
          <w:sz w:val="24"/>
        </w:rPr>
        <w:t xml:space="preserve">Les conclusions </w:t>
      </w:r>
      <w:r w:rsidR="003F05E5">
        <w:rPr>
          <w:rFonts w:ascii="Times New Roman" w:hAnsi="Times New Roman"/>
          <w:sz w:val="24"/>
        </w:rPr>
        <w:t xml:space="preserve">de cette étude </w:t>
      </w:r>
      <w:r w:rsidR="00DD2241">
        <w:rPr>
          <w:rFonts w:ascii="Times New Roman" w:hAnsi="Times New Roman"/>
          <w:sz w:val="24"/>
        </w:rPr>
        <w:t>sont</w:t>
      </w:r>
      <w:r>
        <w:rPr>
          <w:rFonts w:ascii="Times New Roman" w:hAnsi="Times New Roman"/>
          <w:sz w:val="24"/>
        </w:rPr>
        <w:t xml:space="preserve"> que le système écarte vite les entreprises non-viables</w:t>
      </w:r>
      <w:r w:rsidR="003F05E5">
        <w:rPr>
          <w:rFonts w:ascii="Times New Roman" w:hAnsi="Times New Roman"/>
          <w:sz w:val="24"/>
        </w:rPr>
        <w:t xml:space="preserve"> et, dans ce cas,</w:t>
      </w:r>
      <w:r>
        <w:rPr>
          <w:rFonts w:ascii="Times New Roman" w:hAnsi="Times New Roman"/>
          <w:sz w:val="24"/>
        </w:rPr>
        <w:t xml:space="preserve"> le </w:t>
      </w:r>
      <w:r w:rsidRPr="007C17D3">
        <w:rPr>
          <w:rFonts w:ascii="Times New Roman" w:hAnsi="Times New Roman"/>
          <w:i/>
          <w:sz w:val="24"/>
        </w:rPr>
        <w:t>Chapter 11</w:t>
      </w:r>
      <w:r>
        <w:rPr>
          <w:rFonts w:ascii="Times New Roman" w:hAnsi="Times New Roman"/>
          <w:sz w:val="24"/>
        </w:rPr>
        <w:t xml:space="preserve"> est </w:t>
      </w:r>
      <w:r w:rsidR="003F05E5">
        <w:rPr>
          <w:rFonts w:ascii="Times New Roman" w:hAnsi="Times New Roman"/>
          <w:sz w:val="24"/>
        </w:rPr>
        <w:t>transformé</w:t>
      </w:r>
      <w:r>
        <w:rPr>
          <w:rFonts w:ascii="Times New Roman" w:hAnsi="Times New Roman"/>
          <w:sz w:val="24"/>
        </w:rPr>
        <w:t xml:space="preserve"> en </w:t>
      </w:r>
      <w:r w:rsidRPr="007C17D3">
        <w:rPr>
          <w:rFonts w:ascii="Times New Roman" w:hAnsi="Times New Roman"/>
          <w:i/>
          <w:sz w:val="24"/>
        </w:rPr>
        <w:t>Chapter 7</w:t>
      </w:r>
      <w:r>
        <w:rPr>
          <w:rFonts w:ascii="Times New Roman" w:hAnsi="Times New Roman"/>
          <w:sz w:val="24"/>
        </w:rPr>
        <w:t>, 57% des dossiers ayant déjà fait cette conversion avant 6 mois, 75% avant 9 mois. 49% des cas confirmés concernaient des entreprises ayant un endettement au-dessus de l’endettement médian</w:t>
      </w:r>
      <w:r>
        <w:rPr>
          <w:rStyle w:val="Appelnotedebasdep"/>
          <w:rFonts w:ascii="Times New Roman" w:hAnsi="Times New Roman"/>
          <w:sz w:val="24"/>
        </w:rPr>
        <w:footnoteReference w:id="24"/>
      </w:r>
      <w:r>
        <w:rPr>
          <w:rFonts w:ascii="Times New Roman" w:hAnsi="Times New Roman"/>
          <w:sz w:val="24"/>
        </w:rPr>
        <w:t xml:space="preserve"> et seuls</w:t>
      </w:r>
      <w:r w:rsidR="003F05E5">
        <w:rPr>
          <w:rFonts w:ascii="Times New Roman" w:hAnsi="Times New Roman"/>
          <w:sz w:val="24"/>
        </w:rPr>
        <w:t xml:space="preserve"> </w:t>
      </w:r>
      <w:r>
        <w:rPr>
          <w:rFonts w:ascii="Times New Roman" w:hAnsi="Times New Roman"/>
          <w:sz w:val="24"/>
        </w:rPr>
        <w:t xml:space="preserve">21% </w:t>
      </w:r>
      <w:r w:rsidR="003F05E5">
        <w:rPr>
          <w:rFonts w:ascii="Times New Roman" w:hAnsi="Times New Roman"/>
          <w:sz w:val="24"/>
        </w:rPr>
        <w:t>étaient</w:t>
      </w:r>
      <w:r>
        <w:rPr>
          <w:rFonts w:ascii="Times New Roman" w:hAnsi="Times New Roman"/>
          <w:sz w:val="24"/>
        </w:rPr>
        <w:t xml:space="preserve"> en-dessous. </w:t>
      </w:r>
    </w:p>
    <w:p w:rsidR="003F05E5" w:rsidRDefault="003F05E5" w:rsidP="00601DBE">
      <w:pPr>
        <w:pStyle w:val="Paragraphedeliste"/>
        <w:spacing w:line="240" w:lineRule="auto"/>
        <w:ind w:left="786"/>
        <w:rPr>
          <w:rFonts w:ascii="Times New Roman" w:hAnsi="Times New Roman"/>
          <w:sz w:val="24"/>
        </w:rPr>
      </w:pPr>
    </w:p>
    <w:p w:rsidR="003F05E5" w:rsidRDefault="008064D7" w:rsidP="00601DBE">
      <w:pPr>
        <w:pStyle w:val="Paragraphedeliste"/>
        <w:spacing w:line="240" w:lineRule="auto"/>
        <w:ind w:left="786"/>
        <w:rPr>
          <w:rFonts w:ascii="Times New Roman" w:hAnsi="Times New Roman"/>
          <w:sz w:val="24"/>
        </w:rPr>
      </w:pPr>
      <w:r>
        <w:rPr>
          <w:rFonts w:ascii="Times New Roman" w:hAnsi="Times New Roman"/>
          <w:sz w:val="24"/>
        </w:rPr>
        <w:t xml:space="preserve">La taille influence </w:t>
      </w:r>
      <w:r w:rsidR="003F05E5">
        <w:rPr>
          <w:rFonts w:ascii="Times New Roman" w:hAnsi="Times New Roman"/>
          <w:sz w:val="24"/>
        </w:rPr>
        <w:t>le résultat</w:t>
      </w:r>
      <w:r>
        <w:rPr>
          <w:rFonts w:ascii="Times New Roman" w:hAnsi="Times New Roman"/>
          <w:sz w:val="24"/>
        </w:rPr>
        <w:t xml:space="preserve"> mais de manière </w:t>
      </w:r>
      <w:r w:rsidR="003F05E5">
        <w:rPr>
          <w:rFonts w:ascii="Times New Roman" w:hAnsi="Times New Roman"/>
          <w:sz w:val="24"/>
        </w:rPr>
        <w:t>parfois anachronique</w:t>
      </w:r>
      <w:r>
        <w:rPr>
          <w:rFonts w:ascii="Times New Roman" w:hAnsi="Times New Roman"/>
          <w:sz w:val="24"/>
        </w:rPr>
        <w:t xml:space="preserve"> : les grandes entreprises peuvent </w:t>
      </w:r>
      <w:r w:rsidR="003F05E5">
        <w:rPr>
          <w:rFonts w:ascii="Times New Roman" w:hAnsi="Times New Roman"/>
          <w:sz w:val="24"/>
        </w:rPr>
        <w:t>plus</w:t>
      </w:r>
      <w:r>
        <w:rPr>
          <w:rFonts w:ascii="Times New Roman" w:hAnsi="Times New Roman"/>
          <w:sz w:val="24"/>
        </w:rPr>
        <w:t xml:space="preserve"> facilement résoudre certaines difficultés par une négociation que les plus petites</w:t>
      </w:r>
      <w:r w:rsidR="003F05E5">
        <w:rPr>
          <w:rFonts w:ascii="Times New Roman" w:hAnsi="Times New Roman"/>
          <w:sz w:val="24"/>
        </w:rPr>
        <w:t xml:space="preserve"> (ce</w:t>
      </w:r>
      <w:r>
        <w:rPr>
          <w:rFonts w:ascii="Times New Roman" w:hAnsi="Times New Roman"/>
          <w:sz w:val="24"/>
        </w:rPr>
        <w:t xml:space="preserve">tte question a été modifiée par la réforme du </w:t>
      </w:r>
      <w:r w:rsidRPr="007C17D3">
        <w:rPr>
          <w:rFonts w:ascii="Times New Roman" w:hAnsi="Times New Roman"/>
          <w:i/>
          <w:sz w:val="24"/>
        </w:rPr>
        <w:t>Chapter 11</w:t>
      </w:r>
      <w:r>
        <w:rPr>
          <w:rFonts w:ascii="Times New Roman" w:hAnsi="Times New Roman"/>
          <w:sz w:val="24"/>
        </w:rPr>
        <w:t xml:space="preserve"> (CARES) pour les petites et moyennes entreprises</w:t>
      </w:r>
      <w:r w:rsidR="003F05E5">
        <w:rPr>
          <w:rFonts w:ascii="Times New Roman" w:hAnsi="Times New Roman"/>
          <w:sz w:val="24"/>
        </w:rPr>
        <w:t>)</w:t>
      </w:r>
      <w:r>
        <w:rPr>
          <w:rFonts w:ascii="Times New Roman" w:hAnsi="Times New Roman"/>
          <w:sz w:val="24"/>
        </w:rPr>
        <w:t xml:space="preserve">. </w:t>
      </w:r>
    </w:p>
    <w:p w:rsidR="003F05E5" w:rsidRDefault="003F05E5" w:rsidP="00601DBE">
      <w:pPr>
        <w:pStyle w:val="Paragraphedeliste"/>
        <w:spacing w:line="240" w:lineRule="auto"/>
        <w:ind w:left="786"/>
        <w:rPr>
          <w:rFonts w:ascii="Times New Roman" w:hAnsi="Times New Roman"/>
          <w:sz w:val="24"/>
        </w:rPr>
      </w:pPr>
    </w:p>
    <w:p w:rsidR="008064D7" w:rsidRDefault="008064D7" w:rsidP="00601DBE">
      <w:pPr>
        <w:pStyle w:val="Paragraphedeliste"/>
        <w:spacing w:line="240" w:lineRule="auto"/>
        <w:ind w:left="786"/>
        <w:rPr>
          <w:rFonts w:ascii="Times New Roman" w:hAnsi="Times New Roman"/>
          <w:sz w:val="24"/>
        </w:rPr>
      </w:pPr>
      <w:r>
        <w:rPr>
          <w:rFonts w:ascii="Times New Roman" w:hAnsi="Times New Roman"/>
          <w:sz w:val="24"/>
        </w:rPr>
        <w:t xml:space="preserve">Le tableau montre </w:t>
      </w:r>
      <w:r w:rsidR="003F05E5">
        <w:rPr>
          <w:rFonts w:ascii="Times New Roman" w:hAnsi="Times New Roman"/>
          <w:sz w:val="24"/>
        </w:rPr>
        <w:t xml:space="preserve">la répartition des procédures réussies par </w:t>
      </w:r>
      <w:r>
        <w:rPr>
          <w:rFonts w:ascii="Times New Roman" w:hAnsi="Times New Roman"/>
          <w:sz w:val="24"/>
        </w:rPr>
        <w:t>le total d’</w:t>
      </w:r>
      <w:r w:rsidRPr="007C17D3">
        <w:rPr>
          <w:rFonts w:ascii="Times New Roman" w:hAnsi="Times New Roman"/>
          <w:i/>
          <w:sz w:val="24"/>
        </w:rPr>
        <w:t>assets</w:t>
      </w:r>
      <w:r>
        <w:rPr>
          <w:rFonts w:ascii="Times New Roman" w:hAnsi="Times New Roman"/>
          <w:sz w:val="24"/>
        </w:rPr>
        <w:t xml:space="preserve"> et de dette.</w:t>
      </w:r>
    </w:p>
    <w:p w:rsidR="008064D7" w:rsidRDefault="008064D7" w:rsidP="00601DBE">
      <w:pPr>
        <w:pStyle w:val="Paragraphedeliste"/>
        <w:spacing w:line="240" w:lineRule="auto"/>
        <w:ind w:left="786"/>
        <w:rPr>
          <w:rFonts w:ascii="Times New Roman" w:hAnsi="Times New Roman"/>
          <w:sz w:val="24"/>
        </w:rPr>
      </w:pPr>
    </w:p>
    <w:tbl>
      <w:tblPr>
        <w:tblStyle w:val="TableauGrille2-Accentuation5"/>
        <w:tblW w:w="7333" w:type="dxa"/>
        <w:jc w:val="center"/>
        <w:tblLook w:val="04A0" w:firstRow="1" w:lastRow="0" w:firstColumn="1" w:lastColumn="0" w:noHBand="0" w:noVBand="1"/>
      </w:tblPr>
      <w:tblGrid>
        <w:gridCol w:w="1375"/>
        <w:gridCol w:w="1096"/>
        <w:gridCol w:w="1162"/>
        <w:gridCol w:w="1102"/>
        <w:gridCol w:w="902"/>
        <w:gridCol w:w="820"/>
        <w:gridCol w:w="876"/>
      </w:tblGrid>
      <w:tr w:rsidR="008064D7" w:rsidTr="005F0935">
        <w:trPr>
          <w:cnfStyle w:val="100000000000" w:firstRow="1" w:lastRow="0" w:firstColumn="0" w:lastColumn="0" w:oddVBand="0" w:evenVBand="0" w:oddHBand="0"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0" w:type="auto"/>
            <w:gridSpan w:val="7"/>
            <w:tcBorders>
              <w:top w:val="single" w:sz="4" w:space="0" w:color="auto"/>
              <w:left w:val="single" w:sz="4" w:space="0" w:color="auto"/>
              <w:right w:val="single" w:sz="4" w:space="0" w:color="auto"/>
            </w:tcBorders>
          </w:tcPr>
          <w:p w:rsidR="008064D7" w:rsidRDefault="008064D7" w:rsidP="005F0935">
            <w:pPr>
              <w:pStyle w:val="Paragraphedeliste"/>
              <w:spacing w:line="240" w:lineRule="auto"/>
              <w:ind w:left="0"/>
              <w:jc w:val="center"/>
              <w:rPr>
                <w:rFonts w:ascii="Times New Roman" w:hAnsi="Times New Roman"/>
                <w:sz w:val="24"/>
              </w:rPr>
            </w:pPr>
            <w:r w:rsidRPr="007C17D3">
              <w:rPr>
                <w:rFonts w:ascii="Times New Roman" w:hAnsi="Times New Roman"/>
                <w:i/>
                <w:sz w:val="24"/>
              </w:rPr>
              <w:lastRenderedPageBreak/>
              <w:t>ASSETS</w:t>
            </w:r>
          </w:p>
        </w:tc>
      </w:tr>
      <w:tr w:rsidR="008064D7" w:rsidRPr="005F0935" w:rsidTr="005F0935">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tcBorders>
          </w:tcPr>
          <w:p w:rsidR="008064D7" w:rsidRPr="005F0935" w:rsidRDefault="008064D7" w:rsidP="005F0935">
            <w:pPr>
              <w:pStyle w:val="Paragraphedeliste"/>
              <w:spacing w:line="240" w:lineRule="auto"/>
              <w:ind w:left="0"/>
              <w:jc w:val="center"/>
              <w:rPr>
                <w:rFonts w:ascii="Times New Roman" w:hAnsi="Times New Roman"/>
                <w:sz w:val="24"/>
              </w:rPr>
            </w:pP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Under $100K</w:t>
            </w: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$100K-$500K</w:t>
            </w: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$500K-$1M</w:t>
            </w: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$1M-$5M</w:t>
            </w: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$5M+</w:t>
            </w:r>
          </w:p>
        </w:tc>
        <w:tc>
          <w:tcPr>
            <w:tcW w:w="0" w:type="auto"/>
            <w:tcBorders>
              <w:top w:val="single" w:sz="4" w:space="0" w:color="auto"/>
              <w:right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Total</w:t>
            </w:r>
          </w:p>
        </w:tc>
      </w:tr>
      <w:tr w:rsidR="008064D7" w:rsidTr="005F0935">
        <w:trPr>
          <w:trHeight w:val="711"/>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tcPr>
          <w:p w:rsidR="008064D7" w:rsidRDefault="008064D7" w:rsidP="005F0935">
            <w:pPr>
              <w:pStyle w:val="Paragraphedeliste"/>
              <w:spacing w:line="240" w:lineRule="auto"/>
              <w:ind w:left="0"/>
              <w:jc w:val="center"/>
              <w:rPr>
                <w:rFonts w:ascii="Times New Roman" w:hAnsi="Times New Roman"/>
                <w:sz w:val="24"/>
              </w:rPr>
            </w:pPr>
            <w:r>
              <w:rPr>
                <w:rFonts w:ascii="Times New Roman" w:hAnsi="Times New Roman"/>
                <w:sz w:val="24"/>
              </w:rPr>
              <w:t>Frequency</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58</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90</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43</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100</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98</w:t>
            </w:r>
          </w:p>
        </w:tc>
        <w:tc>
          <w:tcPr>
            <w:tcW w:w="0" w:type="auto"/>
            <w:tcBorders>
              <w:right w:val="single" w:sz="4" w:space="0" w:color="auto"/>
            </w:tcBorders>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389</w:t>
            </w:r>
          </w:p>
        </w:tc>
      </w:tr>
      <w:tr w:rsidR="008064D7" w:rsidTr="005F0935">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tcBorders>
          </w:tcPr>
          <w:p w:rsidR="008064D7" w:rsidRDefault="008064D7" w:rsidP="005F0935">
            <w:pPr>
              <w:pStyle w:val="Paragraphedeliste"/>
              <w:spacing w:line="240" w:lineRule="auto"/>
              <w:ind w:left="0"/>
              <w:jc w:val="center"/>
              <w:rPr>
                <w:rFonts w:ascii="Times New Roman" w:hAnsi="Times New Roman"/>
                <w:sz w:val="24"/>
              </w:rPr>
            </w:pPr>
            <w:r>
              <w:rPr>
                <w:rFonts w:ascii="Times New Roman" w:hAnsi="Times New Roman"/>
                <w:sz w:val="24"/>
              </w:rPr>
              <w:t>Row Percent</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14.91</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23.14</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11.05</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25.71</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25.19</w:t>
            </w:r>
          </w:p>
        </w:tc>
        <w:tc>
          <w:tcPr>
            <w:tcW w:w="0" w:type="auto"/>
            <w:tcBorders>
              <w:bottom w:val="single" w:sz="4" w:space="0" w:color="auto"/>
              <w:right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100.00</w:t>
            </w:r>
          </w:p>
        </w:tc>
      </w:tr>
    </w:tbl>
    <w:p w:rsidR="008064D7" w:rsidRDefault="008064D7" w:rsidP="00601DBE">
      <w:pPr>
        <w:pStyle w:val="Paragraphedeliste"/>
        <w:spacing w:line="240" w:lineRule="auto"/>
        <w:ind w:left="786"/>
        <w:rPr>
          <w:rFonts w:ascii="Times New Roman" w:hAnsi="Times New Roman"/>
          <w:sz w:val="24"/>
        </w:rPr>
      </w:pPr>
    </w:p>
    <w:p w:rsidR="008064D7" w:rsidRDefault="008064D7" w:rsidP="00601DBE">
      <w:pPr>
        <w:pStyle w:val="Paragraphedeliste"/>
        <w:spacing w:line="240" w:lineRule="auto"/>
        <w:ind w:left="786"/>
        <w:rPr>
          <w:rFonts w:ascii="Times New Roman" w:hAnsi="Times New Roman"/>
          <w:sz w:val="24"/>
        </w:rPr>
      </w:pPr>
    </w:p>
    <w:tbl>
      <w:tblPr>
        <w:tblStyle w:val="TableauGrille2-Accentuation5"/>
        <w:tblW w:w="7333" w:type="dxa"/>
        <w:jc w:val="center"/>
        <w:tblLook w:val="04A0" w:firstRow="1" w:lastRow="0" w:firstColumn="1" w:lastColumn="0" w:noHBand="0" w:noVBand="1"/>
      </w:tblPr>
      <w:tblGrid>
        <w:gridCol w:w="1375"/>
        <w:gridCol w:w="1096"/>
        <w:gridCol w:w="1162"/>
        <w:gridCol w:w="1102"/>
        <w:gridCol w:w="902"/>
        <w:gridCol w:w="820"/>
        <w:gridCol w:w="876"/>
      </w:tblGrid>
      <w:tr w:rsidR="008064D7" w:rsidTr="00F21760">
        <w:trPr>
          <w:cnfStyle w:val="100000000000" w:firstRow="1" w:lastRow="0" w:firstColumn="0" w:lastColumn="0" w:oddVBand="0" w:evenVBand="0" w:oddHBand="0"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0" w:type="auto"/>
            <w:gridSpan w:val="7"/>
            <w:tcBorders>
              <w:top w:val="single" w:sz="4" w:space="0" w:color="auto"/>
              <w:left w:val="single" w:sz="4" w:space="0" w:color="auto"/>
              <w:right w:val="single" w:sz="4" w:space="0" w:color="auto"/>
            </w:tcBorders>
          </w:tcPr>
          <w:p w:rsidR="008064D7" w:rsidRDefault="008064D7" w:rsidP="005F0935">
            <w:pPr>
              <w:pStyle w:val="Paragraphedeliste"/>
              <w:spacing w:line="240" w:lineRule="auto"/>
              <w:ind w:left="0"/>
              <w:jc w:val="center"/>
              <w:rPr>
                <w:rFonts w:ascii="Times New Roman" w:hAnsi="Times New Roman"/>
                <w:sz w:val="24"/>
              </w:rPr>
            </w:pPr>
            <w:r>
              <w:rPr>
                <w:rFonts w:ascii="Times New Roman" w:hAnsi="Times New Roman"/>
                <w:sz w:val="24"/>
              </w:rPr>
              <w:t>DEBT</w:t>
            </w:r>
          </w:p>
        </w:tc>
      </w:tr>
      <w:tr w:rsidR="008064D7" w:rsidRPr="005F0935" w:rsidTr="00F21760">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tcBorders>
          </w:tcPr>
          <w:p w:rsidR="008064D7" w:rsidRPr="005F0935" w:rsidRDefault="008064D7" w:rsidP="005F0935">
            <w:pPr>
              <w:pStyle w:val="Paragraphedeliste"/>
              <w:spacing w:line="240" w:lineRule="auto"/>
              <w:ind w:left="0"/>
              <w:jc w:val="center"/>
              <w:rPr>
                <w:rFonts w:ascii="Times New Roman" w:hAnsi="Times New Roman"/>
                <w:sz w:val="24"/>
              </w:rPr>
            </w:pP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Under $100K</w:t>
            </w: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$100K-$500K</w:t>
            </w: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$500K-$1M</w:t>
            </w: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$1M-$5M</w:t>
            </w:r>
          </w:p>
        </w:tc>
        <w:tc>
          <w:tcPr>
            <w:tcW w:w="0" w:type="auto"/>
            <w:tcBorders>
              <w:top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$5M+</w:t>
            </w:r>
          </w:p>
        </w:tc>
        <w:tc>
          <w:tcPr>
            <w:tcW w:w="0" w:type="auto"/>
            <w:tcBorders>
              <w:top w:val="single" w:sz="4" w:space="0" w:color="auto"/>
              <w:right w:val="single" w:sz="4" w:space="0" w:color="auto"/>
            </w:tcBorders>
          </w:tcPr>
          <w:p w:rsidR="008064D7" w:rsidRPr="005F0935"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F0935">
              <w:rPr>
                <w:rFonts w:ascii="Times New Roman" w:hAnsi="Times New Roman"/>
                <w:b/>
                <w:sz w:val="24"/>
              </w:rPr>
              <w:t>Total</w:t>
            </w:r>
          </w:p>
        </w:tc>
      </w:tr>
      <w:tr w:rsidR="008064D7" w:rsidTr="00F21760">
        <w:trPr>
          <w:trHeight w:val="711"/>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tcPr>
          <w:p w:rsidR="008064D7" w:rsidRDefault="008064D7" w:rsidP="005F0935">
            <w:pPr>
              <w:pStyle w:val="Paragraphedeliste"/>
              <w:spacing w:line="240" w:lineRule="auto"/>
              <w:ind w:left="0"/>
              <w:jc w:val="center"/>
              <w:rPr>
                <w:rFonts w:ascii="Times New Roman" w:hAnsi="Times New Roman"/>
                <w:sz w:val="24"/>
              </w:rPr>
            </w:pPr>
            <w:r>
              <w:rPr>
                <w:rFonts w:ascii="Times New Roman" w:hAnsi="Times New Roman"/>
                <w:sz w:val="24"/>
              </w:rPr>
              <w:t>Frequency</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18</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79</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57</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111</w:t>
            </w:r>
          </w:p>
        </w:tc>
        <w:tc>
          <w:tcPr>
            <w:tcW w:w="0" w:type="auto"/>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131</w:t>
            </w:r>
          </w:p>
        </w:tc>
        <w:tc>
          <w:tcPr>
            <w:tcW w:w="0" w:type="auto"/>
            <w:tcBorders>
              <w:right w:val="single" w:sz="4" w:space="0" w:color="auto"/>
            </w:tcBorders>
          </w:tcPr>
          <w:p w:rsidR="008064D7" w:rsidRDefault="008064D7" w:rsidP="005F0935">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396</w:t>
            </w:r>
          </w:p>
        </w:tc>
      </w:tr>
      <w:tr w:rsidR="008064D7" w:rsidTr="00F21760">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tcBorders>
          </w:tcPr>
          <w:p w:rsidR="008064D7" w:rsidRDefault="008064D7" w:rsidP="005F0935">
            <w:pPr>
              <w:pStyle w:val="Paragraphedeliste"/>
              <w:spacing w:line="240" w:lineRule="auto"/>
              <w:ind w:left="0"/>
              <w:jc w:val="center"/>
              <w:rPr>
                <w:rFonts w:ascii="Times New Roman" w:hAnsi="Times New Roman"/>
                <w:sz w:val="24"/>
              </w:rPr>
            </w:pPr>
            <w:r>
              <w:rPr>
                <w:rFonts w:ascii="Times New Roman" w:hAnsi="Times New Roman"/>
                <w:sz w:val="24"/>
              </w:rPr>
              <w:t>Row Percent</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4.55</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19.95</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14.39</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28.03</w:t>
            </w:r>
          </w:p>
        </w:tc>
        <w:tc>
          <w:tcPr>
            <w:tcW w:w="0" w:type="auto"/>
            <w:tcBorders>
              <w:bottom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33.08</w:t>
            </w:r>
          </w:p>
        </w:tc>
        <w:tc>
          <w:tcPr>
            <w:tcW w:w="0" w:type="auto"/>
            <w:tcBorders>
              <w:bottom w:val="single" w:sz="4" w:space="0" w:color="auto"/>
              <w:right w:val="single" w:sz="4" w:space="0" w:color="auto"/>
            </w:tcBorders>
          </w:tcPr>
          <w:p w:rsidR="008064D7" w:rsidRDefault="008064D7" w:rsidP="005F0935">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100.00</w:t>
            </w:r>
          </w:p>
        </w:tc>
      </w:tr>
    </w:tbl>
    <w:p w:rsidR="008064D7" w:rsidRDefault="008064D7" w:rsidP="00601DBE">
      <w:pPr>
        <w:pStyle w:val="Paragraphedeliste"/>
        <w:spacing w:line="240" w:lineRule="auto"/>
        <w:ind w:left="786"/>
        <w:rPr>
          <w:rFonts w:ascii="Times New Roman" w:hAnsi="Times New Roman"/>
          <w:sz w:val="24"/>
        </w:rPr>
      </w:pPr>
    </w:p>
    <w:p w:rsidR="003F05E5" w:rsidRDefault="008064D7" w:rsidP="003F05E5">
      <w:pPr>
        <w:pStyle w:val="Paragraphedeliste"/>
        <w:spacing w:line="240" w:lineRule="auto"/>
        <w:ind w:left="786"/>
        <w:rPr>
          <w:rFonts w:ascii="Times New Roman" w:hAnsi="Times New Roman"/>
          <w:sz w:val="24"/>
        </w:rPr>
      </w:pPr>
      <w:r>
        <w:rPr>
          <w:rFonts w:ascii="Times New Roman" w:hAnsi="Times New Roman"/>
          <w:sz w:val="24"/>
        </w:rPr>
        <w:t xml:space="preserve">Une autre étude a démontré </w:t>
      </w:r>
      <w:r>
        <w:rPr>
          <w:rStyle w:val="Appelnotedebasdep"/>
          <w:rFonts w:ascii="Times New Roman" w:hAnsi="Times New Roman"/>
          <w:sz w:val="24"/>
        </w:rPr>
        <w:footnoteReference w:id="25"/>
      </w:r>
      <w:r>
        <w:rPr>
          <w:rFonts w:ascii="Times New Roman" w:hAnsi="Times New Roman"/>
          <w:sz w:val="24"/>
        </w:rPr>
        <w:t xml:space="preserve"> que 15 % des débiteurs qui sont sortis du </w:t>
      </w:r>
      <w:r w:rsidRPr="007C17D3">
        <w:rPr>
          <w:rFonts w:ascii="Times New Roman" w:hAnsi="Times New Roman"/>
          <w:i/>
          <w:sz w:val="24"/>
        </w:rPr>
        <w:t>Chapter 11</w:t>
      </w:r>
      <w:r>
        <w:rPr>
          <w:rFonts w:ascii="Times New Roman" w:hAnsi="Times New Roman"/>
          <w:sz w:val="24"/>
        </w:rPr>
        <w:t xml:space="preserve"> doivent </w:t>
      </w:r>
      <w:r w:rsidR="003F05E5">
        <w:rPr>
          <w:rFonts w:ascii="Times New Roman" w:hAnsi="Times New Roman"/>
          <w:sz w:val="24"/>
        </w:rPr>
        <w:t xml:space="preserve">cependant </w:t>
      </w:r>
      <w:r>
        <w:rPr>
          <w:rFonts w:ascii="Times New Roman" w:hAnsi="Times New Roman"/>
          <w:sz w:val="24"/>
        </w:rPr>
        <w:t>en redéposer un autre et que certains vont en déposer 3 ou 4</w:t>
      </w:r>
      <w:r w:rsidR="003F05E5">
        <w:rPr>
          <w:rFonts w:ascii="Times New Roman" w:hAnsi="Times New Roman"/>
          <w:sz w:val="24"/>
        </w:rPr>
        <w:t>.</w:t>
      </w:r>
    </w:p>
    <w:p w:rsidR="003F05E5" w:rsidRDefault="003F05E5" w:rsidP="003F05E5">
      <w:pPr>
        <w:pStyle w:val="Paragraphedeliste"/>
        <w:spacing w:line="240" w:lineRule="auto"/>
        <w:ind w:left="786"/>
        <w:rPr>
          <w:rFonts w:ascii="Times New Roman" w:hAnsi="Times New Roman"/>
          <w:sz w:val="24"/>
        </w:rPr>
      </w:pPr>
    </w:p>
    <w:p w:rsidR="003F05E5" w:rsidRDefault="008064D7" w:rsidP="003F05E5">
      <w:pPr>
        <w:pStyle w:val="Paragraphedeliste"/>
        <w:spacing w:line="240" w:lineRule="auto"/>
        <w:ind w:left="786"/>
        <w:rPr>
          <w:rFonts w:ascii="Times New Roman" w:hAnsi="Times New Roman"/>
          <w:sz w:val="24"/>
        </w:rPr>
      </w:pPr>
      <w:r w:rsidRPr="003F05E5">
        <w:rPr>
          <w:rFonts w:ascii="Times New Roman" w:hAnsi="Times New Roman"/>
          <w:sz w:val="24"/>
        </w:rPr>
        <w:t>55% de ceux-ci réussiss</w:t>
      </w:r>
      <w:r w:rsidR="003F05E5">
        <w:rPr>
          <w:rFonts w:ascii="Times New Roman" w:hAnsi="Times New Roman"/>
          <w:sz w:val="24"/>
        </w:rPr>
        <w:t>e</w:t>
      </w:r>
      <w:r w:rsidRPr="003F05E5">
        <w:rPr>
          <w:rFonts w:ascii="Times New Roman" w:hAnsi="Times New Roman"/>
          <w:sz w:val="24"/>
        </w:rPr>
        <w:t>nt un</w:t>
      </w:r>
      <w:r w:rsidR="003F05E5">
        <w:rPr>
          <w:rFonts w:ascii="Times New Roman" w:hAnsi="Times New Roman"/>
          <w:sz w:val="24"/>
        </w:rPr>
        <w:t>e</w:t>
      </w:r>
      <w:r w:rsidRPr="003F05E5">
        <w:rPr>
          <w:rFonts w:ascii="Times New Roman" w:hAnsi="Times New Roman"/>
          <w:sz w:val="24"/>
        </w:rPr>
        <w:t xml:space="preserve"> second</w:t>
      </w:r>
      <w:r w:rsidR="003F05E5">
        <w:rPr>
          <w:rFonts w:ascii="Times New Roman" w:hAnsi="Times New Roman"/>
          <w:sz w:val="24"/>
        </w:rPr>
        <w:t>e procédure</w:t>
      </w:r>
      <w:r w:rsidRPr="003F05E5">
        <w:rPr>
          <w:rFonts w:ascii="Times New Roman" w:hAnsi="Times New Roman"/>
          <w:sz w:val="24"/>
        </w:rPr>
        <w:t xml:space="preserve">, en particulier 63 % pour ceux qui ont des actifs supérieurs à 100 millions et 71 % pour ceux qui ont des actifs supérieurs à 500 millions. </w:t>
      </w:r>
    </w:p>
    <w:p w:rsidR="003F05E5" w:rsidRDefault="003F05E5" w:rsidP="003F05E5">
      <w:pPr>
        <w:pStyle w:val="Paragraphedeliste"/>
        <w:spacing w:line="240" w:lineRule="auto"/>
        <w:ind w:left="786"/>
        <w:rPr>
          <w:rFonts w:ascii="Times New Roman" w:hAnsi="Times New Roman"/>
          <w:sz w:val="24"/>
        </w:rPr>
      </w:pPr>
    </w:p>
    <w:p w:rsidR="008064D7" w:rsidRPr="003F05E5" w:rsidRDefault="008064D7" w:rsidP="003F05E5">
      <w:pPr>
        <w:pStyle w:val="Paragraphedeliste"/>
        <w:spacing w:line="240" w:lineRule="auto"/>
        <w:ind w:left="786"/>
        <w:rPr>
          <w:rFonts w:ascii="Times New Roman" w:hAnsi="Times New Roman"/>
          <w:sz w:val="24"/>
        </w:rPr>
      </w:pPr>
      <w:r w:rsidRPr="003F05E5">
        <w:rPr>
          <w:rFonts w:ascii="Times New Roman" w:hAnsi="Times New Roman"/>
          <w:sz w:val="24"/>
        </w:rPr>
        <w:t xml:space="preserve">Le tableau montre qu’après un second </w:t>
      </w:r>
      <w:r w:rsidRPr="003F05E5">
        <w:rPr>
          <w:rFonts w:ascii="Times New Roman" w:hAnsi="Times New Roman"/>
          <w:i/>
          <w:sz w:val="24"/>
        </w:rPr>
        <w:t>Chapter 11</w:t>
      </w:r>
      <w:r w:rsidR="003F05E5">
        <w:rPr>
          <w:rFonts w:ascii="Times New Roman" w:hAnsi="Times New Roman"/>
          <w:i/>
          <w:sz w:val="24"/>
        </w:rPr>
        <w:t>,</w:t>
      </w:r>
      <w:r w:rsidRPr="003F05E5">
        <w:rPr>
          <w:rFonts w:ascii="Times New Roman" w:hAnsi="Times New Roman"/>
          <w:sz w:val="24"/>
        </w:rPr>
        <w:t xml:space="preserve"> de nombreuses entreprise</w:t>
      </w:r>
      <w:r w:rsidR="003F05E5">
        <w:rPr>
          <w:rFonts w:ascii="Times New Roman" w:hAnsi="Times New Roman"/>
          <w:sz w:val="24"/>
        </w:rPr>
        <w:t>s</w:t>
      </w:r>
      <w:r w:rsidRPr="003F05E5">
        <w:rPr>
          <w:rFonts w:ascii="Times New Roman" w:hAnsi="Times New Roman"/>
          <w:sz w:val="24"/>
        </w:rPr>
        <w:t xml:space="preserve"> augmente</w:t>
      </w:r>
      <w:r w:rsidR="003F05E5">
        <w:rPr>
          <w:rFonts w:ascii="Times New Roman" w:hAnsi="Times New Roman"/>
          <w:sz w:val="24"/>
        </w:rPr>
        <w:t>nt</w:t>
      </w:r>
      <w:r w:rsidRPr="003F05E5">
        <w:rPr>
          <w:rFonts w:ascii="Times New Roman" w:hAnsi="Times New Roman"/>
          <w:sz w:val="24"/>
        </w:rPr>
        <w:t xml:space="preserve"> de valeur. En moyenne, le taux passe de 2.39 à 2.68 mais </w:t>
      </w:r>
      <w:r w:rsidR="003F05E5" w:rsidRPr="003F05E5">
        <w:rPr>
          <w:rFonts w:ascii="Times New Roman" w:hAnsi="Times New Roman"/>
          <w:sz w:val="24"/>
        </w:rPr>
        <w:t>certaines sociétés</w:t>
      </w:r>
      <w:r w:rsidRPr="003F05E5">
        <w:rPr>
          <w:rFonts w:ascii="Times New Roman" w:hAnsi="Times New Roman"/>
          <w:sz w:val="24"/>
        </w:rPr>
        <w:t xml:space="preserve"> de l’échantillon ont augmenté plus significativement de valeur. L’augmentation de valeur pour le 1</w:t>
      </w:r>
      <w:r w:rsidRPr="003F05E5">
        <w:rPr>
          <w:rFonts w:ascii="Times New Roman" w:hAnsi="Times New Roman"/>
          <w:sz w:val="24"/>
          <w:vertAlign w:val="superscript"/>
        </w:rPr>
        <w:t>er</w:t>
      </w:r>
      <w:r w:rsidRPr="003F05E5">
        <w:rPr>
          <w:rFonts w:ascii="Times New Roman" w:hAnsi="Times New Roman"/>
          <w:sz w:val="24"/>
        </w:rPr>
        <w:t xml:space="preserve"> </w:t>
      </w:r>
      <w:r w:rsidRPr="003F05E5">
        <w:rPr>
          <w:rFonts w:ascii="Times New Roman" w:hAnsi="Times New Roman"/>
          <w:i/>
          <w:sz w:val="24"/>
        </w:rPr>
        <w:t>Chapter 11</w:t>
      </w:r>
      <w:r w:rsidRPr="003F05E5">
        <w:rPr>
          <w:rFonts w:ascii="Times New Roman" w:hAnsi="Times New Roman"/>
          <w:sz w:val="24"/>
        </w:rPr>
        <w:t xml:space="preserve"> est en moyenne de 4.84 passant à 5.21 mais là aussi certaine</w:t>
      </w:r>
      <w:r w:rsidR="003F05E5">
        <w:rPr>
          <w:rFonts w:ascii="Times New Roman" w:hAnsi="Times New Roman"/>
          <w:sz w:val="24"/>
        </w:rPr>
        <w:t>s</w:t>
      </w:r>
      <w:r w:rsidRPr="003F05E5">
        <w:rPr>
          <w:rFonts w:ascii="Times New Roman" w:hAnsi="Times New Roman"/>
          <w:sz w:val="24"/>
        </w:rPr>
        <w:t xml:space="preserve"> entreprise</w:t>
      </w:r>
      <w:r w:rsidR="003F05E5">
        <w:rPr>
          <w:rFonts w:ascii="Times New Roman" w:hAnsi="Times New Roman"/>
          <w:sz w:val="24"/>
        </w:rPr>
        <w:t>s</w:t>
      </w:r>
      <w:r w:rsidRPr="003F05E5">
        <w:rPr>
          <w:rFonts w:ascii="Times New Roman" w:hAnsi="Times New Roman"/>
          <w:sz w:val="24"/>
        </w:rPr>
        <w:t xml:space="preserve"> </w:t>
      </w:r>
      <w:r w:rsidR="003F05E5">
        <w:rPr>
          <w:rFonts w:ascii="Times New Roman" w:hAnsi="Times New Roman"/>
          <w:sz w:val="24"/>
        </w:rPr>
        <w:t>ont des scores atypiques comme</w:t>
      </w:r>
      <w:r w:rsidRPr="003F05E5">
        <w:rPr>
          <w:rFonts w:ascii="Times New Roman" w:hAnsi="Times New Roman"/>
          <w:sz w:val="24"/>
        </w:rPr>
        <w:t xml:space="preserve"> Aurora Gas qui </w:t>
      </w:r>
      <w:r w:rsidR="003F05E5">
        <w:rPr>
          <w:rFonts w:ascii="Times New Roman" w:hAnsi="Times New Roman"/>
          <w:sz w:val="24"/>
        </w:rPr>
        <w:t>est passée</w:t>
      </w:r>
      <w:r w:rsidRPr="003F05E5">
        <w:rPr>
          <w:rFonts w:ascii="Times New Roman" w:hAnsi="Times New Roman"/>
          <w:sz w:val="24"/>
        </w:rPr>
        <w:t xml:space="preserve"> de 5.58 à 18.70. </w:t>
      </w:r>
    </w:p>
    <w:p w:rsidR="008064D7" w:rsidRDefault="008064D7" w:rsidP="00CC5766">
      <w:pPr>
        <w:spacing w:line="240" w:lineRule="auto"/>
        <w:rPr>
          <w:rFonts w:ascii="Times New Roman" w:hAnsi="Times New Roman"/>
          <w:sz w:val="24"/>
        </w:rPr>
      </w:pPr>
    </w:p>
    <w:p w:rsidR="008064D7" w:rsidRDefault="008064D7" w:rsidP="00CC5766">
      <w:pPr>
        <w:spacing w:line="240" w:lineRule="auto"/>
        <w:rPr>
          <w:rFonts w:ascii="Times New Roman" w:hAnsi="Times New Roman"/>
          <w:sz w:val="24"/>
        </w:rPr>
      </w:pPr>
    </w:p>
    <w:p w:rsidR="008064D7" w:rsidRDefault="003F05E5"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Pour les auteurs Américains, le succès tient essentiellement à la règle de priorité absolue.</w:t>
      </w:r>
      <w:r w:rsidRPr="003F05E5">
        <w:rPr>
          <w:rFonts w:ascii="Times New Roman" w:hAnsi="Times New Roman"/>
          <w:sz w:val="24"/>
        </w:rPr>
        <w:t xml:space="preserve"> </w:t>
      </w:r>
      <w:r>
        <w:rPr>
          <w:rFonts w:ascii="Times New Roman" w:hAnsi="Times New Roman"/>
          <w:sz w:val="24"/>
        </w:rPr>
        <w:t>Ces mêmes</w:t>
      </w:r>
      <w:r w:rsidR="008064D7" w:rsidRPr="007D32AB">
        <w:rPr>
          <w:rFonts w:ascii="Times New Roman" w:hAnsi="Times New Roman"/>
          <w:sz w:val="24"/>
        </w:rPr>
        <w:t xml:space="preserve"> auteurs </w:t>
      </w:r>
      <w:r w:rsidR="008064D7">
        <w:rPr>
          <w:rFonts w:ascii="Times New Roman" w:hAnsi="Times New Roman"/>
          <w:sz w:val="24"/>
        </w:rPr>
        <w:t xml:space="preserve">ont relevé de suite que la </w:t>
      </w:r>
      <w:r w:rsidR="008064D7" w:rsidRPr="007D32AB">
        <w:rPr>
          <w:rFonts w:ascii="Times New Roman" w:hAnsi="Times New Roman"/>
          <w:sz w:val="24"/>
        </w:rPr>
        <w:t xml:space="preserve">règle de la priorité relative introduite par la directive </w:t>
      </w:r>
      <w:r w:rsidR="008064D7">
        <w:rPr>
          <w:rFonts w:ascii="Times New Roman" w:hAnsi="Times New Roman"/>
          <w:sz w:val="24"/>
        </w:rPr>
        <w:t>(</w:t>
      </w:r>
      <w:r w:rsidR="008064D7" w:rsidRPr="007D32AB">
        <w:rPr>
          <w:rFonts w:ascii="Times New Roman" w:hAnsi="Times New Roman"/>
          <w:sz w:val="24"/>
        </w:rPr>
        <w:t>et que les Etats pourraient</w:t>
      </w:r>
      <w:r w:rsidR="008064D7">
        <w:rPr>
          <w:rFonts w:ascii="Times New Roman" w:hAnsi="Times New Roman"/>
          <w:sz w:val="24"/>
        </w:rPr>
        <w:t xml:space="preserve"> choisir) pourrait</w:t>
      </w:r>
      <w:r>
        <w:rPr>
          <w:rFonts w:ascii="Times New Roman" w:hAnsi="Times New Roman"/>
          <w:sz w:val="24"/>
        </w:rPr>
        <w:t>, selon eux,</w:t>
      </w:r>
      <w:r w:rsidR="008064D7" w:rsidRPr="007D32AB">
        <w:rPr>
          <w:rFonts w:ascii="Times New Roman" w:hAnsi="Times New Roman"/>
          <w:sz w:val="24"/>
        </w:rPr>
        <w:t xml:space="preserve"> modifier substantiellement l’équilibre des procédures</w:t>
      </w:r>
      <w:r w:rsidR="008064D7">
        <w:rPr>
          <w:rFonts w:ascii="Times New Roman" w:hAnsi="Times New Roman"/>
          <w:sz w:val="24"/>
        </w:rPr>
        <w:t xml:space="preserve"> </w:t>
      </w:r>
      <w:r w:rsidR="008064D7" w:rsidRPr="007D32AB">
        <w:rPr>
          <w:rFonts w:ascii="Times New Roman" w:hAnsi="Times New Roman"/>
          <w:sz w:val="24"/>
        </w:rPr>
        <w:t xml:space="preserve">car </w:t>
      </w:r>
      <w:r w:rsidR="00E11D7F">
        <w:rPr>
          <w:rFonts w:ascii="Times New Roman" w:hAnsi="Times New Roman"/>
          <w:sz w:val="24"/>
        </w:rPr>
        <w:t>ce changement transforme la</w:t>
      </w:r>
      <w:r w:rsidR="008064D7" w:rsidRPr="007D32AB">
        <w:rPr>
          <w:rFonts w:ascii="Times New Roman" w:hAnsi="Times New Roman"/>
          <w:sz w:val="24"/>
        </w:rPr>
        <w:t xml:space="preserve"> procédure </w:t>
      </w:r>
      <w:r w:rsidR="00E11D7F">
        <w:rPr>
          <w:rFonts w:ascii="Times New Roman" w:hAnsi="Times New Roman"/>
          <w:sz w:val="24"/>
        </w:rPr>
        <w:t xml:space="preserve">en une procédure </w:t>
      </w:r>
      <w:r w:rsidR="008064D7" w:rsidRPr="007D32AB">
        <w:rPr>
          <w:rFonts w:ascii="Times New Roman" w:hAnsi="Times New Roman"/>
          <w:sz w:val="24"/>
        </w:rPr>
        <w:t>où le juge imposera le plan là où elles devraient être principalement des procédures contractuelles</w:t>
      </w:r>
      <w:r w:rsidR="008064D7">
        <w:rPr>
          <w:rStyle w:val="Appelnotedebasdep"/>
          <w:rFonts w:ascii="Times New Roman" w:hAnsi="Times New Roman"/>
          <w:sz w:val="24"/>
        </w:rPr>
        <w:footnoteReference w:id="26"/>
      </w:r>
      <w:r w:rsidR="008064D7" w:rsidRPr="007D32AB">
        <w:rPr>
          <w:rFonts w:ascii="Times New Roman" w:hAnsi="Times New Roman"/>
          <w:sz w:val="24"/>
        </w:rPr>
        <w:t xml:space="preserve">. </w:t>
      </w:r>
    </w:p>
    <w:p w:rsidR="008064D7" w:rsidRDefault="008064D7" w:rsidP="0048428B">
      <w:pPr>
        <w:pStyle w:val="Paragraphedeliste"/>
        <w:spacing w:line="240" w:lineRule="auto"/>
        <w:ind w:left="786"/>
        <w:rPr>
          <w:rFonts w:ascii="Times New Roman" w:hAnsi="Times New Roman"/>
          <w:sz w:val="24"/>
          <w:u w:val="single"/>
        </w:rPr>
      </w:pPr>
    </w:p>
    <w:p w:rsidR="008064D7" w:rsidRPr="007D32AB" w:rsidRDefault="008064D7" w:rsidP="0048428B">
      <w:pPr>
        <w:pStyle w:val="Paragraphedeliste"/>
        <w:spacing w:line="240" w:lineRule="auto"/>
        <w:ind w:left="786"/>
        <w:rPr>
          <w:rFonts w:ascii="Times New Roman" w:hAnsi="Times New Roman"/>
          <w:sz w:val="24"/>
        </w:rPr>
      </w:pPr>
      <w:r w:rsidRPr="007D32AB">
        <w:rPr>
          <w:rFonts w:ascii="Times New Roman" w:hAnsi="Times New Roman"/>
          <w:sz w:val="24"/>
        </w:rPr>
        <w:t xml:space="preserve">Pour ces auteurs, la règle </w:t>
      </w:r>
      <w:r>
        <w:rPr>
          <w:rFonts w:ascii="Times New Roman" w:hAnsi="Times New Roman"/>
          <w:sz w:val="24"/>
        </w:rPr>
        <w:t xml:space="preserve">de priorité </w:t>
      </w:r>
      <w:r w:rsidRPr="007D32AB">
        <w:rPr>
          <w:rFonts w:ascii="Times New Roman" w:hAnsi="Times New Roman"/>
          <w:sz w:val="24"/>
        </w:rPr>
        <w:t xml:space="preserve">absolue </w:t>
      </w:r>
      <w:r>
        <w:rPr>
          <w:rFonts w:ascii="Times New Roman" w:hAnsi="Times New Roman"/>
          <w:sz w:val="24"/>
        </w:rPr>
        <w:t>aboutit à</w:t>
      </w:r>
      <w:r w:rsidRPr="007D32AB">
        <w:rPr>
          <w:rFonts w:ascii="Times New Roman" w:hAnsi="Times New Roman"/>
          <w:sz w:val="24"/>
        </w:rPr>
        <w:t xml:space="preserve"> la nécessité de trouver une classe de créancier junior qui adhère au plan comme condition nécessaire au </w:t>
      </w:r>
      <w:r w:rsidRPr="007C17D3">
        <w:rPr>
          <w:rFonts w:ascii="Times New Roman" w:hAnsi="Times New Roman"/>
          <w:i/>
          <w:sz w:val="24"/>
        </w:rPr>
        <w:t>Cram-down</w:t>
      </w:r>
      <w:r w:rsidRPr="007D32AB">
        <w:rPr>
          <w:rFonts w:ascii="Times New Roman" w:hAnsi="Times New Roman"/>
          <w:sz w:val="24"/>
        </w:rPr>
        <w:t xml:space="preserve"> sur </w:t>
      </w:r>
      <w:r w:rsidRPr="007D32AB">
        <w:rPr>
          <w:rFonts w:ascii="Times New Roman" w:hAnsi="Times New Roman"/>
          <w:sz w:val="24"/>
        </w:rPr>
        <w:lastRenderedPageBreak/>
        <w:t>base de la valeur de l’entreprise</w:t>
      </w:r>
      <w:r>
        <w:rPr>
          <w:rFonts w:ascii="Times New Roman" w:hAnsi="Times New Roman"/>
          <w:sz w:val="24"/>
        </w:rPr>
        <w:t>, ce</w:t>
      </w:r>
      <w:r w:rsidRPr="007D32AB">
        <w:rPr>
          <w:rFonts w:ascii="Times New Roman" w:hAnsi="Times New Roman"/>
          <w:sz w:val="24"/>
        </w:rPr>
        <w:t xml:space="preserve"> qui laisse aux créanciers senior</w:t>
      </w:r>
      <w:r>
        <w:rPr>
          <w:rFonts w:ascii="Times New Roman" w:hAnsi="Times New Roman"/>
          <w:sz w:val="24"/>
        </w:rPr>
        <w:t>s</w:t>
      </w:r>
      <w:r w:rsidRPr="007D32AB">
        <w:rPr>
          <w:rFonts w:ascii="Times New Roman" w:hAnsi="Times New Roman"/>
          <w:sz w:val="24"/>
        </w:rPr>
        <w:t xml:space="preserve"> une partie suffisante du paiement, </w:t>
      </w:r>
      <w:r>
        <w:rPr>
          <w:rFonts w:ascii="Times New Roman" w:hAnsi="Times New Roman"/>
          <w:sz w:val="24"/>
        </w:rPr>
        <w:t xml:space="preserve">les </w:t>
      </w:r>
      <w:r w:rsidRPr="007D32AB">
        <w:rPr>
          <w:rFonts w:ascii="Times New Roman" w:hAnsi="Times New Roman"/>
          <w:sz w:val="24"/>
        </w:rPr>
        <w:t>oblige</w:t>
      </w:r>
      <w:r>
        <w:rPr>
          <w:rFonts w:ascii="Times New Roman" w:hAnsi="Times New Roman"/>
          <w:sz w:val="24"/>
        </w:rPr>
        <w:t>a</w:t>
      </w:r>
      <w:r w:rsidRPr="007D32AB">
        <w:rPr>
          <w:rFonts w:ascii="Times New Roman" w:hAnsi="Times New Roman"/>
          <w:sz w:val="24"/>
        </w:rPr>
        <w:t>nt - par l’entremise de la négociation sur la valeur- à tomber d’accord pour ne pas prendre le risque d’une décision du juge qui fixerait</w:t>
      </w:r>
      <w:r>
        <w:rPr>
          <w:rFonts w:ascii="Times New Roman" w:hAnsi="Times New Roman"/>
          <w:sz w:val="24"/>
        </w:rPr>
        <w:t xml:space="preserve"> une</w:t>
      </w:r>
      <w:r w:rsidRPr="007D32AB">
        <w:rPr>
          <w:rFonts w:ascii="Times New Roman" w:hAnsi="Times New Roman"/>
          <w:sz w:val="24"/>
        </w:rPr>
        <w:t xml:space="preserve"> valeur en de</w:t>
      </w:r>
      <w:r>
        <w:rPr>
          <w:rFonts w:ascii="Times New Roman" w:hAnsi="Times New Roman"/>
          <w:sz w:val="24"/>
        </w:rPr>
        <w:t>çà</w:t>
      </w:r>
      <w:r w:rsidRPr="007D32AB">
        <w:rPr>
          <w:rFonts w:ascii="Times New Roman" w:hAnsi="Times New Roman"/>
          <w:sz w:val="24"/>
        </w:rPr>
        <w:t xml:space="preserve"> de leurs droits.</w:t>
      </w:r>
    </w:p>
    <w:p w:rsidR="008064D7" w:rsidRDefault="008064D7" w:rsidP="00C779B6">
      <w:pPr>
        <w:pStyle w:val="Paragraphedeliste"/>
        <w:spacing w:line="240" w:lineRule="auto"/>
        <w:ind w:left="786"/>
        <w:rPr>
          <w:rFonts w:ascii="Times New Roman" w:hAnsi="Times New Roman"/>
          <w:sz w:val="24"/>
          <w:u w:val="single"/>
        </w:rPr>
      </w:pPr>
    </w:p>
    <w:p w:rsidR="00E11D7F" w:rsidRDefault="008064D7" w:rsidP="00F477B4">
      <w:pPr>
        <w:pStyle w:val="Paragraphedeliste"/>
        <w:spacing w:line="240" w:lineRule="auto"/>
        <w:ind w:left="786"/>
      </w:pPr>
      <w:r w:rsidRPr="00F862A2">
        <w:rPr>
          <w:rFonts w:ascii="Times New Roman" w:hAnsi="Times New Roman"/>
          <w:sz w:val="24"/>
        </w:rPr>
        <w:t>Les classes</w:t>
      </w:r>
      <w:r>
        <w:rPr>
          <w:rFonts w:ascii="Times New Roman" w:hAnsi="Times New Roman"/>
          <w:sz w:val="24"/>
        </w:rPr>
        <w:t xml:space="preserve"> inférieures de créanciers sont, dans ce dialogue, </w:t>
      </w:r>
      <w:r w:rsidRPr="00F862A2">
        <w:rPr>
          <w:rFonts w:ascii="Times New Roman" w:hAnsi="Times New Roman"/>
          <w:sz w:val="24"/>
        </w:rPr>
        <w:t>protégées par les règles de majorités</w:t>
      </w:r>
      <w:r w:rsidR="00E11D7F">
        <w:rPr>
          <w:rFonts w:ascii="Times New Roman" w:hAnsi="Times New Roman"/>
          <w:sz w:val="24"/>
        </w:rPr>
        <w:t xml:space="preserve"> au sein des classes, </w:t>
      </w:r>
      <w:r>
        <w:rPr>
          <w:rFonts w:ascii="Times New Roman" w:hAnsi="Times New Roman"/>
          <w:sz w:val="24"/>
        </w:rPr>
        <w:t>par la règle de la majorité des classes votant favorablement</w:t>
      </w:r>
      <w:r w:rsidRPr="00F862A2">
        <w:rPr>
          <w:rFonts w:ascii="Times New Roman" w:hAnsi="Times New Roman"/>
          <w:sz w:val="24"/>
        </w:rPr>
        <w:t xml:space="preserve">, mais surtout par la règle du </w:t>
      </w:r>
      <w:r w:rsidRPr="007C17D3">
        <w:rPr>
          <w:rFonts w:ascii="Times New Roman" w:hAnsi="Times New Roman"/>
          <w:i/>
          <w:sz w:val="24"/>
        </w:rPr>
        <w:t>Best interest</w:t>
      </w:r>
      <w:r w:rsidRPr="00F477B4">
        <w:rPr>
          <w:rFonts w:ascii="Times New Roman" w:hAnsi="Times New Roman"/>
          <w:i/>
          <w:sz w:val="24"/>
        </w:rPr>
        <w:t xml:space="preserve"> of creditors</w:t>
      </w:r>
      <w:r>
        <w:rPr>
          <w:rFonts w:ascii="Times New Roman" w:hAnsi="Times New Roman"/>
          <w:sz w:val="24"/>
        </w:rPr>
        <w:t xml:space="preserve"> qui veut que les créanciers, y compris </w:t>
      </w:r>
      <w:r w:rsidRPr="007C17D3">
        <w:rPr>
          <w:rFonts w:ascii="Times New Roman" w:hAnsi="Times New Roman"/>
          <w:i/>
          <w:sz w:val="24"/>
        </w:rPr>
        <w:t>Unsecured</w:t>
      </w:r>
      <w:r>
        <w:rPr>
          <w:rFonts w:ascii="Times New Roman" w:hAnsi="Times New Roman"/>
          <w:sz w:val="24"/>
        </w:rPr>
        <w:t xml:space="preserve">, </w:t>
      </w:r>
      <w:r w:rsidRPr="00F862A2">
        <w:rPr>
          <w:rFonts w:ascii="Times New Roman" w:hAnsi="Times New Roman"/>
          <w:sz w:val="24"/>
        </w:rPr>
        <w:t>ne puissent avoir moins qu’en valeur de liquidation</w:t>
      </w:r>
      <w:r>
        <w:rPr>
          <w:rStyle w:val="Appelnotedebasdep"/>
          <w:rFonts w:ascii="Times New Roman" w:hAnsi="Times New Roman"/>
          <w:sz w:val="24"/>
        </w:rPr>
        <w:footnoteReference w:id="27"/>
      </w:r>
      <w:r>
        <w:t xml:space="preserve">. </w:t>
      </w:r>
    </w:p>
    <w:p w:rsidR="00E11D7F" w:rsidRDefault="00E11D7F" w:rsidP="00F477B4">
      <w:pPr>
        <w:pStyle w:val="Paragraphedeliste"/>
        <w:spacing w:line="240" w:lineRule="auto"/>
        <w:ind w:left="786"/>
      </w:pPr>
    </w:p>
    <w:p w:rsidR="008064D7" w:rsidRPr="00F477B4" w:rsidRDefault="008064D7" w:rsidP="00F477B4">
      <w:pPr>
        <w:pStyle w:val="Paragraphedeliste"/>
        <w:spacing w:line="240" w:lineRule="auto"/>
        <w:ind w:left="786"/>
        <w:rPr>
          <w:rFonts w:ascii="Times New Roman" w:hAnsi="Times New Roman"/>
          <w:i/>
          <w:sz w:val="24"/>
        </w:rPr>
      </w:pPr>
      <w:r>
        <w:rPr>
          <w:rFonts w:ascii="Times New Roman" w:hAnsi="Times New Roman"/>
          <w:sz w:val="24"/>
        </w:rPr>
        <w:t>Il ne faut pas oublier que d</w:t>
      </w:r>
      <w:r w:rsidRPr="00F862A2">
        <w:rPr>
          <w:rFonts w:ascii="Times New Roman" w:hAnsi="Times New Roman"/>
          <w:sz w:val="24"/>
        </w:rPr>
        <w:t xml:space="preserve">ans le régime américain, la première phase du </w:t>
      </w:r>
      <w:r w:rsidRPr="007C17D3">
        <w:rPr>
          <w:rFonts w:ascii="Times New Roman" w:hAnsi="Times New Roman"/>
          <w:i/>
          <w:sz w:val="24"/>
        </w:rPr>
        <w:t>Chapter 11</w:t>
      </w:r>
      <w:r w:rsidRPr="00F477B4">
        <w:rPr>
          <w:rFonts w:ascii="Times New Roman" w:hAnsi="Times New Roman"/>
          <w:sz w:val="24"/>
        </w:rPr>
        <w:t xml:space="preserve"> est à la direction du seul débiteur dans une procédure de type conventionnel. Le débiteur doit fournir, de manière absolument et nécessairement transparente, tous les éléments qui fondent une valorisation, ce qui conduit à des négociations entre parties. Cette valeur est discutée sur base des rapports ou des preuves apportées par les créanciers. Si aucun accord n’intervient sur le plan et ainsi sur la valeur, le risque pour le débiteur est la présentation d’un plan par les créanciers</w:t>
      </w:r>
      <w:r>
        <w:rPr>
          <w:rStyle w:val="Appelnotedebasdep"/>
          <w:rFonts w:ascii="Times New Roman" w:hAnsi="Times New Roman"/>
          <w:sz w:val="24"/>
        </w:rPr>
        <w:footnoteReference w:id="28"/>
      </w:r>
      <w:r w:rsidRPr="00F477B4">
        <w:rPr>
          <w:rFonts w:ascii="Times New Roman" w:hAnsi="Times New Roman"/>
          <w:sz w:val="24"/>
        </w:rPr>
        <w:t xml:space="preserve">, dans la seconde phase, qui présenteront des valeurs différentes et des propositions différentes. Si le plan n’est pas approuvé consensuellement, la procédure de </w:t>
      </w:r>
      <w:r w:rsidRPr="007C17D3">
        <w:rPr>
          <w:rFonts w:ascii="Times New Roman" w:hAnsi="Times New Roman"/>
          <w:i/>
          <w:sz w:val="24"/>
        </w:rPr>
        <w:t>Cram-down</w:t>
      </w:r>
      <w:r w:rsidRPr="00F477B4">
        <w:rPr>
          <w:rFonts w:ascii="Times New Roman" w:hAnsi="Times New Roman"/>
          <w:sz w:val="24"/>
        </w:rPr>
        <w:t xml:space="preserve"> se </w:t>
      </w:r>
      <w:r w:rsidR="00E11D7F">
        <w:rPr>
          <w:rFonts w:ascii="Times New Roman" w:hAnsi="Times New Roman"/>
          <w:sz w:val="24"/>
        </w:rPr>
        <w:t>basera</w:t>
      </w:r>
      <w:r w:rsidRPr="00F477B4">
        <w:rPr>
          <w:rFonts w:ascii="Times New Roman" w:hAnsi="Times New Roman"/>
          <w:sz w:val="24"/>
        </w:rPr>
        <w:t xml:space="preserve"> sur base de la règle de priorité absolue où la valeur de l’entreprise est évaluée  </w:t>
      </w:r>
      <w:r w:rsidRPr="007C17D3">
        <w:rPr>
          <w:rFonts w:ascii="Times New Roman" w:hAnsi="Times New Roman"/>
          <w:i/>
          <w:sz w:val="24"/>
        </w:rPr>
        <w:t>going-concern</w:t>
      </w:r>
      <w:r>
        <w:rPr>
          <w:rStyle w:val="Appelnotedebasdep"/>
          <w:rFonts w:ascii="Times New Roman" w:hAnsi="Times New Roman"/>
          <w:sz w:val="24"/>
        </w:rPr>
        <w:footnoteReference w:id="29"/>
      </w:r>
      <w:r w:rsidRPr="00F477B4">
        <w:rPr>
          <w:rFonts w:ascii="Times New Roman" w:hAnsi="Times New Roman"/>
          <w:sz w:val="24"/>
        </w:rPr>
        <w:t xml:space="preserve">. </w:t>
      </w:r>
    </w:p>
    <w:p w:rsidR="008064D7" w:rsidRDefault="008064D7" w:rsidP="007D32AB">
      <w:pPr>
        <w:pStyle w:val="Paragraphedeliste"/>
        <w:spacing w:line="240" w:lineRule="auto"/>
        <w:ind w:left="786"/>
        <w:rPr>
          <w:rFonts w:ascii="Times New Roman" w:hAnsi="Times New Roman"/>
          <w:sz w:val="24"/>
        </w:rPr>
      </w:pPr>
    </w:p>
    <w:p w:rsidR="008064D7" w:rsidRPr="00C779B6"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force du système « </w:t>
      </w:r>
      <w:r w:rsidRPr="007C17D3">
        <w:rPr>
          <w:rFonts w:ascii="Times New Roman" w:hAnsi="Times New Roman"/>
          <w:i/>
          <w:sz w:val="24"/>
          <w:u w:val="single"/>
        </w:rPr>
        <w:t>In the money</w:t>
      </w:r>
      <w:r>
        <w:rPr>
          <w:rFonts w:ascii="Times New Roman" w:hAnsi="Times New Roman"/>
          <w:sz w:val="24"/>
          <w:u w:val="single"/>
        </w:rPr>
        <w:t> » réside dans la prise en compte</w:t>
      </w:r>
      <w:r w:rsidR="00E11D7F">
        <w:rPr>
          <w:rFonts w:ascii="Times New Roman" w:hAnsi="Times New Roman"/>
          <w:sz w:val="24"/>
          <w:u w:val="single"/>
        </w:rPr>
        <w:t>,</w:t>
      </w:r>
      <w:r>
        <w:rPr>
          <w:rFonts w:ascii="Times New Roman" w:hAnsi="Times New Roman"/>
          <w:sz w:val="24"/>
          <w:u w:val="single"/>
        </w:rPr>
        <w:t xml:space="preserve"> comme concept clé</w:t>
      </w:r>
      <w:r w:rsidR="00E11D7F">
        <w:rPr>
          <w:rFonts w:ascii="Times New Roman" w:hAnsi="Times New Roman"/>
          <w:sz w:val="24"/>
          <w:u w:val="single"/>
        </w:rPr>
        <w:t>,</w:t>
      </w:r>
      <w:r>
        <w:rPr>
          <w:rFonts w:ascii="Times New Roman" w:hAnsi="Times New Roman"/>
          <w:sz w:val="24"/>
          <w:u w:val="single"/>
        </w:rPr>
        <w:t xml:space="preserve"> de la valeur </w:t>
      </w:r>
      <w:r w:rsidR="00E11D7F">
        <w:rPr>
          <w:rFonts w:ascii="Times New Roman" w:hAnsi="Times New Roman"/>
          <w:sz w:val="24"/>
          <w:u w:val="single"/>
        </w:rPr>
        <w:t xml:space="preserve">going-concern </w:t>
      </w:r>
      <w:r>
        <w:rPr>
          <w:rFonts w:ascii="Times New Roman" w:hAnsi="Times New Roman"/>
          <w:sz w:val="24"/>
          <w:u w:val="single"/>
        </w:rPr>
        <w:t xml:space="preserve">qui est pourtant </w:t>
      </w:r>
      <w:r w:rsidRPr="00C779B6">
        <w:rPr>
          <w:rFonts w:ascii="Times New Roman" w:hAnsi="Times New Roman"/>
          <w:sz w:val="24"/>
          <w:u w:val="single"/>
        </w:rPr>
        <w:t>difficile à déterminer de manière précise</w:t>
      </w:r>
      <w:r>
        <w:rPr>
          <w:rStyle w:val="Appelnotedebasdep"/>
          <w:rFonts w:ascii="Times New Roman" w:hAnsi="Times New Roman"/>
          <w:sz w:val="24"/>
          <w:u w:val="single"/>
        </w:rPr>
        <w:footnoteReference w:id="30"/>
      </w:r>
      <w:r w:rsidRPr="00C779B6">
        <w:rPr>
          <w:rFonts w:ascii="Times New Roman" w:hAnsi="Times New Roman"/>
          <w:sz w:val="24"/>
        </w:rPr>
        <w:t xml:space="preserve">. </w:t>
      </w:r>
      <w:r>
        <w:rPr>
          <w:rFonts w:ascii="Times New Roman" w:hAnsi="Times New Roman"/>
          <w:sz w:val="24"/>
        </w:rPr>
        <w:t>A lire les auteurs américains toutefois, c’est cette difficulté et ces aléas qui font l’efficacité de la procédure.</w:t>
      </w:r>
    </w:p>
    <w:p w:rsidR="008064D7" w:rsidRDefault="008064D7" w:rsidP="00806B4D">
      <w:pPr>
        <w:pStyle w:val="Paragraphedeliste"/>
        <w:spacing w:line="240" w:lineRule="auto"/>
        <w:ind w:left="786"/>
        <w:rPr>
          <w:rFonts w:ascii="Times New Roman" w:hAnsi="Times New Roman"/>
          <w:sz w:val="24"/>
        </w:rPr>
      </w:pPr>
    </w:p>
    <w:p w:rsidR="008064D7" w:rsidRPr="000B4DB3" w:rsidRDefault="00E11D7F" w:rsidP="000B4DB3">
      <w:pPr>
        <w:pStyle w:val="Paragraphedeliste"/>
        <w:spacing w:line="240" w:lineRule="auto"/>
        <w:ind w:left="786"/>
        <w:rPr>
          <w:rFonts w:ascii="Times New Roman" w:hAnsi="Times New Roman"/>
          <w:sz w:val="24"/>
        </w:rPr>
      </w:pPr>
      <w:r w:rsidRPr="00E11D7F">
        <w:rPr>
          <w:rFonts w:ascii="Times New Roman" w:hAnsi="Times New Roman"/>
          <w:sz w:val="24"/>
        </w:rPr>
        <w:t xml:space="preserve">Pourtant, ces notions nous sont connues. </w:t>
      </w:r>
      <w:r w:rsidR="008064D7" w:rsidRPr="00711E89">
        <w:rPr>
          <w:rFonts w:ascii="Times New Roman" w:hAnsi="Times New Roman"/>
          <w:sz w:val="24"/>
          <w:u w:val="single"/>
        </w:rPr>
        <w:t>La valeur de liquidation</w:t>
      </w:r>
      <w:r w:rsidR="008064D7">
        <w:rPr>
          <w:rFonts w:ascii="Times New Roman" w:hAnsi="Times New Roman"/>
          <w:sz w:val="24"/>
        </w:rPr>
        <w:t>, qui est une notion que nous connaissons à l’article XX.87</w:t>
      </w:r>
      <w:r>
        <w:rPr>
          <w:rFonts w:ascii="Times New Roman" w:hAnsi="Times New Roman"/>
          <w:sz w:val="24"/>
        </w:rPr>
        <w:t xml:space="preserve"> §1</w:t>
      </w:r>
      <w:r w:rsidR="008064D7">
        <w:rPr>
          <w:rFonts w:ascii="Times New Roman" w:hAnsi="Times New Roman"/>
          <w:sz w:val="24"/>
        </w:rPr>
        <w:t xml:space="preserve"> du Code de droit économique, renvoie, </w:t>
      </w:r>
      <w:r w:rsidR="008064D7" w:rsidRPr="00F477B4">
        <w:rPr>
          <w:rFonts w:ascii="Times New Roman" w:hAnsi="Times New Roman"/>
          <w:i/>
          <w:sz w:val="24"/>
        </w:rPr>
        <w:t>prima facies</w:t>
      </w:r>
      <w:r w:rsidR="008064D7">
        <w:rPr>
          <w:rFonts w:ascii="Times New Roman" w:hAnsi="Times New Roman"/>
          <w:sz w:val="24"/>
        </w:rPr>
        <w:t xml:space="preserve">, à une valeur aisée à déterminer. Ce n’est cependant peut-être pas si </w:t>
      </w:r>
      <w:r>
        <w:rPr>
          <w:rFonts w:ascii="Times New Roman" w:hAnsi="Times New Roman"/>
          <w:sz w:val="24"/>
        </w:rPr>
        <w:t>simple</w:t>
      </w:r>
      <w:r w:rsidR="008064D7">
        <w:rPr>
          <w:rFonts w:ascii="Times New Roman" w:hAnsi="Times New Roman"/>
          <w:sz w:val="24"/>
        </w:rPr>
        <w:t> : nous verrons</w:t>
      </w:r>
      <w:r w:rsidR="008064D7">
        <w:rPr>
          <w:rStyle w:val="Appelnotedebasdep"/>
          <w:rFonts w:ascii="Times New Roman" w:hAnsi="Times New Roman"/>
          <w:sz w:val="24"/>
        </w:rPr>
        <w:footnoteReference w:id="31"/>
      </w:r>
      <w:r w:rsidR="008064D7">
        <w:rPr>
          <w:rFonts w:ascii="Times New Roman" w:hAnsi="Times New Roman"/>
          <w:sz w:val="24"/>
        </w:rPr>
        <w:t xml:space="preserve"> que même en droit interne actuel, cette valeur est source de discussions. S’agit-il de la valeur estimée par des experts ou de la valeur qui résulte d’un appel d’offre concret réalisé dans la procédure et qui s’assimile à un test d’un marché ? S’agit-il de la vente rapide des biens ou d’une vente qui prendrait son temps ? S</w:t>
      </w:r>
      <w:r w:rsidR="008064D7" w:rsidRPr="000B4DB3">
        <w:rPr>
          <w:rFonts w:ascii="Times New Roman" w:hAnsi="Times New Roman"/>
          <w:sz w:val="24"/>
        </w:rPr>
        <w:t>’agit-il d’une vente avec des activités en place ou une vente sans aucune activité en place et sans valeur de rendement immédiate ? S’agit-il d’une valeur par pièce ou par bloc ou en tout ?  L’expérience américaine de détermination de cette valeur de liquidation sera utile pour éventuellement mieux définir, dans la loi de transposition, les éléments à prendre en compte car cette valeur de liquidation est connue des tribunaux américain</w:t>
      </w:r>
      <w:r w:rsidR="008064D7">
        <w:rPr>
          <w:rStyle w:val="Appelnotedebasdep"/>
          <w:rFonts w:ascii="Times New Roman" w:hAnsi="Times New Roman"/>
          <w:sz w:val="24"/>
        </w:rPr>
        <w:footnoteReference w:id="32"/>
      </w:r>
      <w:r w:rsidR="008064D7">
        <w:t xml:space="preserve">, </w:t>
      </w:r>
      <w:r w:rsidR="008064D7" w:rsidRPr="000B4DB3">
        <w:rPr>
          <w:rFonts w:ascii="Times New Roman" w:hAnsi="Times New Roman"/>
          <w:sz w:val="24"/>
        </w:rPr>
        <w:t>depuis la meilleure valeur de liquidation possible jusqu’à la valeur pièce par pièce des actifs</w:t>
      </w:r>
      <w:r w:rsidR="008064D7">
        <w:rPr>
          <w:rFonts w:ascii="Times New Roman" w:hAnsi="Times New Roman"/>
          <w:sz w:val="24"/>
        </w:rPr>
        <w:t xml:space="preserve"> (</w:t>
      </w:r>
      <w:r w:rsidR="008064D7" w:rsidRPr="000B4DB3">
        <w:rPr>
          <w:rFonts w:ascii="Times New Roman" w:hAnsi="Times New Roman"/>
          <w:i/>
          <w:sz w:val="24"/>
        </w:rPr>
        <w:t xml:space="preserve">Piecemeal </w:t>
      </w:r>
      <w:r w:rsidR="008064D7" w:rsidRPr="007C17D3">
        <w:rPr>
          <w:rFonts w:ascii="Times New Roman" w:hAnsi="Times New Roman"/>
          <w:i/>
          <w:sz w:val="24"/>
        </w:rPr>
        <w:t>value</w:t>
      </w:r>
      <w:r w:rsidR="008064D7" w:rsidRPr="000B4DB3">
        <w:rPr>
          <w:rFonts w:ascii="Times New Roman" w:hAnsi="Times New Roman"/>
          <w:sz w:val="24"/>
        </w:rPr>
        <w:t xml:space="preserve">). </w:t>
      </w:r>
    </w:p>
    <w:p w:rsidR="008064D7" w:rsidRPr="00D32156" w:rsidRDefault="008064D7" w:rsidP="00D32156">
      <w:pPr>
        <w:spacing w:line="240" w:lineRule="auto"/>
        <w:rPr>
          <w:rFonts w:ascii="Times New Roman" w:hAnsi="Times New Roman"/>
          <w:sz w:val="24"/>
        </w:rPr>
      </w:pPr>
    </w:p>
    <w:p w:rsidR="008064D7" w:rsidRDefault="008064D7" w:rsidP="00F862A2">
      <w:pPr>
        <w:pStyle w:val="Paragraphedeliste"/>
        <w:spacing w:line="240" w:lineRule="auto"/>
        <w:ind w:left="786"/>
        <w:rPr>
          <w:rFonts w:ascii="Times New Roman" w:hAnsi="Times New Roman"/>
          <w:sz w:val="24"/>
        </w:rPr>
      </w:pPr>
      <w:r w:rsidRPr="00711E89">
        <w:rPr>
          <w:rFonts w:ascii="Times New Roman" w:hAnsi="Times New Roman"/>
          <w:sz w:val="24"/>
          <w:u w:val="single"/>
        </w:rPr>
        <w:t xml:space="preserve">La valeur d’une entreprise </w:t>
      </w:r>
      <w:r>
        <w:rPr>
          <w:rFonts w:ascii="Times New Roman" w:hAnsi="Times New Roman"/>
          <w:sz w:val="24"/>
          <w:u w:val="single"/>
        </w:rPr>
        <w:t xml:space="preserve">ou d’un actif en </w:t>
      </w:r>
      <w:r w:rsidRPr="007C17D3">
        <w:rPr>
          <w:rFonts w:ascii="Times New Roman" w:hAnsi="Times New Roman"/>
          <w:i/>
          <w:sz w:val="24"/>
          <w:u w:val="single"/>
        </w:rPr>
        <w:t>going-concern</w:t>
      </w:r>
      <w:r>
        <w:rPr>
          <w:rFonts w:ascii="Times New Roman" w:hAnsi="Times New Roman"/>
          <w:sz w:val="24"/>
          <w:u w:val="single"/>
        </w:rPr>
        <w:t xml:space="preserve"> (en activité)</w:t>
      </w:r>
      <w:r>
        <w:rPr>
          <w:rFonts w:ascii="Times New Roman" w:hAnsi="Times New Roman"/>
          <w:sz w:val="24"/>
        </w:rPr>
        <w:t xml:space="preserve"> est aussi une </w:t>
      </w:r>
      <w:r w:rsidR="00E11D7F">
        <w:rPr>
          <w:rFonts w:ascii="Times New Roman" w:hAnsi="Times New Roman"/>
          <w:sz w:val="24"/>
        </w:rPr>
        <w:t>notion</w:t>
      </w:r>
      <w:r>
        <w:rPr>
          <w:rFonts w:ascii="Times New Roman" w:hAnsi="Times New Roman"/>
          <w:sz w:val="24"/>
        </w:rPr>
        <w:t xml:space="preserve"> que notre droit interne connait</w:t>
      </w:r>
      <w:r w:rsidR="00E11D7F">
        <w:rPr>
          <w:rFonts w:ascii="Times New Roman" w:hAnsi="Times New Roman"/>
          <w:sz w:val="24"/>
        </w:rPr>
        <w:t xml:space="preserve"> (art. I.22 14</w:t>
      </w:r>
      <w:r w:rsidR="00E11D7F" w:rsidRPr="00E11D7F">
        <w:rPr>
          <w:rFonts w:ascii="Times New Roman" w:hAnsi="Times New Roman"/>
          <w:sz w:val="24"/>
          <w:vertAlign w:val="superscript"/>
        </w:rPr>
        <w:t>ème</w:t>
      </w:r>
      <w:r w:rsidR="00E11D7F">
        <w:rPr>
          <w:rFonts w:ascii="Times New Roman" w:hAnsi="Times New Roman"/>
          <w:sz w:val="24"/>
        </w:rPr>
        <w:t>)</w:t>
      </w:r>
      <w:r>
        <w:rPr>
          <w:rFonts w:ascii="Times New Roman" w:hAnsi="Times New Roman"/>
          <w:sz w:val="24"/>
        </w:rPr>
        <w:t xml:space="preserve"> lorsqu’il faut déterminer la valeur </w:t>
      </w:r>
      <w:r>
        <w:rPr>
          <w:rFonts w:ascii="Times New Roman" w:hAnsi="Times New Roman"/>
          <w:sz w:val="24"/>
        </w:rPr>
        <w:lastRenderedPageBreak/>
        <w:t xml:space="preserve">de l’assiette d’une créance extraordinaire dont le gage n’est pas un gage de registre. C’est aussi une valeur difficile à déterminer voire encore plus difficile à déterminer. </w:t>
      </w:r>
      <w:r w:rsidRPr="00F862A2">
        <w:rPr>
          <w:rFonts w:ascii="Times New Roman" w:hAnsi="Times New Roman"/>
          <w:sz w:val="24"/>
        </w:rPr>
        <w:t xml:space="preserve">Cette évaluation </w:t>
      </w:r>
      <w:r>
        <w:rPr>
          <w:rFonts w:ascii="Times New Roman" w:hAnsi="Times New Roman"/>
          <w:sz w:val="24"/>
        </w:rPr>
        <w:t xml:space="preserve">est </w:t>
      </w:r>
      <w:r w:rsidRPr="00F862A2">
        <w:rPr>
          <w:rFonts w:ascii="Times New Roman" w:hAnsi="Times New Roman"/>
          <w:sz w:val="24"/>
        </w:rPr>
        <w:t xml:space="preserve">plus complexe et </w:t>
      </w:r>
      <w:r>
        <w:rPr>
          <w:rFonts w:ascii="Times New Roman" w:hAnsi="Times New Roman"/>
          <w:sz w:val="24"/>
        </w:rPr>
        <w:t>plus coû</w:t>
      </w:r>
      <w:r w:rsidRPr="00F862A2">
        <w:rPr>
          <w:rFonts w:ascii="Times New Roman" w:hAnsi="Times New Roman"/>
          <w:sz w:val="24"/>
        </w:rPr>
        <w:t>teuse</w:t>
      </w:r>
      <w:r>
        <w:rPr>
          <w:rFonts w:ascii="Times New Roman" w:hAnsi="Times New Roman"/>
          <w:sz w:val="24"/>
        </w:rPr>
        <w:t xml:space="preserve"> que la valeur en liquidation car </w:t>
      </w:r>
      <w:r w:rsidRPr="00F862A2">
        <w:rPr>
          <w:rFonts w:ascii="Times New Roman" w:hAnsi="Times New Roman"/>
          <w:sz w:val="24"/>
        </w:rPr>
        <w:t xml:space="preserve"> basée sur des rapports d’expertises </w:t>
      </w:r>
      <w:r>
        <w:rPr>
          <w:rFonts w:ascii="Times New Roman" w:hAnsi="Times New Roman"/>
          <w:sz w:val="24"/>
        </w:rPr>
        <w:t>au contenu plus technique et prospectif, donc incertain qui donneront lieu à encore plus d</w:t>
      </w:r>
      <w:r w:rsidRPr="00F862A2">
        <w:rPr>
          <w:rFonts w:ascii="Times New Roman" w:hAnsi="Times New Roman"/>
          <w:sz w:val="24"/>
        </w:rPr>
        <w:t>e batailles d’experts</w:t>
      </w:r>
      <w:r>
        <w:rPr>
          <w:rStyle w:val="Appelnotedebasdep"/>
          <w:rFonts w:ascii="Times New Roman" w:hAnsi="Times New Roman"/>
          <w:sz w:val="24"/>
        </w:rPr>
        <w:footnoteReference w:id="33"/>
      </w:r>
      <w:r>
        <w:rPr>
          <w:rFonts w:ascii="Times New Roman" w:hAnsi="Times New Roman"/>
          <w:sz w:val="24"/>
        </w:rPr>
        <w:t>. L</w:t>
      </w:r>
      <w:r w:rsidRPr="00F862A2">
        <w:rPr>
          <w:rFonts w:ascii="Times New Roman" w:hAnsi="Times New Roman"/>
          <w:sz w:val="24"/>
        </w:rPr>
        <w:t xml:space="preserve">’évaluation </w:t>
      </w:r>
      <w:r>
        <w:rPr>
          <w:rFonts w:ascii="Times New Roman" w:hAnsi="Times New Roman"/>
          <w:sz w:val="24"/>
        </w:rPr>
        <w:t>est</w:t>
      </w:r>
      <w:r w:rsidRPr="00F862A2">
        <w:rPr>
          <w:rFonts w:ascii="Times New Roman" w:hAnsi="Times New Roman"/>
          <w:sz w:val="24"/>
        </w:rPr>
        <w:t xml:space="preserve"> </w:t>
      </w:r>
      <w:r>
        <w:rPr>
          <w:rFonts w:ascii="Times New Roman" w:hAnsi="Times New Roman"/>
          <w:sz w:val="24"/>
        </w:rPr>
        <w:t xml:space="preserve">d’ailleurs </w:t>
      </w:r>
      <w:r w:rsidRPr="00F862A2">
        <w:rPr>
          <w:rFonts w:ascii="Times New Roman" w:hAnsi="Times New Roman"/>
          <w:sz w:val="24"/>
        </w:rPr>
        <w:t>plus un art qu’une science pour le juge</w:t>
      </w:r>
      <w:r>
        <w:rPr>
          <w:rStyle w:val="Appelnotedebasdep"/>
          <w:rFonts w:ascii="Times New Roman" w:hAnsi="Times New Roman"/>
          <w:sz w:val="24"/>
        </w:rPr>
        <w:footnoteReference w:id="34"/>
      </w:r>
      <w:r>
        <w:rPr>
          <w:rFonts w:ascii="Times New Roman" w:hAnsi="Times New Roman"/>
          <w:sz w:val="24"/>
        </w:rPr>
        <w:t xml:space="preserve">. Ce </w:t>
      </w:r>
      <w:r w:rsidRPr="00F862A2">
        <w:rPr>
          <w:rFonts w:ascii="Times New Roman" w:hAnsi="Times New Roman"/>
          <w:sz w:val="24"/>
        </w:rPr>
        <w:t xml:space="preserve">coût et ce temps </w:t>
      </w:r>
      <w:r>
        <w:rPr>
          <w:rFonts w:ascii="Times New Roman" w:hAnsi="Times New Roman"/>
          <w:sz w:val="24"/>
        </w:rPr>
        <w:t>sont</w:t>
      </w:r>
      <w:r w:rsidRPr="00F862A2">
        <w:rPr>
          <w:rFonts w:ascii="Times New Roman" w:hAnsi="Times New Roman"/>
          <w:sz w:val="24"/>
        </w:rPr>
        <w:t xml:space="preserve"> ce qui pousse</w:t>
      </w:r>
      <w:r w:rsidR="00E11D7F">
        <w:rPr>
          <w:rFonts w:ascii="Times New Roman" w:hAnsi="Times New Roman"/>
          <w:sz w:val="24"/>
        </w:rPr>
        <w:t>nt</w:t>
      </w:r>
      <w:r>
        <w:rPr>
          <w:rFonts w:ascii="Times New Roman" w:hAnsi="Times New Roman"/>
          <w:sz w:val="24"/>
        </w:rPr>
        <w:t>, en droit américain,</w:t>
      </w:r>
      <w:r w:rsidRPr="00F862A2">
        <w:rPr>
          <w:rFonts w:ascii="Times New Roman" w:hAnsi="Times New Roman"/>
          <w:sz w:val="24"/>
        </w:rPr>
        <w:t xml:space="preserve"> les créanciers à trouver un accord. Il existe</w:t>
      </w:r>
      <w:r>
        <w:rPr>
          <w:rFonts w:ascii="Times New Roman" w:hAnsi="Times New Roman"/>
          <w:sz w:val="24"/>
        </w:rPr>
        <w:t>, en droit américain,</w:t>
      </w:r>
      <w:r w:rsidRPr="00F862A2">
        <w:rPr>
          <w:rFonts w:ascii="Times New Roman" w:hAnsi="Times New Roman"/>
          <w:sz w:val="24"/>
        </w:rPr>
        <w:t xml:space="preserve"> de nombreuses méthodologies </w:t>
      </w:r>
      <w:r>
        <w:rPr>
          <w:rFonts w:ascii="Times New Roman" w:hAnsi="Times New Roman"/>
          <w:sz w:val="24"/>
        </w:rPr>
        <w:t xml:space="preserve">sur lesquelles nous reviendront ci-après- </w:t>
      </w:r>
      <w:r w:rsidRPr="00F862A2">
        <w:rPr>
          <w:rFonts w:ascii="Times New Roman" w:hAnsi="Times New Roman"/>
          <w:sz w:val="24"/>
        </w:rPr>
        <w:t xml:space="preserve"> essentiellement celle du </w:t>
      </w:r>
      <w:r w:rsidRPr="000B4DB3">
        <w:rPr>
          <w:rFonts w:ascii="Times New Roman" w:hAnsi="Times New Roman"/>
          <w:i/>
          <w:sz w:val="24"/>
        </w:rPr>
        <w:t>Discounted cash-flow</w:t>
      </w:r>
      <w:r>
        <w:rPr>
          <w:rFonts w:ascii="Times New Roman" w:hAnsi="Times New Roman"/>
          <w:sz w:val="24"/>
        </w:rPr>
        <w:t xml:space="preserve"> (dite DCF)</w:t>
      </w:r>
      <w:r w:rsidRPr="00F862A2">
        <w:rPr>
          <w:rFonts w:ascii="Times New Roman" w:hAnsi="Times New Roman"/>
          <w:sz w:val="24"/>
        </w:rPr>
        <w:t>,</w:t>
      </w:r>
      <w:r>
        <w:rPr>
          <w:rFonts w:ascii="Times New Roman" w:hAnsi="Times New Roman"/>
          <w:sz w:val="24"/>
        </w:rPr>
        <w:t xml:space="preserve"> ou celle des comparables</w:t>
      </w:r>
      <w:r>
        <w:rPr>
          <w:rStyle w:val="Appelnotedebasdep"/>
          <w:rFonts w:ascii="Times New Roman" w:hAnsi="Times New Roman"/>
          <w:sz w:val="24"/>
        </w:rPr>
        <w:footnoteReference w:id="35"/>
      </w:r>
      <w:r w:rsidRPr="00F862A2">
        <w:rPr>
          <w:rFonts w:ascii="Times New Roman" w:hAnsi="Times New Roman"/>
          <w:sz w:val="24"/>
        </w:rPr>
        <w:t xml:space="preserve">. </w:t>
      </w:r>
    </w:p>
    <w:p w:rsidR="008064D7" w:rsidRDefault="008064D7" w:rsidP="00F862A2">
      <w:pPr>
        <w:pStyle w:val="Paragraphedeliste"/>
        <w:spacing w:line="240" w:lineRule="auto"/>
        <w:ind w:left="786"/>
        <w:rPr>
          <w:rFonts w:ascii="Times New Roman" w:hAnsi="Times New Roman"/>
          <w:sz w:val="24"/>
          <w:u w:val="single"/>
        </w:rPr>
      </w:pPr>
    </w:p>
    <w:p w:rsidR="008064D7" w:rsidRDefault="008064D7" w:rsidP="00F862A2">
      <w:pPr>
        <w:pStyle w:val="Paragraphedeliste"/>
        <w:spacing w:line="240" w:lineRule="auto"/>
        <w:ind w:left="786"/>
        <w:rPr>
          <w:rFonts w:ascii="Times New Roman" w:hAnsi="Times New Roman"/>
          <w:sz w:val="24"/>
        </w:rPr>
      </w:pPr>
      <w:r w:rsidRPr="0006386E">
        <w:rPr>
          <w:rFonts w:ascii="Times New Roman" w:hAnsi="Times New Roman"/>
          <w:sz w:val="24"/>
          <w:u w:val="single"/>
        </w:rPr>
        <w:t>Pour illustrer dès à présent l’enjeu</w:t>
      </w:r>
      <w:r>
        <w:rPr>
          <w:rFonts w:ascii="Times New Roman" w:hAnsi="Times New Roman"/>
          <w:sz w:val="24"/>
          <w:u w:val="single"/>
        </w:rPr>
        <w:t xml:space="preserve"> de cette fixation de valeur</w:t>
      </w:r>
      <w:r>
        <w:rPr>
          <w:rFonts w:ascii="Times New Roman" w:hAnsi="Times New Roman"/>
          <w:sz w:val="24"/>
        </w:rPr>
        <w:t>, dans un cas</w:t>
      </w:r>
      <w:r>
        <w:rPr>
          <w:rStyle w:val="Appelnotedebasdep"/>
          <w:rFonts w:ascii="Times New Roman" w:hAnsi="Times New Roman"/>
          <w:sz w:val="24"/>
        </w:rPr>
        <w:footnoteReference w:id="36"/>
      </w:r>
      <w:r w:rsidRPr="00F862A2">
        <w:rPr>
          <w:rFonts w:ascii="Times New Roman" w:hAnsi="Times New Roman"/>
          <w:sz w:val="24"/>
        </w:rPr>
        <w:t xml:space="preserve">, le débiteur retenait </w:t>
      </w:r>
      <w:r w:rsidRPr="00E11D7F">
        <w:rPr>
          <w:rFonts w:ascii="Times New Roman" w:hAnsi="Times New Roman"/>
          <w:sz w:val="24"/>
          <w:u w:val="single"/>
        </w:rPr>
        <w:t>en DCF</w:t>
      </w:r>
      <w:r w:rsidRPr="00F862A2">
        <w:rPr>
          <w:rFonts w:ascii="Times New Roman" w:hAnsi="Times New Roman"/>
          <w:sz w:val="24"/>
        </w:rPr>
        <w:t xml:space="preserve"> entre 1.023 et 1,254 Billion</w:t>
      </w:r>
      <w:r>
        <w:rPr>
          <w:rFonts w:ascii="Times New Roman" w:hAnsi="Times New Roman"/>
          <w:sz w:val="24"/>
        </w:rPr>
        <w:t>s</w:t>
      </w:r>
      <w:r w:rsidRPr="00F862A2">
        <w:rPr>
          <w:rFonts w:ascii="Times New Roman" w:hAnsi="Times New Roman"/>
          <w:sz w:val="24"/>
        </w:rPr>
        <w:t>, les créanciers entre 1.583 et 1.836 Billion</w:t>
      </w:r>
      <w:r>
        <w:rPr>
          <w:rFonts w:ascii="Times New Roman" w:hAnsi="Times New Roman"/>
          <w:sz w:val="24"/>
        </w:rPr>
        <w:t>s</w:t>
      </w:r>
      <w:r w:rsidR="00E11D7F">
        <w:rPr>
          <w:rFonts w:ascii="Times New Roman" w:hAnsi="Times New Roman"/>
          <w:sz w:val="24"/>
        </w:rPr>
        <w:t>, et la C</w:t>
      </w:r>
      <w:r w:rsidRPr="00F862A2">
        <w:rPr>
          <w:rFonts w:ascii="Times New Roman" w:hAnsi="Times New Roman"/>
          <w:sz w:val="24"/>
        </w:rPr>
        <w:t>o</w:t>
      </w:r>
      <w:r>
        <w:rPr>
          <w:rFonts w:ascii="Times New Roman" w:hAnsi="Times New Roman"/>
          <w:sz w:val="24"/>
        </w:rPr>
        <w:t xml:space="preserve">ur </w:t>
      </w:r>
      <w:r w:rsidR="00E11D7F">
        <w:rPr>
          <w:rFonts w:ascii="Times New Roman" w:hAnsi="Times New Roman"/>
          <w:sz w:val="24"/>
        </w:rPr>
        <w:t xml:space="preserve">retenait a priori </w:t>
      </w:r>
      <w:r>
        <w:rPr>
          <w:rFonts w:ascii="Times New Roman" w:hAnsi="Times New Roman"/>
          <w:sz w:val="24"/>
        </w:rPr>
        <w:t>entre 1.583 et 1.836 Billions</w:t>
      </w:r>
      <w:r w:rsidR="00E11D7F">
        <w:rPr>
          <w:rFonts w:ascii="Times New Roman" w:hAnsi="Times New Roman"/>
          <w:sz w:val="24"/>
        </w:rPr>
        <w:t>,</w:t>
      </w:r>
      <w:r>
        <w:rPr>
          <w:rFonts w:ascii="Times New Roman" w:hAnsi="Times New Roman"/>
          <w:sz w:val="24"/>
        </w:rPr>
        <w:t xml:space="preserve"> d</w:t>
      </w:r>
      <w:r w:rsidRPr="00F862A2">
        <w:rPr>
          <w:rFonts w:ascii="Times New Roman" w:hAnsi="Times New Roman"/>
          <w:sz w:val="24"/>
        </w:rPr>
        <w:t xml:space="preserve">ans </w:t>
      </w:r>
      <w:r w:rsidRPr="00E11D7F">
        <w:rPr>
          <w:rFonts w:ascii="Times New Roman" w:hAnsi="Times New Roman"/>
          <w:sz w:val="24"/>
          <w:u w:val="single"/>
        </w:rPr>
        <w:t>la valeur des comparables</w:t>
      </w:r>
      <w:r>
        <w:rPr>
          <w:rFonts w:ascii="Times New Roman" w:hAnsi="Times New Roman"/>
          <w:sz w:val="24"/>
        </w:rPr>
        <w:t>,</w:t>
      </w:r>
      <w:r w:rsidRPr="00F862A2">
        <w:rPr>
          <w:rFonts w:ascii="Times New Roman" w:hAnsi="Times New Roman"/>
          <w:sz w:val="24"/>
        </w:rPr>
        <w:t xml:space="preserve"> le débiteur </w:t>
      </w:r>
      <w:r>
        <w:rPr>
          <w:rFonts w:ascii="Times New Roman" w:hAnsi="Times New Roman"/>
          <w:sz w:val="24"/>
        </w:rPr>
        <w:t xml:space="preserve">retenait </w:t>
      </w:r>
      <w:r w:rsidRPr="00F862A2">
        <w:rPr>
          <w:rFonts w:ascii="Times New Roman" w:hAnsi="Times New Roman"/>
          <w:sz w:val="24"/>
        </w:rPr>
        <w:t>entre 897 et 1.086 Billion</w:t>
      </w:r>
      <w:r>
        <w:rPr>
          <w:rFonts w:ascii="Times New Roman" w:hAnsi="Times New Roman"/>
          <w:sz w:val="24"/>
        </w:rPr>
        <w:t>s</w:t>
      </w:r>
      <w:r w:rsidRPr="00F862A2">
        <w:rPr>
          <w:rFonts w:ascii="Times New Roman" w:hAnsi="Times New Roman"/>
          <w:sz w:val="24"/>
        </w:rPr>
        <w:t xml:space="preserve">, </w:t>
      </w:r>
      <w:r>
        <w:rPr>
          <w:rFonts w:ascii="Times New Roman" w:hAnsi="Times New Roman"/>
          <w:sz w:val="24"/>
        </w:rPr>
        <w:t>les créanciers</w:t>
      </w:r>
      <w:r w:rsidRPr="00F862A2">
        <w:rPr>
          <w:rFonts w:ascii="Times New Roman" w:hAnsi="Times New Roman"/>
          <w:sz w:val="24"/>
        </w:rPr>
        <w:t xml:space="preserve"> 1.515 Billion</w:t>
      </w:r>
      <w:r>
        <w:rPr>
          <w:rFonts w:ascii="Times New Roman" w:hAnsi="Times New Roman"/>
          <w:sz w:val="24"/>
        </w:rPr>
        <w:t>s</w:t>
      </w:r>
      <w:r w:rsidRPr="00F862A2">
        <w:rPr>
          <w:rFonts w:ascii="Times New Roman" w:hAnsi="Times New Roman"/>
          <w:sz w:val="24"/>
        </w:rPr>
        <w:t xml:space="preserve"> et la Cour entre 1.355 et 1.449 Billions</w:t>
      </w:r>
      <w:r>
        <w:rPr>
          <w:rFonts w:ascii="Times New Roman" w:hAnsi="Times New Roman"/>
          <w:sz w:val="24"/>
        </w:rPr>
        <w:t xml:space="preserve">. Dans la décision de </w:t>
      </w:r>
      <w:r w:rsidRPr="007C17D3">
        <w:rPr>
          <w:rFonts w:ascii="Times New Roman" w:hAnsi="Times New Roman"/>
          <w:i/>
          <w:sz w:val="24"/>
        </w:rPr>
        <w:t>Cram-down</w:t>
      </w:r>
      <w:r>
        <w:rPr>
          <w:rFonts w:ascii="Times New Roman" w:hAnsi="Times New Roman"/>
          <w:sz w:val="24"/>
        </w:rPr>
        <w:t xml:space="preserve">, </w:t>
      </w:r>
      <w:r w:rsidRPr="00F862A2">
        <w:rPr>
          <w:rFonts w:ascii="Times New Roman" w:hAnsi="Times New Roman"/>
          <w:sz w:val="24"/>
        </w:rPr>
        <w:t xml:space="preserve">la Cour </w:t>
      </w:r>
      <w:r>
        <w:rPr>
          <w:rFonts w:ascii="Times New Roman" w:hAnsi="Times New Roman"/>
          <w:sz w:val="24"/>
        </w:rPr>
        <w:t>a retenu</w:t>
      </w:r>
      <w:r w:rsidRPr="00F862A2">
        <w:rPr>
          <w:rFonts w:ascii="Times New Roman" w:hAnsi="Times New Roman"/>
          <w:sz w:val="24"/>
        </w:rPr>
        <w:t xml:space="preserve"> la valeur entre 1.4 et 1.6 Billion</w:t>
      </w:r>
      <w:r>
        <w:rPr>
          <w:rFonts w:ascii="Times New Roman" w:hAnsi="Times New Roman"/>
          <w:sz w:val="24"/>
        </w:rPr>
        <w:t>s</w:t>
      </w:r>
      <w:r w:rsidRPr="00F862A2">
        <w:rPr>
          <w:rFonts w:ascii="Times New Roman" w:hAnsi="Times New Roman"/>
          <w:sz w:val="24"/>
        </w:rPr>
        <w:t>.</w:t>
      </w:r>
    </w:p>
    <w:p w:rsidR="008064D7" w:rsidRDefault="008064D7" w:rsidP="00F862A2">
      <w:pPr>
        <w:pStyle w:val="Paragraphedeliste"/>
        <w:spacing w:line="240" w:lineRule="auto"/>
        <w:ind w:left="786"/>
        <w:rPr>
          <w:rFonts w:ascii="Times New Roman" w:hAnsi="Times New Roman"/>
          <w:sz w:val="24"/>
        </w:rPr>
      </w:pPr>
    </w:p>
    <w:p w:rsidR="008064D7" w:rsidRDefault="00E11D7F" w:rsidP="004A0C78">
      <w:pPr>
        <w:pStyle w:val="Paragraphedeliste"/>
        <w:spacing w:line="240" w:lineRule="auto"/>
        <w:ind w:left="786"/>
        <w:rPr>
          <w:rFonts w:ascii="Times New Roman" w:hAnsi="Times New Roman"/>
          <w:sz w:val="24"/>
        </w:rPr>
      </w:pPr>
      <w:r>
        <w:rPr>
          <w:rFonts w:ascii="Times New Roman" w:hAnsi="Times New Roman"/>
          <w:sz w:val="24"/>
        </w:rPr>
        <w:t>Le juge a donc estimé la valeur en</w:t>
      </w:r>
      <w:r w:rsidR="008064D7" w:rsidRPr="00F862A2">
        <w:rPr>
          <w:rFonts w:ascii="Times New Roman" w:hAnsi="Times New Roman"/>
          <w:sz w:val="24"/>
        </w:rPr>
        <w:t xml:space="preserve"> DCF</w:t>
      </w:r>
      <w:r w:rsidR="008064D7">
        <w:rPr>
          <w:rStyle w:val="Appelnotedebasdep"/>
          <w:rFonts w:ascii="Times New Roman" w:hAnsi="Times New Roman"/>
          <w:sz w:val="24"/>
        </w:rPr>
        <w:footnoteReference w:id="37"/>
      </w:r>
      <w:r w:rsidR="008064D7">
        <w:rPr>
          <w:rFonts w:ascii="Times New Roman" w:hAnsi="Times New Roman"/>
          <w:sz w:val="24"/>
        </w:rPr>
        <w:t xml:space="preserve"> </w:t>
      </w:r>
      <w:r>
        <w:rPr>
          <w:rFonts w:ascii="Times New Roman" w:hAnsi="Times New Roman"/>
          <w:sz w:val="24"/>
        </w:rPr>
        <w:t xml:space="preserve">au </w:t>
      </w:r>
      <w:r w:rsidR="008064D7" w:rsidRPr="00F862A2">
        <w:rPr>
          <w:rFonts w:ascii="Times New Roman" w:hAnsi="Times New Roman"/>
          <w:sz w:val="24"/>
        </w:rPr>
        <w:t>moins</w:t>
      </w:r>
      <w:r>
        <w:rPr>
          <w:rFonts w:ascii="Times New Roman" w:hAnsi="Times New Roman"/>
          <w:sz w:val="24"/>
        </w:rPr>
        <w:t xml:space="preserve"> comme </w:t>
      </w:r>
      <w:r w:rsidR="008064D7" w:rsidRPr="00F862A2">
        <w:rPr>
          <w:rFonts w:ascii="Times New Roman" w:hAnsi="Times New Roman"/>
          <w:sz w:val="24"/>
        </w:rPr>
        <w:t>étalon</w:t>
      </w:r>
      <w:r w:rsidR="008064D7">
        <w:rPr>
          <w:rStyle w:val="Appelnotedebasdep"/>
          <w:rFonts w:ascii="Times New Roman" w:hAnsi="Times New Roman"/>
          <w:sz w:val="24"/>
        </w:rPr>
        <w:footnoteReference w:id="38"/>
      </w:r>
      <w:r>
        <w:rPr>
          <w:rFonts w:ascii="Times New Roman" w:hAnsi="Times New Roman"/>
          <w:sz w:val="24"/>
        </w:rPr>
        <w:t xml:space="preserve">. Il s’est basé sur </w:t>
      </w:r>
      <w:r w:rsidR="008064D7" w:rsidRPr="004A0C78">
        <w:rPr>
          <w:rFonts w:ascii="Times New Roman" w:hAnsi="Times New Roman"/>
          <w:sz w:val="24"/>
        </w:rPr>
        <w:t xml:space="preserve">des hypothèses futures du </w:t>
      </w:r>
      <w:r w:rsidR="008064D7" w:rsidRPr="00C7747F">
        <w:rPr>
          <w:rFonts w:ascii="Times New Roman" w:hAnsi="Times New Roman"/>
          <w:i/>
          <w:sz w:val="24"/>
        </w:rPr>
        <w:t>business plan</w:t>
      </w:r>
      <w:r w:rsidR="008064D7" w:rsidRPr="004A0C78">
        <w:rPr>
          <w:rFonts w:ascii="Times New Roman" w:hAnsi="Times New Roman"/>
          <w:sz w:val="24"/>
        </w:rPr>
        <w:t xml:space="preserve"> retenues comme raisonnables</w:t>
      </w:r>
      <w:r w:rsidR="008064D7">
        <w:rPr>
          <w:rStyle w:val="Appelnotedebasdep"/>
          <w:rFonts w:ascii="Times New Roman" w:hAnsi="Times New Roman"/>
          <w:sz w:val="24"/>
        </w:rPr>
        <w:footnoteReference w:id="39"/>
      </w:r>
      <w:r w:rsidR="008064D7" w:rsidRPr="004A0C78">
        <w:rPr>
          <w:rFonts w:ascii="Times New Roman" w:hAnsi="Times New Roman"/>
          <w:sz w:val="24"/>
        </w:rPr>
        <w:t xml:space="preserve">. </w:t>
      </w:r>
    </w:p>
    <w:p w:rsidR="008064D7" w:rsidRDefault="008064D7" w:rsidP="004A0C78">
      <w:pPr>
        <w:pStyle w:val="Paragraphedeliste"/>
        <w:spacing w:line="240" w:lineRule="auto"/>
        <w:ind w:left="786"/>
        <w:rPr>
          <w:rFonts w:ascii="Times New Roman" w:hAnsi="Times New Roman"/>
          <w:sz w:val="24"/>
        </w:rPr>
      </w:pPr>
    </w:p>
    <w:p w:rsidR="008064D7" w:rsidRPr="004A0C78" w:rsidRDefault="008064D7" w:rsidP="004A0C78">
      <w:pPr>
        <w:pStyle w:val="Paragraphedeliste"/>
        <w:spacing w:line="240" w:lineRule="auto"/>
        <w:ind w:left="786"/>
        <w:rPr>
          <w:rFonts w:ascii="Times New Roman" w:hAnsi="Times New Roman"/>
          <w:sz w:val="24"/>
        </w:rPr>
      </w:pPr>
      <w:r w:rsidRPr="004A0C78">
        <w:rPr>
          <w:rFonts w:ascii="Times New Roman" w:hAnsi="Times New Roman"/>
          <w:sz w:val="24"/>
        </w:rPr>
        <w:t xml:space="preserve">Le risque lié </w:t>
      </w:r>
      <w:r w:rsidR="00E11D7F">
        <w:rPr>
          <w:rFonts w:ascii="Times New Roman" w:hAnsi="Times New Roman"/>
          <w:sz w:val="24"/>
        </w:rPr>
        <w:t>à une « </w:t>
      </w:r>
      <w:r w:rsidR="00E11D7F" w:rsidRPr="00E11D7F">
        <w:rPr>
          <w:rFonts w:ascii="Times New Roman" w:hAnsi="Times New Roman"/>
          <w:i/>
          <w:sz w:val="24"/>
        </w:rPr>
        <w:t>erreur d’évaluation</w:t>
      </w:r>
      <w:r w:rsidR="00E11D7F">
        <w:rPr>
          <w:rFonts w:ascii="Times New Roman" w:hAnsi="Times New Roman"/>
          <w:sz w:val="24"/>
        </w:rPr>
        <w:t> » est</w:t>
      </w:r>
      <w:r w:rsidRPr="004A0C78">
        <w:rPr>
          <w:rFonts w:ascii="Times New Roman" w:hAnsi="Times New Roman"/>
          <w:sz w:val="24"/>
        </w:rPr>
        <w:t xml:space="preserve"> en fait une pénalité pour les créanciers seniors s’ils n’acceptent pas d’acheter le pouvoir de nuisance des créanciers juniors que constitue le refus des junior</w:t>
      </w:r>
      <w:r>
        <w:rPr>
          <w:rFonts w:ascii="Times New Roman" w:hAnsi="Times New Roman"/>
          <w:sz w:val="24"/>
        </w:rPr>
        <w:t>s de voter le plan</w:t>
      </w:r>
      <w:r>
        <w:rPr>
          <w:rStyle w:val="Appelnotedebasdep"/>
          <w:rFonts w:ascii="Times New Roman" w:hAnsi="Times New Roman"/>
          <w:sz w:val="24"/>
        </w:rPr>
        <w:footnoteReference w:id="40"/>
      </w:r>
      <w:r w:rsidRPr="004A0C78">
        <w:rPr>
          <w:rFonts w:ascii="Times New Roman" w:hAnsi="Times New Roman"/>
          <w:sz w:val="24"/>
        </w:rPr>
        <w:t xml:space="preserve">. </w:t>
      </w:r>
    </w:p>
    <w:p w:rsidR="008064D7" w:rsidRPr="00F862A2" w:rsidRDefault="008064D7" w:rsidP="00F862A2">
      <w:pPr>
        <w:spacing w:line="240" w:lineRule="auto"/>
        <w:rPr>
          <w:rFonts w:ascii="Times New Roman" w:hAnsi="Times New Roman"/>
          <w:sz w:val="24"/>
        </w:rPr>
      </w:pPr>
    </w:p>
    <w:p w:rsidR="008064D7" w:rsidRPr="003E1587" w:rsidRDefault="003E1587" w:rsidP="003E1587">
      <w:pPr>
        <w:pStyle w:val="Paragraphedeliste"/>
        <w:numPr>
          <w:ilvl w:val="0"/>
          <w:numId w:val="2"/>
        </w:numPr>
        <w:spacing w:line="240" w:lineRule="auto"/>
        <w:rPr>
          <w:rFonts w:ascii="Times New Roman" w:hAnsi="Times New Roman"/>
          <w:sz w:val="24"/>
          <w:u w:val="single"/>
        </w:rPr>
      </w:pPr>
      <w:r>
        <w:rPr>
          <w:rFonts w:ascii="Times New Roman" w:hAnsi="Times New Roman"/>
          <w:sz w:val="24"/>
          <w:u w:val="single"/>
        </w:rPr>
        <w:t>La valeur n’est pas le seul concept. Elle se complète du</w:t>
      </w:r>
      <w:r w:rsidR="008064D7" w:rsidRPr="00194A62">
        <w:rPr>
          <w:rFonts w:ascii="Times New Roman" w:hAnsi="Times New Roman"/>
          <w:sz w:val="24"/>
          <w:u w:val="single"/>
        </w:rPr>
        <w:t xml:space="preserve"> test de faisabilité</w:t>
      </w:r>
      <w:r w:rsidR="008064D7">
        <w:rPr>
          <w:rFonts w:ascii="Times New Roman" w:hAnsi="Times New Roman"/>
          <w:sz w:val="24"/>
          <w:u w:val="single"/>
        </w:rPr>
        <w:t xml:space="preserve"> </w:t>
      </w:r>
      <w:r w:rsidR="008064D7">
        <w:rPr>
          <w:rFonts w:ascii="Times New Roman" w:hAnsi="Times New Roman"/>
          <w:sz w:val="24"/>
        </w:rPr>
        <w:t>que la directive a renommé test de « </w:t>
      </w:r>
      <w:r w:rsidR="008064D7" w:rsidRPr="003E1587">
        <w:rPr>
          <w:rFonts w:ascii="Times New Roman" w:hAnsi="Times New Roman"/>
          <w:i/>
          <w:sz w:val="24"/>
        </w:rPr>
        <w:t>viabilité</w:t>
      </w:r>
      <w:r w:rsidR="008064D7">
        <w:rPr>
          <w:rFonts w:ascii="Times New Roman" w:hAnsi="Times New Roman"/>
          <w:sz w:val="24"/>
        </w:rPr>
        <w:t xml:space="preserve"> ». </w:t>
      </w:r>
      <w:r w:rsidR="008064D7" w:rsidRPr="003E1587">
        <w:rPr>
          <w:rFonts w:ascii="Times New Roman" w:hAnsi="Times New Roman"/>
          <w:sz w:val="24"/>
        </w:rPr>
        <w:t>En droit américain</w:t>
      </w:r>
      <w:r w:rsidR="008064D7">
        <w:rPr>
          <w:rStyle w:val="Appelnotedebasdep"/>
          <w:rFonts w:ascii="Times New Roman" w:hAnsi="Times New Roman"/>
          <w:sz w:val="24"/>
        </w:rPr>
        <w:footnoteReference w:id="41"/>
      </w:r>
      <w:r w:rsidR="008064D7" w:rsidRPr="003E1587">
        <w:rPr>
          <w:rFonts w:ascii="Times New Roman" w:hAnsi="Times New Roman"/>
          <w:sz w:val="24"/>
        </w:rPr>
        <w:t xml:space="preserve">, le juge doit apprécier à tous les moments, y compris à l’ouverture de la procédure, </w:t>
      </w:r>
      <w:r>
        <w:rPr>
          <w:rFonts w:ascii="Times New Roman" w:hAnsi="Times New Roman"/>
          <w:sz w:val="24"/>
        </w:rPr>
        <w:t xml:space="preserve">mais aussi au moment de son jugement d’écrasement, </w:t>
      </w:r>
      <w:r w:rsidR="008064D7" w:rsidRPr="003E1587">
        <w:rPr>
          <w:rFonts w:ascii="Times New Roman" w:hAnsi="Times New Roman"/>
          <w:sz w:val="24"/>
        </w:rPr>
        <w:t>si la confirmation du plan laissera viable l’entreprise</w:t>
      </w:r>
      <w:r>
        <w:rPr>
          <w:rFonts w:ascii="Times New Roman" w:hAnsi="Times New Roman"/>
          <w:sz w:val="24"/>
        </w:rPr>
        <w:t>,</w:t>
      </w:r>
      <w:r w:rsidR="008064D7" w:rsidRPr="003E1587">
        <w:rPr>
          <w:rFonts w:ascii="Times New Roman" w:hAnsi="Times New Roman"/>
          <w:sz w:val="24"/>
        </w:rPr>
        <w:t xml:space="preserve"> c’est-à-dire</w:t>
      </w:r>
      <w:r>
        <w:rPr>
          <w:rFonts w:ascii="Times New Roman" w:hAnsi="Times New Roman"/>
          <w:sz w:val="24"/>
        </w:rPr>
        <w:t>,</w:t>
      </w:r>
      <w:r w:rsidR="008064D7" w:rsidRPr="003E1587">
        <w:rPr>
          <w:rFonts w:ascii="Times New Roman" w:hAnsi="Times New Roman"/>
          <w:sz w:val="24"/>
        </w:rPr>
        <w:t xml:space="preserve"> qu’il ne sera pas suivi d’une liquidation</w:t>
      </w:r>
      <w:r w:rsidR="008064D7">
        <w:rPr>
          <w:rStyle w:val="Appelnotedebasdep"/>
          <w:rFonts w:ascii="Times New Roman" w:hAnsi="Times New Roman"/>
          <w:sz w:val="24"/>
        </w:rPr>
        <w:footnoteReference w:id="42"/>
      </w:r>
      <w:r w:rsidR="008064D7" w:rsidRPr="003E1587">
        <w:rPr>
          <w:rFonts w:ascii="Times New Roman" w:hAnsi="Times New Roman"/>
          <w:sz w:val="24"/>
        </w:rPr>
        <w:t xml:space="preserve"> </w:t>
      </w:r>
      <w:r>
        <w:rPr>
          <w:rFonts w:ascii="Times New Roman" w:hAnsi="Times New Roman"/>
          <w:sz w:val="24"/>
        </w:rPr>
        <w:t>ou de l’activité ou du débiteur si l’activité n’est pas transférée notamment en paiement aux créanciers</w:t>
      </w:r>
      <w:r w:rsidR="008064D7" w:rsidRPr="003E1587">
        <w:rPr>
          <w:rFonts w:ascii="Times New Roman" w:hAnsi="Times New Roman"/>
          <w:sz w:val="24"/>
        </w:rPr>
        <w:t xml:space="preserve">. </w:t>
      </w:r>
    </w:p>
    <w:p w:rsidR="008064D7" w:rsidRDefault="008064D7" w:rsidP="00A656D2">
      <w:pPr>
        <w:pStyle w:val="Paragraphedeliste"/>
        <w:spacing w:line="240" w:lineRule="auto"/>
        <w:ind w:left="786"/>
        <w:rPr>
          <w:rFonts w:ascii="Times New Roman" w:hAnsi="Times New Roman"/>
          <w:sz w:val="24"/>
        </w:rPr>
      </w:pPr>
    </w:p>
    <w:p w:rsidR="008064D7" w:rsidRPr="00194A62" w:rsidRDefault="008064D7" w:rsidP="00A656D2">
      <w:pPr>
        <w:pStyle w:val="Paragraphedeliste"/>
        <w:spacing w:line="240" w:lineRule="auto"/>
        <w:ind w:left="786"/>
        <w:rPr>
          <w:rFonts w:ascii="Times New Roman" w:hAnsi="Times New Roman"/>
          <w:sz w:val="24"/>
          <w:u w:val="single"/>
        </w:rPr>
      </w:pPr>
      <w:r>
        <w:rPr>
          <w:rFonts w:ascii="Times New Roman" w:hAnsi="Times New Roman"/>
          <w:sz w:val="24"/>
        </w:rPr>
        <w:t xml:space="preserve">Le plan doit </w:t>
      </w:r>
      <w:r w:rsidR="003E1587">
        <w:rPr>
          <w:rFonts w:ascii="Times New Roman" w:hAnsi="Times New Roman"/>
          <w:sz w:val="24"/>
        </w:rPr>
        <w:t xml:space="preserve">donc </w:t>
      </w:r>
      <w:r>
        <w:rPr>
          <w:rFonts w:ascii="Times New Roman" w:hAnsi="Times New Roman"/>
          <w:sz w:val="24"/>
        </w:rPr>
        <w:t xml:space="preserve">offrir une perspective </w:t>
      </w:r>
      <w:r w:rsidR="003E1587">
        <w:rPr>
          <w:rFonts w:ascii="Times New Roman" w:hAnsi="Times New Roman"/>
          <w:sz w:val="24"/>
        </w:rPr>
        <w:t>raisonnable.</w:t>
      </w:r>
      <w:r>
        <w:rPr>
          <w:rFonts w:ascii="Times New Roman" w:hAnsi="Times New Roman"/>
          <w:sz w:val="24"/>
        </w:rPr>
        <w:t xml:space="preserve"> </w:t>
      </w:r>
      <w:r w:rsidR="003E1587">
        <w:rPr>
          <w:rFonts w:ascii="Times New Roman" w:hAnsi="Times New Roman"/>
          <w:sz w:val="24"/>
        </w:rPr>
        <w:t>I</w:t>
      </w:r>
      <w:r>
        <w:rPr>
          <w:rFonts w:ascii="Times New Roman" w:hAnsi="Times New Roman"/>
          <w:sz w:val="24"/>
        </w:rPr>
        <w:t xml:space="preserve">l ne faut pas de garantie </w:t>
      </w:r>
      <w:r w:rsidR="003E1587">
        <w:rPr>
          <w:rFonts w:ascii="Times New Roman" w:hAnsi="Times New Roman"/>
          <w:sz w:val="24"/>
        </w:rPr>
        <w:t xml:space="preserve">et l’existence d’un </w:t>
      </w:r>
      <w:r>
        <w:rPr>
          <w:rFonts w:ascii="Times New Roman" w:hAnsi="Times New Roman"/>
          <w:sz w:val="24"/>
        </w:rPr>
        <w:t>risque ne suffit pas</w:t>
      </w:r>
      <w:r>
        <w:rPr>
          <w:rStyle w:val="Appelnotedebasdep"/>
          <w:rFonts w:ascii="Times New Roman" w:hAnsi="Times New Roman"/>
          <w:sz w:val="24"/>
        </w:rPr>
        <w:footnoteReference w:id="43"/>
      </w:r>
      <w:r>
        <w:rPr>
          <w:rFonts w:ascii="Times New Roman" w:hAnsi="Times New Roman"/>
          <w:sz w:val="24"/>
        </w:rPr>
        <w:t xml:space="preserve"> </w:t>
      </w:r>
      <w:r w:rsidR="003E1587">
        <w:rPr>
          <w:rFonts w:ascii="Times New Roman" w:hAnsi="Times New Roman"/>
          <w:sz w:val="24"/>
        </w:rPr>
        <w:t>à écarter le plan mais il faudra</w:t>
      </w:r>
      <w:r>
        <w:rPr>
          <w:rFonts w:ascii="Times New Roman" w:hAnsi="Times New Roman"/>
          <w:sz w:val="24"/>
        </w:rPr>
        <w:t xml:space="preserve"> des assurances raisonnables</w:t>
      </w:r>
      <w:r>
        <w:rPr>
          <w:rStyle w:val="Appelnotedebasdep"/>
          <w:rFonts w:ascii="Times New Roman" w:hAnsi="Times New Roman"/>
          <w:sz w:val="24"/>
        </w:rPr>
        <w:footnoteReference w:id="44"/>
      </w:r>
      <w:r>
        <w:rPr>
          <w:rFonts w:ascii="Times New Roman" w:hAnsi="Times New Roman"/>
          <w:sz w:val="24"/>
        </w:rPr>
        <w:t xml:space="preserve">. Il ne </w:t>
      </w:r>
      <w:r w:rsidR="003E1587">
        <w:rPr>
          <w:rFonts w:ascii="Times New Roman" w:hAnsi="Times New Roman"/>
          <w:sz w:val="24"/>
        </w:rPr>
        <w:t>faut</w:t>
      </w:r>
      <w:r>
        <w:rPr>
          <w:rFonts w:ascii="Times New Roman" w:hAnsi="Times New Roman"/>
          <w:sz w:val="24"/>
        </w:rPr>
        <w:t xml:space="preserve"> pas établir</w:t>
      </w:r>
      <w:r w:rsidR="003E1587">
        <w:rPr>
          <w:rFonts w:ascii="Times New Roman" w:hAnsi="Times New Roman"/>
          <w:sz w:val="24"/>
        </w:rPr>
        <w:t>, dans le cours de la procédure,</w:t>
      </w:r>
      <w:r>
        <w:rPr>
          <w:rFonts w:ascii="Times New Roman" w:hAnsi="Times New Roman"/>
          <w:sz w:val="24"/>
        </w:rPr>
        <w:t xml:space="preserve"> qu’inévitablement le plan sera adopté tant que les preuves supporte</w:t>
      </w:r>
      <w:r w:rsidR="003E1587">
        <w:rPr>
          <w:rFonts w:ascii="Times New Roman" w:hAnsi="Times New Roman"/>
          <w:sz w:val="24"/>
        </w:rPr>
        <w:t>nt</w:t>
      </w:r>
      <w:r>
        <w:rPr>
          <w:rFonts w:ascii="Times New Roman" w:hAnsi="Times New Roman"/>
          <w:sz w:val="24"/>
        </w:rPr>
        <w:t xml:space="preserve"> la faisabilité</w:t>
      </w:r>
      <w:r>
        <w:rPr>
          <w:rStyle w:val="Appelnotedebasdep"/>
          <w:rFonts w:ascii="Times New Roman" w:hAnsi="Times New Roman"/>
          <w:sz w:val="24"/>
        </w:rPr>
        <w:footnoteReference w:id="45"/>
      </w:r>
      <w:r w:rsidR="003E1587">
        <w:rPr>
          <w:rFonts w:ascii="Times New Roman" w:hAnsi="Times New Roman"/>
          <w:sz w:val="24"/>
        </w:rPr>
        <w:t xml:space="preserve"> après l’éventuel vote </w:t>
      </w:r>
      <w:r w:rsidR="003E1587">
        <w:rPr>
          <w:rFonts w:ascii="Times New Roman" w:hAnsi="Times New Roman"/>
          <w:sz w:val="24"/>
        </w:rPr>
        <w:lastRenderedPageBreak/>
        <w:t>du plan.</w:t>
      </w:r>
      <w:r>
        <w:rPr>
          <w:rFonts w:ascii="Times New Roman" w:hAnsi="Times New Roman"/>
          <w:sz w:val="24"/>
        </w:rPr>
        <w:t xml:space="preserve"> Cette évaluation est faite par le juge sur base de la valeur </w:t>
      </w:r>
      <w:r w:rsidR="003E1587">
        <w:rPr>
          <w:rFonts w:ascii="Times New Roman" w:hAnsi="Times New Roman"/>
          <w:sz w:val="24"/>
        </w:rPr>
        <w:t>de l’entreprise</w:t>
      </w:r>
      <w:r>
        <w:rPr>
          <w:rStyle w:val="Appelnotedebasdep"/>
          <w:rFonts w:ascii="Times New Roman" w:hAnsi="Times New Roman"/>
          <w:sz w:val="24"/>
        </w:rPr>
        <w:footnoteReference w:id="46"/>
      </w:r>
      <w:r w:rsidR="003E1587">
        <w:rPr>
          <w:rFonts w:ascii="Times New Roman" w:hAnsi="Times New Roman"/>
          <w:sz w:val="24"/>
        </w:rPr>
        <w:t xml:space="preserve">. </w:t>
      </w:r>
      <w:r>
        <w:rPr>
          <w:rFonts w:ascii="Times New Roman" w:hAnsi="Times New Roman"/>
          <w:sz w:val="24"/>
        </w:rPr>
        <w:t xml:space="preserve">La preuve de cette </w:t>
      </w:r>
      <w:r w:rsidR="003E1587">
        <w:rPr>
          <w:rFonts w:ascii="Times New Roman" w:hAnsi="Times New Roman"/>
          <w:sz w:val="24"/>
        </w:rPr>
        <w:t>« </w:t>
      </w:r>
      <w:r w:rsidRPr="003E1587">
        <w:rPr>
          <w:rFonts w:ascii="Times New Roman" w:hAnsi="Times New Roman"/>
          <w:i/>
          <w:sz w:val="24"/>
        </w:rPr>
        <w:t>faisabilité</w:t>
      </w:r>
      <w:r w:rsidR="003E1587">
        <w:rPr>
          <w:rFonts w:ascii="Times New Roman" w:hAnsi="Times New Roman"/>
          <w:sz w:val="24"/>
        </w:rPr>
        <w:t> »</w:t>
      </w:r>
      <w:r>
        <w:rPr>
          <w:rFonts w:ascii="Times New Roman" w:hAnsi="Times New Roman"/>
          <w:sz w:val="24"/>
        </w:rPr>
        <w:t xml:space="preserve"> doit être rapportée par le débiteur contredit par les créanciers</w:t>
      </w:r>
      <w:r>
        <w:rPr>
          <w:rStyle w:val="Appelnotedebasdep"/>
          <w:rFonts w:ascii="Times New Roman" w:hAnsi="Times New Roman"/>
          <w:sz w:val="24"/>
        </w:rPr>
        <w:footnoteReference w:id="47"/>
      </w:r>
      <w:r>
        <w:rPr>
          <w:rFonts w:ascii="Times New Roman" w:hAnsi="Times New Roman"/>
          <w:sz w:val="24"/>
        </w:rPr>
        <w:t xml:space="preserve">. </w:t>
      </w:r>
      <w:r w:rsidR="003E1587">
        <w:rPr>
          <w:rFonts w:ascii="Times New Roman" w:hAnsi="Times New Roman"/>
          <w:sz w:val="24"/>
        </w:rPr>
        <w:t xml:space="preserve">À titre d’exemple, la Cour d’appel, au 9th circuit, </w:t>
      </w:r>
      <w:r>
        <w:rPr>
          <w:rFonts w:ascii="Times New Roman" w:hAnsi="Times New Roman"/>
          <w:sz w:val="24"/>
        </w:rPr>
        <w:t>retient</w:t>
      </w:r>
      <w:r w:rsidR="003E1587">
        <w:rPr>
          <w:rFonts w:ascii="Times New Roman" w:hAnsi="Times New Roman"/>
          <w:sz w:val="24"/>
        </w:rPr>
        <w:t>, pour réaliser ce test de viabilité,</w:t>
      </w:r>
      <w:r>
        <w:rPr>
          <w:rFonts w:ascii="Times New Roman" w:hAnsi="Times New Roman"/>
          <w:sz w:val="24"/>
        </w:rPr>
        <w:t xml:space="preserve"> la structure du capital et des fonds propres, la capacité bénéficiaire du secteur d’activité, les conditions </w:t>
      </w:r>
      <w:r w:rsidR="003E1587">
        <w:rPr>
          <w:rFonts w:ascii="Times New Roman" w:hAnsi="Times New Roman"/>
          <w:sz w:val="24"/>
        </w:rPr>
        <w:t>économique,</w:t>
      </w:r>
      <w:r>
        <w:rPr>
          <w:rFonts w:ascii="Times New Roman" w:hAnsi="Times New Roman"/>
          <w:sz w:val="24"/>
        </w:rPr>
        <w:t xml:space="preserve"> la compétence du management, la probabilité de poursuite des ventes et tous les éléments propres aux difficultés du débiteur, et enfin la probabilité de réalisation du plan. Le juge anticipe</w:t>
      </w:r>
      <w:r w:rsidR="003E1587">
        <w:rPr>
          <w:rFonts w:ascii="Times New Roman" w:hAnsi="Times New Roman"/>
          <w:sz w:val="24"/>
        </w:rPr>
        <w:t xml:space="preserve"> en réalité sur</w:t>
      </w:r>
      <w:r>
        <w:rPr>
          <w:rFonts w:ascii="Times New Roman" w:hAnsi="Times New Roman"/>
          <w:sz w:val="24"/>
        </w:rPr>
        <w:t xml:space="preserve"> la probabilité d’acceptation des créanciers</w:t>
      </w:r>
      <w:r>
        <w:rPr>
          <w:rStyle w:val="Appelnotedebasdep"/>
          <w:rFonts w:ascii="Times New Roman" w:hAnsi="Times New Roman"/>
          <w:sz w:val="24"/>
        </w:rPr>
        <w:footnoteReference w:id="48"/>
      </w:r>
      <w:r w:rsidR="003E1587">
        <w:rPr>
          <w:rFonts w:ascii="Times New Roman" w:hAnsi="Times New Roman"/>
          <w:sz w:val="24"/>
        </w:rPr>
        <w:t>.</w:t>
      </w:r>
    </w:p>
    <w:p w:rsidR="008064D7" w:rsidRDefault="008064D7" w:rsidP="00194A62">
      <w:pPr>
        <w:pStyle w:val="Paragraphedeliste"/>
        <w:spacing w:line="240" w:lineRule="auto"/>
        <w:ind w:left="786"/>
        <w:rPr>
          <w:rFonts w:ascii="Times New Roman" w:hAnsi="Times New Roman"/>
          <w:sz w:val="24"/>
          <w:u w:val="single"/>
        </w:rPr>
      </w:pPr>
    </w:p>
    <w:p w:rsidR="008064D7" w:rsidRDefault="008064D7" w:rsidP="00194A62">
      <w:pPr>
        <w:pStyle w:val="Paragraphedeliste"/>
        <w:spacing w:line="240" w:lineRule="auto"/>
        <w:ind w:left="786"/>
        <w:rPr>
          <w:rFonts w:ascii="Times New Roman" w:hAnsi="Times New Roman"/>
          <w:sz w:val="24"/>
        </w:rPr>
      </w:pPr>
      <w:r w:rsidRPr="00194A62">
        <w:rPr>
          <w:rFonts w:ascii="Times New Roman" w:hAnsi="Times New Roman"/>
          <w:sz w:val="24"/>
        </w:rPr>
        <w:t xml:space="preserve">Le juge se base sur les </w:t>
      </w:r>
      <w:r w:rsidRPr="007C17D3">
        <w:rPr>
          <w:rFonts w:ascii="Times New Roman" w:hAnsi="Times New Roman"/>
          <w:i/>
          <w:sz w:val="24"/>
        </w:rPr>
        <w:t>disclosures</w:t>
      </w:r>
      <w:r w:rsidRPr="00194A62">
        <w:rPr>
          <w:rFonts w:ascii="Times New Roman" w:hAnsi="Times New Roman"/>
          <w:sz w:val="24"/>
        </w:rPr>
        <w:t xml:space="preserve"> </w:t>
      </w:r>
      <w:r w:rsidR="003E1587">
        <w:rPr>
          <w:rFonts w:ascii="Times New Roman" w:hAnsi="Times New Roman"/>
          <w:sz w:val="24"/>
        </w:rPr>
        <w:t xml:space="preserve">faites par le débiteur </w:t>
      </w:r>
      <w:r w:rsidRPr="00194A62">
        <w:rPr>
          <w:rFonts w:ascii="Times New Roman" w:hAnsi="Times New Roman"/>
          <w:sz w:val="24"/>
        </w:rPr>
        <w:t>qui doivent contenir des prévisions de flux raisonnable</w:t>
      </w:r>
      <w:r>
        <w:rPr>
          <w:rStyle w:val="Appelnotedebasdep"/>
          <w:rFonts w:ascii="Times New Roman" w:hAnsi="Times New Roman"/>
          <w:sz w:val="24"/>
        </w:rPr>
        <w:footnoteReference w:id="49"/>
      </w:r>
      <w:r w:rsidR="003E1587">
        <w:rPr>
          <w:rFonts w:ascii="Times New Roman" w:hAnsi="Times New Roman"/>
          <w:sz w:val="24"/>
        </w:rPr>
        <w:t>. Le juge analyse l</w:t>
      </w:r>
      <w:r>
        <w:rPr>
          <w:rFonts w:ascii="Times New Roman" w:hAnsi="Times New Roman"/>
          <w:sz w:val="24"/>
        </w:rPr>
        <w:t>es projections au regard du passé et des description</w:t>
      </w:r>
      <w:r w:rsidR="003E1587">
        <w:rPr>
          <w:rFonts w:ascii="Times New Roman" w:hAnsi="Times New Roman"/>
          <w:sz w:val="24"/>
        </w:rPr>
        <w:t>s</w:t>
      </w:r>
      <w:r>
        <w:rPr>
          <w:rFonts w:ascii="Times New Roman" w:hAnsi="Times New Roman"/>
          <w:sz w:val="24"/>
        </w:rPr>
        <w:t xml:space="preserve"> raisonnable</w:t>
      </w:r>
      <w:r w:rsidR="003E1587">
        <w:rPr>
          <w:rFonts w:ascii="Times New Roman" w:hAnsi="Times New Roman"/>
          <w:sz w:val="24"/>
        </w:rPr>
        <w:t>s</w:t>
      </w:r>
      <w:r>
        <w:rPr>
          <w:rFonts w:ascii="Times New Roman" w:hAnsi="Times New Roman"/>
          <w:sz w:val="24"/>
        </w:rPr>
        <w:t xml:space="preserve"> des scénarios présentés</w:t>
      </w:r>
      <w:r>
        <w:rPr>
          <w:rStyle w:val="Appelnotedebasdep"/>
          <w:rFonts w:ascii="Times New Roman" w:hAnsi="Times New Roman"/>
          <w:sz w:val="24"/>
        </w:rPr>
        <w:footnoteReference w:id="50"/>
      </w:r>
      <w:r w:rsidR="003E1587">
        <w:rPr>
          <w:rFonts w:ascii="Times New Roman" w:hAnsi="Times New Roman"/>
          <w:sz w:val="24"/>
        </w:rPr>
        <w:t>.</w:t>
      </w:r>
      <w:r>
        <w:rPr>
          <w:rFonts w:ascii="Times New Roman" w:hAnsi="Times New Roman"/>
          <w:sz w:val="24"/>
        </w:rPr>
        <w:t xml:space="preserve"> </w:t>
      </w:r>
    </w:p>
    <w:p w:rsidR="008064D7" w:rsidRDefault="008064D7" w:rsidP="00194A62">
      <w:pPr>
        <w:pStyle w:val="Paragraphedeliste"/>
        <w:spacing w:line="240" w:lineRule="auto"/>
        <w:ind w:left="786"/>
        <w:rPr>
          <w:rFonts w:ascii="Times New Roman" w:hAnsi="Times New Roman"/>
          <w:sz w:val="24"/>
        </w:rPr>
      </w:pPr>
    </w:p>
    <w:p w:rsidR="008064D7" w:rsidRPr="00AC0598" w:rsidRDefault="008064D7" w:rsidP="00AC0598">
      <w:pPr>
        <w:pStyle w:val="Titre2"/>
        <w:rPr>
          <w:rFonts w:ascii="Times New Roman" w:hAnsi="Times New Roman" w:cs="Times New Roman"/>
        </w:rPr>
      </w:pPr>
      <w:bookmarkStart w:id="5" w:name="_Toc55407451"/>
      <w:r>
        <w:rPr>
          <w:rFonts w:ascii="Times New Roman" w:hAnsi="Times New Roman" w:cs="Times New Roman"/>
        </w:rPr>
        <w:t>D</w:t>
      </w:r>
      <w:r w:rsidRPr="00F31798">
        <w:rPr>
          <w:rFonts w:ascii="Times New Roman" w:hAnsi="Times New Roman" w:cs="Times New Roman"/>
        </w:rPr>
        <w:t xml:space="preserve">) </w:t>
      </w:r>
      <w:r>
        <w:rPr>
          <w:rFonts w:ascii="Times New Roman" w:hAnsi="Times New Roman" w:cs="Times New Roman"/>
        </w:rPr>
        <w:tab/>
      </w:r>
      <w:r w:rsidR="003E1587">
        <w:rPr>
          <w:rFonts w:ascii="Times New Roman" w:hAnsi="Times New Roman" w:cs="Times New Roman"/>
        </w:rPr>
        <w:t>D</w:t>
      </w:r>
      <w:r w:rsidRPr="00F31798">
        <w:rPr>
          <w:rFonts w:ascii="Times New Roman" w:hAnsi="Times New Roman" w:cs="Times New Roman"/>
        </w:rPr>
        <w:t xml:space="preserve">es règles </w:t>
      </w:r>
      <w:r>
        <w:rPr>
          <w:rFonts w:ascii="Times New Roman" w:hAnsi="Times New Roman" w:cs="Times New Roman"/>
        </w:rPr>
        <w:t>« </w:t>
      </w:r>
      <w:r w:rsidRPr="007C17D3">
        <w:rPr>
          <w:rFonts w:ascii="Times New Roman" w:hAnsi="Times New Roman" w:cs="Times New Roman"/>
          <w:i/>
        </w:rPr>
        <w:t>In the money</w:t>
      </w:r>
      <w:r>
        <w:rPr>
          <w:rFonts w:ascii="Times New Roman" w:hAnsi="Times New Roman" w:cs="Times New Roman"/>
        </w:rPr>
        <w:t xml:space="preserve"> » </w:t>
      </w:r>
      <w:r w:rsidR="003E1587">
        <w:rPr>
          <w:rFonts w:ascii="Times New Roman" w:hAnsi="Times New Roman" w:cs="Times New Roman"/>
        </w:rPr>
        <w:t xml:space="preserve">sont </w:t>
      </w:r>
      <w:r>
        <w:rPr>
          <w:rFonts w:ascii="Times New Roman" w:hAnsi="Times New Roman" w:cs="Times New Roman"/>
        </w:rPr>
        <w:t>déjà dans le livre XX</w:t>
      </w:r>
      <w:bookmarkEnd w:id="5"/>
    </w:p>
    <w:p w:rsidR="008064D7" w:rsidRPr="000C2F65" w:rsidRDefault="008064D7" w:rsidP="000C2F65">
      <w:pPr>
        <w:pStyle w:val="Paragraphedeliste"/>
        <w:spacing w:line="240" w:lineRule="auto"/>
        <w:ind w:left="786"/>
        <w:rPr>
          <w:rFonts w:ascii="Times New Roman" w:hAnsi="Times New Roman"/>
          <w:sz w:val="24"/>
        </w:rPr>
      </w:pPr>
    </w:p>
    <w:p w:rsidR="008064D7" w:rsidRPr="00EE1371" w:rsidRDefault="008064D7" w:rsidP="007565AA">
      <w:pPr>
        <w:pStyle w:val="Paragraphedeliste"/>
        <w:numPr>
          <w:ilvl w:val="0"/>
          <w:numId w:val="2"/>
        </w:numPr>
        <w:spacing w:line="240" w:lineRule="auto"/>
        <w:rPr>
          <w:rFonts w:ascii="Times New Roman" w:hAnsi="Times New Roman"/>
          <w:sz w:val="24"/>
        </w:rPr>
      </w:pPr>
      <w:r w:rsidRPr="00E85121">
        <w:rPr>
          <w:rFonts w:ascii="Times New Roman" w:hAnsi="Times New Roman"/>
          <w:sz w:val="24"/>
          <w:u w:val="single"/>
        </w:rPr>
        <w:t xml:space="preserve">La </w:t>
      </w:r>
      <w:r>
        <w:rPr>
          <w:rFonts w:ascii="Times New Roman" w:hAnsi="Times New Roman"/>
          <w:sz w:val="24"/>
          <w:u w:val="single"/>
        </w:rPr>
        <w:t>1</w:t>
      </w:r>
      <w:r w:rsidRPr="00F31798">
        <w:rPr>
          <w:rFonts w:ascii="Times New Roman" w:hAnsi="Times New Roman"/>
          <w:sz w:val="24"/>
          <w:u w:val="single"/>
          <w:vertAlign w:val="superscript"/>
        </w:rPr>
        <w:t>ère</w:t>
      </w:r>
      <w:r>
        <w:rPr>
          <w:rFonts w:ascii="Times New Roman" w:hAnsi="Times New Roman"/>
          <w:sz w:val="24"/>
          <w:u w:val="single"/>
        </w:rPr>
        <w:t xml:space="preserve"> </w:t>
      </w:r>
      <w:r w:rsidRPr="00E85121">
        <w:rPr>
          <w:rFonts w:ascii="Times New Roman" w:hAnsi="Times New Roman"/>
          <w:sz w:val="24"/>
          <w:u w:val="single"/>
        </w:rPr>
        <w:t>règle</w:t>
      </w:r>
      <w:r>
        <w:rPr>
          <w:rFonts w:ascii="Times New Roman" w:hAnsi="Times New Roman"/>
          <w:sz w:val="24"/>
          <w:u w:val="single"/>
        </w:rPr>
        <w:t xml:space="preserve"> </w:t>
      </w:r>
      <w:r w:rsidR="003E1587">
        <w:rPr>
          <w:rFonts w:ascii="Times New Roman" w:hAnsi="Times New Roman"/>
          <w:sz w:val="24"/>
          <w:u w:val="single"/>
        </w:rPr>
        <w:t>du Livre XX</w:t>
      </w:r>
      <w:r>
        <w:rPr>
          <w:rFonts w:ascii="Times New Roman" w:hAnsi="Times New Roman"/>
          <w:sz w:val="24"/>
          <w:u w:val="single"/>
        </w:rPr>
        <w:t xml:space="preserve"> faisant référence à</w:t>
      </w:r>
      <w:r w:rsidRPr="00E85121">
        <w:rPr>
          <w:rFonts w:ascii="Times New Roman" w:hAnsi="Times New Roman"/>
          <w:sz w:val="24"/>
          <w:u w:val="single"/>
        </w:rPr>
        <w:t xml:space="preserve"> la </w:t>
      </w:r>
      <w:r>
        <w:rPr>
          <w:rFonts w:ascii="Times New Roman" w:hAnsi="Times New Roman"/>
          <w:sz w:val="24"/>
          <w:u w:val="single"/>
        </w:rPr>
        <w:t>valeur est celle qui fixe la valeur des actifs servant d’assiette au</w:t>
      </w:r>
      <w:r w:rsidRPr="00E85121">
        <w:rPr>
          <w:rFonts w:ascii="Times New Roman" w:hAnsi="Times New Roman"/>
          <w:sz w:val="24"/>
          <w:u w:val="single"/>
        </w:rPr>
        <w:t xml:space="preserve"> créancier extraordinaire </w:t>
      </w:r>
      <w:r>
        <w:rPr>
          <w:rFonts w:ascii="Times New Roman" w:hAnsi="Times New Roman"/>
          <w:sz w:val="24"/>
          <w:u w:val="single"/>
        </w:rPr>
        <w:t>visé en présence d’un gage qui n’est pas un gage de registre.</w:t>
      </w:r>
      <w:r>
        <w:rPr>
          <w:rFonts w:ascii="Times New Roman" w:hAnsi="Times New Roman"/>
          <w:sz w:val="24"/>
        </w:rPr>
        <w:t xml:space="preserve"> </w:t>
      </w:r>
      <w:r w:rsidR="003E1587">
        <w:rPr>
          <w:rFonts w:ascii="Times New Roman" w:hAnsi="Times New Roman"/>
          <w:sz w:val="24"/>
        </w:rPr>
        <w:t xml:space="preserve">Nous verrons ci-après </w:t>
      </w:r>
      <w:r>
        <w:rPr>
          <w:rFonts w:ascii="Times New Roman" w:hAnsi="Times New Roman"/>
          <w:sz w:val="24"/>
        </w:rPr>
        <w:t>que l</w:t>
      </w:r>
      <w:r w:rsidRPr="00EE1371">
        <w:rPr>
          <w:rFonts w:ascii="Times New Roman" w:hAnsi="Times New Roman"/>
          <w:sz w:val="24"/>
        </w:rPr>
        <w:t>’article I, 22, 14°, en définissant le créancier extraordinaire comme tout créancier qui bénéficie d’une sûreté sur un actif</w:t>
      </w:r>
      <w:r>
        <w:rPr>
          <w:rFonts w:ascii="Times New Roman" w:hAnsi="Times New Roman"/>
          <w:sz w:val="24"/>
        </w:rPr>
        <w:t>,</w:t>
      </w:r>
      <w:r w:rsidRPr="00EE1371">
        <w:rPr>
          <w:rFonts w:ascii="Times New Roman" w:hAnsi="Times New Roman"/>
          <w:sz w:val="24"/>
        </w:rPr>
        <w:t xml:space="preserve"> n’a pas précisé s’il s’appliquait uniquement aux actifs </w:t>
      </w:r>
      <w:r w:rsidRPr="00BA0CF5">
        <w:rPr>
          <w:rFonts w:ascii="Times New Roman" w:hAnsi="Times New Roman"/>
          <w:sz w:val="24"/>
          <w:u w:val="single"/>
        </w:rPr>
        <w:t>du débiteur</w:t>
      </w:r>
      <w:r w:rsidR="003E1587">
        <w:rPr>
          <w:rFonts w:ascii="Times New Roman" w:hAnsi="Times New Roman"/>
          <w:sz w:val="24"/>
        </w:rPr>
        <w:t xml:space="preserve">, si bien qu’il  a été jugé </w:t>
      </w:r>
      <w:r w:rsidRPr="00EE1371">
        <w:rPr>
          <w:rFonts w:ascii="Times New Roman" w:hAnsi="Times New Roman"/>
          <w:sz w:val="24"/>
        </w:rPr>
        <w:t>s’il s’appliquait également dans l’hypothèse où le gage porte sur un actif externe au débiteur, que ce soit celui qui se trouverait être localisé dans une filiale ou une société-sœur, sur des actifs personnels à l’actionnaire ou au dirigeant, sur un actif de la société sorti du patrimoine comme en matière de fiducie</w:t>
      </w:r>
      <w:r>
        <w:rPr>
          <w:rFonts w:ascii="Times New Roman" w:hAnsi="Times New Roman"/>
          <w:sz w:val="24"/>
        </w:rPr>
        <w:t xml:space="preserve">, mais </w:t>
      </w:r>
      <w:r w:rsidR="003E1587">
        <w:rPr>
          <w:rFonts w:ascii="Times New Roman" w:hAnsi="Times New Roman"/>
          <w:sz w:val="24"/>
        </w:rPr>
        <w:t xml:space="preserve">aussi </w:t>
      </w:r>
      <w:r w:rsidRPr="00EE1371">
        <w:rPr>
          <w:rFonts w:ascii="Times New Roman" w:hAnsi="Times New Roman"/>
          <w:sz w:val="24"/>
        </w:rPr>
        <w:t>sur les actions de la soc</w:t>
      </w:r>
      <w:r>
        <w:rPr>
          <w:rFonts w:ascii="Times New Roman" w:hAnsi="Times New Roman"/>
          <w:sz w:val="24"/>
        </w:rPr>
        <w:t>iété ou</w:t>
      </w:r>
      <w:r w:rsidRPr="00EE1371">
        <w:rPr>
          <w:rFonts w:ascii="Times New Roman" w:hAnsi="Times New Roman"/>
          <w:sz w:val="24"/>
        </w:rPr>
        <w:t xml:space="preserve"> des actions des filiales</w:t>
      </w:r>
      <w:r>
        <w:rPr>
          <w:rFonts w:ascii="Times New Roman" w:hAnsi="Times New Roman"/>
          <w:sz w:val="24"/>
        </w:rPr>
        <w:t>, car dans ce cas, cette règle revient à é</w:t>
      </w:r>
      <w:r w:rsidRPr="007C17D3">
        <w:rPr>
          <w:rFonts w:ascii="Times New Roman" w:hAnsi="Times New Roman"/>
          <w:i/>
          <w:sz w:val="24"/>
        </w:rPr>
        <w:t>value</w:t>
      </w:r>
      <w:r>
        <w:rPr>
          <w:rFonts w:ascii="Times New Roman" w:hAnsi="Times New Roman"/>
          <w:sz w:val="24"/>
        </w:rPr>
        <w:t>r « </w:t>
      </w:r>
      <w:r>
        <w:rPr>
          <w:rFonts w:ascii="Times New Roman" w:hAnsi="Times New Roman"/>
          <w:i/>
          <w:sz w:val="24"/>
        </w:rPr>
        <w:t>l’entreprise</w:t>
      </w:r>
      <w:r>
        <w:rPr>
          <w:rFonts w:ascii="Times New Roman" w:hAnsi="Times New Roman"/>
          <w:sz w:val="24"/>
        </w:rPr>
        <w:t> » en « </w:t>
      </w:r>
      <w:r w:rsidRPr="007C17D3">
        <w:rPr>
          <w:rFonts w:ascii="Times New Roman" w:hAnsi="Times New Roman"/>
          <w:i/>
          <w:sz w:val="24"/>
        </w:rPr>
        <w:t>going-concern</w:t>
      </w:r>
      <w:r>
        <w:rPr>
          <w:rFonts w:ascii="Times New Roman" w:hAnsi="Times New Roman"/>
          <w:i/>
          <w:sz w:val="24"/>
        </w:rPr>
        <w:t> »</w:t>
      </w:r>
      <w:r>
        <w:rPr>
          <w:rStyle w:val="Appelnotedebasdep"/>
          <w:rFonts w:ascii="Times New Roman" w:hAnsi="Times New Roman"/>
          <w:i/>
          <w:sz w:val="24"/>
        </w:rPr>
        <w:footnoteReference w:id="51"/>
      </w:r>
      <w:r w:rsidR="003E1587">
        <w:rPr>
          <w:rFonts w:ascii="Times New Roman" w:hAnsi="Times New Roman"/>
          <w:i/>
          <w:sz w:val="24"/>
        </w:rPr>
        <w:t>.</w:t>
      </w:r>
    </w:p>
    <w:p w:rsidR="008064D7" w:rsidRDefault="008064D7" w:rsidP="008E64FB">
      <w:pPr>
        <w:spacing w:line="240" w:lineRule="auto"/>
        <w:ind w:left="786"/>
        <w:rPr>
          <w:rFonts w:ascii="Times New Roman" w:hAnsi="Times New Roman"/>
          <w:sz w:val="24"/>
        </w:rPr>
      </w:pPr>
    </w:p>
    <w:p w:rsidR="008064D7" w:rsidRPr="001B33E7" w:rsidRDefault="008064D7" w:rsidP="007565AA">
      <w:pPr>
        <w:pStyle w:val="Paragraphedeliste"/>
        <w:numPr>
          <w:ilvl w:val="0"/>
          <w:numId w:val="2"/>
        </w:numPr>
        <w:spacing w:line="240" w:lineRule="auto"/>
        <w:rPr>
          <w:rFonts w:ascii="Times New Roman" w:hAnsi="Times New Roman"/>
          <w:sz w:val="24"/>
          <w:u w:val="single"/>
        </w:rPr>
      </w:pPr>
      <w:r w:rsidRPr="00E85121">
        <w:rPr>
          <w:rFonts w:ascii="Times New Roman" w:hAnsi="Times New Roman"/>
          <w:sz w:val="24"/>
          <w:u w:val="single"/>
        </w:rPr>
        <w:t>L</w:t>
      </w:r>
      <w:r>
        <w:rPr>
          <w:rFonts w:ascii="Times New Roman" w:hAnsi="Times New Roman"/>
          <w:sz w:val="24"/>
          <w:u w:val="single"/>
        </w:rPr>
        <w:t>a</w:t>
      </w:r>
      <w:r w:rsidRPr="00E85121">
        <w:rPr>
          <w:rFonts w:ascii="Times New Roman" w:hAnsi="Times New Roman"/>
          <w:sz w:val="24"/>
          <w:u w:val="single"/>
        </w:rPr>
        <w:t xml:space="preserve"> </w:t>
      </w:r>
      <w:r>
        <w:rPr>
          <w:rFonts w:ascii="Times New Roman" w:hAnsi="Times New Roman"/>
          <w:sz w:val="24"/>
          <w:u w:val="single"/>
        </w:rPr>
        <w:t>2</w:t>
      </w:r>
      <w:r w:rsidRPr="008E64FB">
        <w:rPr>
          <w:rFonts w:ascii="Times New Roman" w:hAnsi="Times New Roman"/>
          <w:sz w:val="24"/>
          <w:u w:val="single"/>
          <w:vertAlign w:val="superscript"/>
        </w:rPr>
        <w:t>ème</w:t>
      </w:r>
      <w:r>
        <w:rPr>
          <w:rFonts w:ascii="Times New Roman" w:hAnsi="Times New Roman"/>
          <w:sz w:val="24"/>
          <w:u w:val="single"/>
        </w:rPr>
        <w:t xml:space="preserve"> règle de droit interne faisait référence à la valeur est celle de la valeur d’échange </w:t>
      </w:r>
      <w:r w:rsidRPr="00E85121">
        <w:rPr>
          <w:rFonts w:ascii="Times New Roman" w:hAnsi="Times New Roman"/>
          <w:sz w:val="24"/>
          <w:u w:val="single"/>
        </w:rPr>
        <w:t xml:space="preserve">de la conversion des créanciers en action prévue par l’article </w:t>
      </w:r>
      <w:r w:rsidRPr="009B0345">
        <w:rPr>
          <w:rFonts w:ascii="Times New Roman" w:hAnsi="Times New Roman"/>
          <w:b/>
          <w:bCs/>
          <w:sz w:val="24"/>
          <w:u w:val="single"/>
        </w:rPr>
        <w:t>XX</w:t>
      </w:r>
      <w:r>
        <w:rPr>
          <w:rFonts w:ascii="Times New Roman" w:hAnsi="Times New Roman"/>
          <w:b/>
          <w:bCs/>
          <w:sz w:val="24"/>
          <w:u w:val="single"/>
        </w:rPr>
        <w:t>.</w:t>
      </w:r>
      <w:r w:rsidRPr="009B0345">
        <w:rPr>
          <w:rFonts w:ascii="Times New Roman" w:hAnsi="Times New Roman"/>
          <w:b/>
          <w:bCs/>
          <w:sz w:val="24"/>
          <w:u w:val="single"/>
        </w:rPr>
        <w:t>72</w:t>
      </w:r>
      <w:r w:rsidRPr="00E85121">
        <w:rPr>
          <w:rFonts w:ascii="Times New Roman" w:hAnsi="Times New Roman"/>
          <w:sz w:val="24"/>
          <w:u w:val="single"/>
        </w:rPr>
        <w:t>.</w:t>
      </w:r>
      <w:r w:rsidRPr="002D220B">
        <w:rPr>
          <w:rFonts w:ascii="Times New Roman" w:hAnsi="Times New Roman"/>
          <w:sz w:val="24"/>
        </w:rPr>
        <w:t xml:space="preserve">  </w:t>
      </w:r>
      <w:r>
        <w:rPr>
          <w:rFonts w:ascii="Times New Roman" w:hAnsi="Times New Roman"/>
          <w:sz w:val="24"/>
        </w:rPr>
        <w:t>En droit interne, d</w:t>
      </w:r>
      <w:r w:rsidRPr="001B33E7">
        <w:rPr>
          <w:rFonts w:ascii="Times New Roman" w:hAnsi="Times New Roman"/>
          <w:sz w:val="24"/>
        </w:rPr>
        <w:t xml:space="preserve">errière une technique qui semble assez simple se pose, en réalité, de très nombreuses questions </w:t>
      </w:r>
      <w:r w:rsidR="001D5BD6">
        <w:rPr>
          <w:rFonts w:ascii="Times New Roman" w:hAnsi="Times New Roman"/>
          <w:sz w:val="24"/>
        </w:rPr>
        <w:t>en lien avec la valeur que nous examinerons ci-après.</w:t>
      </w:r>
    </w:p>
    <w:p w:rsidR="008064D7" w:rsidRDefault="008064D7" w:rsidP="00DB4444">
      <w:pPr>
        <w:spacing w:line="240" w:lineRule="auto"/>
        <w:ind w:left="786"/>
        <w:rPr>
          <w:rFonts w:ascii="Times New Roman" w:hAnsi="Times New Roman"/>
          <w:sz w:val="24"/>
        </w:rPr>
      </w:pPr>
    </w:p>
    <w:p w:rsidR="008064D7" w:rsidRPr="00BA0CF5" w:rsidRDefault="008064D7" w:rsidP="007565AA">
      <w:pPr>
        <w:pStyle w:val="Paragraphedeliste"/>
        <w:numPr>
          <w:ilvl w:val="0"/>
          <w:numId w:val="2"/>
        </w:numPr>
        <w:spacing w:line="240" w:lineRule="auto"/>
        <w:rPr>
          <w:rFonts w:ascii="Times New Roman" w:hAnsi="Times New Roman"/>
          <w:sz w:val="24"/>
        </w:rPr>
      </w:pPr>
      <w:r w:rsidRPr="00A13E75">
        <w:rPr>
          <w:rFonts w:ascii="Times New Roman" w:hAnsi="Times New Roman"/>
          <w:sz w:val="24"/>
          <w:u w:val="single"/>
        </w:rPr>
        <w:t>L</w:t>
      </w:r>
      <w:r>
        <w:rPr>
          <w:rFonts w:ascii="Times New Roman" w:hAnsi="Times New Roman"/>
          <w:sz w:val="24"/>
          <w:u w:val="single"/>
        </w:rPr>
        <w:t>a</w:t>
      </w:r>
      <w:r w:rsidRPr="00A13E75">
        <w:rPr>
          <w:rFonts w:ascii="Times New Roman" w:hAnsi="Times New Roman"/>
          <w:sz w:val="24"/>
          <w:u w:val="single"/>
        </w:rPr>
        <w:t xml:space="preserve"> </w:t>
      </w:r>
      <w:r>
        <w:rPr>
          <w:rFonts w:ascii="Times New Roman" w:hAnsi="Times New Roman"/>
          <w:sz w:val="24"/>
          <w:u w:val="single"/>
        </w:rPr>
        <w:t>3</w:t>
      </w:r>
      <w:r w:rsidRPr="00A13E75">
        <w:rPr>
          <w:rFonts w:ascii="Times New Roman" w:hAnsi="Times New Roman"/>
          <w:sz w:val="24"/>
          <w:u w:val="single"/>
          <w:vertAlign w:val="superscript"/>
        </w:rPr>
        <w:t>ème</w:t>
      </w:r>
      <w:r w:rsidRPr="00A13E75">
        <w:rPr>
          <w:rFonts w:ascii="Times New Roman" w:hAnsi="Times New Roman"/>
          <w:sz w:val="24"/>
          <w:u w:val="single"/>
        </w:rPr>
        <w:t xml:space="preserve"> </w:t>
      </w:r>
      <w:r>
        <w:rPr>
          <w:rFonts w:ascii="Times New Roman" w:hAnsi="Times New Roman"/>
          <w:sz w:val="24"/>
          <w:u w:val="single"/>
        </w:rPr>
        <w:t xml:space="preserve">règle de droit interne qui fait référence à la valeur est celle de l’article </w:t>
      </w:r>
      <w:r w:rsidRPr="00D32156">
        <w:rPr>
          <w:rFonts w:ascii="Times New Roman" w:hAnsi="Times New Roman"/>
          <w:b/>
          <w:sz w:val="24"/>
          <w:u w:val="single"/>
        </w:rPr>
        <w:t>XX 87</w:t>
      </w:r>
      <w:r>
        <w:rPr>
          <w:rFonts w:ascii="Times New Roman" w:hAnsi="Times New Roman"/>
          <w:sz w:val="24"/>
          <w:u w:val="single"/>
        </w:rPr>
        <w:t xml:space="preserve"> dans le cas d’une</w:t>
      </w:r>
      <w:r w:rsidRPr="00A13E75">
        <w:rPr>
          <w:rFonts w:ascii="Times New Roman" w:hAnsi="Times New Roman"/>
          <w:sz w:val="24"/>
          <w:u w:val="single"/>
        </w:rPr>
        <w:t xml:space="preserve"> PRJ transfert</w:t>
      </w:r>
      <w:r>
        <w:rPr>
          <w:rFonts w:ascii="Times New Roman" w:hAnsi="Times New Roman"/>
          <w:sz w:val="24"/>
        </w:rPr>
        <w:t xml:space="preserve"> et, plus particulièrement, de la question de la valeur estimée en cas de faillite. </w:t>
      </w:r>
      <w:r w:rsidRPr="00BA0CF5">
        <w:rPr>
          <w:rFonts w:ascii="Times New Roman" w:hAnsi="Times New Roman"/>
          <w:sz w:val="24"/>
        </w:rPr>
        <w:t xml:space="preserve">Il faudra comparer </w:t>
      </w:r>
      <w:r>
        <w:rPr>
          <w:rFonts w:ascii="Times New Roman" w:hAnsi="Times New Roman"/>
          <w:sz w:val="24"/>
        </w:rPr>
        <w:t>les critères proposés par l’article</w:t>
      </w:r>
      <w:r w:rsidRPr="00BA0CF5">
        <w:rPr>
          <w:rFonts w:ascii="Times New Roman" w:hAnsi="Times New Roman"/>
          <w:sz w:val="24"/>
        </w:rPr>
        <w:t xml:space="preserve"> </w:t>
      </w:r>
      <w:r w:rsidRPr="00BA0CF5">
        <w:rPr>
          <w:rFonts w:ascii="Times New Roman" w:hAnsi="Times New Roman"/>
          <w:b/>
          <w:bCs/>
          <w:sz w:val="24"/>
        </w:rPr>
        <w:t>XX</w:t>
      </w:r>
      <w:r>
        <w:rPr>
          <w:rFonts w:ascii="Times New Roman" w:hAnsi="Times New Roman"/>
          <w:b/>
          <w:bCs/>
          <w:sz w:val="24"/>
        </w:rPr>
        <w:t>.</w:t>
      </w:r>
      <w:r w:rsidRPr="00BA0CF5">
        <w:rPr>
          <w:rFonts w:ascii="Times New Roman" w:hAnsi="Times New Roman"/>
          <w:b/>
          <w:bCs/>
          <w:sz w:val="24"/>
        </w:rPr>
        <w:t>87</w:t>
      </w:r>
      <w:r w:rsidRPr="00BA0CF5">
        <w:rPr>
          <w:rFonts w:ascii="Times New Roman" w:hAnsi="Times New Roman"/>
          <w:sz w:val="24"/>
        </w:rPr>
        <w:t xml:space="preserve"> et ceux de l’article de la directive en examinant s’il faut rechercher la valeur de faillite ou la valeur de faillite</w:t>
      </w:r>
      <w:r>
        <w:rPr>
          <w:rFonts w:ascii="Times New Roman" w:hAnsi="Times New Roman"/>
          <w:sz w:val="24"/>
        </w:rPr>
        <w:t xml:space="preserve"> « </w:t>
      </w:r>
      <w:r>
        <w:rPr>
          <w:rFonts w:ascii="Times New Roman" w:hAnsi="Times New Roman"/>
          <w:i/>
          <w:sz w:val="24"/>
        </w:rPr>
        <w:t>pure</w:t>
      </w:r>
      <w:r>
        <w:rPr>
          <w:rFonts w:ascii="Times New Roman" w:hAnsi="Times New Roman"/>
          <w:sz w:val="24"/>
        </w:rPr>
        <w:t> »</w:t>
      </w:r>
      <w:r w:rsidRPr="00BA0CF5">
        <w:rPr>
          <w:rFonts w:ascii="Times New Roman" w:hAnsi="Times New Roman"/>
          <w:sz w:val="24"/>
        </w:rPr>
        <w:t xml:space="preserve"> selon qui et selon quel scénario possible et les conséquences que cette valeur peut avoir</w:t>
      </w:r>
      <w:r>
        <w:rPr>
          <w:rFonts w:ascii="Times New Roman" w:hAnsi="Times New Roman"/>
          <w:sz w:val="24"/>
        </w:rPr>
        <w:t xml:space="preserve"> sur les procédures</w:t>
      </w:r>
      <w:r w:rsidRPr="00BA0CF5">
        <w:rPr>
          <w:rFonts w:ascii="Times New Roman" w:hAnsi="Times New Roman"/>
          <w:sz w:val="24"/>
        </w:rPr>
        <w:t>.</w:t>
      </w:r>
    </w:p>
    <w:p w:rsidR="008064D7" w:rsidRDefault="008064D7" w:rsidP="002D220B">
      <w:pPr>
        <w:pStyle w:val="Paragraphedeliste"/>
        <w:spacing w:line="240" w:lineRule="auto"/>
        <w:ind w:left="786"/>
        <w:rPr>
          <w:rFonts w:ascii="Times New Roman" w:hAnsi="Times New Roman"/>
          <w:sz w:val="24"/>
        </w:rPr>
      </w:pPr>
    </w:p>
    <w:p w:rsidR="001D5BD6" w:rsidRPr="001D5BD6" w:rsidRDefault="008064D7" w:rsidP="001D5BD6">
      <w:pPr>
        <w:pStyle w:val="Paragraphedeliste"/>
        <w:numPr>
          <w:ilvl w:val="0"/>
          <w:numId w:val="2"/>
        </w:numPr>
        <w:spacing w:line="240" w:lineRule="auto"/>
        <w:rPr>
          <w:rFonts w:ascii="Times New Roman" w:hAnsi="Times New Roman"/>
          <w:sz w:val="24"/>
          <w:u w:val="single"/>
        </w:rPr>
      </w:pPr>
      <w:r w:rsidRPr="00E85121">
        <w:rPr>
          <w:rFonts w:ascii="Times New Roman" w:hAnsi="Times New Roman"/>
          <w:sz w:val="24"/>
          <w:u w:val="single"/>
        </w:rPr>
        <w:t>L</w:t>
      </w:r>
      <w:r>
        <w:rPr>
          <w:rFonts w:ascii="Times New Roman" w:hAnsi="Times New Roman"/>
          <w:sz w:val="24"/>
          <w:u w:val="single"/>
        </w:rPr>
        <w:t>a</w:t>
      </w:r>
      <w:r w:rsidRPr="00E85121">
        <w:rPr>
          <w:rFonts w:ascii="Times New Roman" w:hAnsi="Times New Roman"/>
          <w:sz w:val="24"/>
          <w:u w:val="single"/>
        </w:rPr>
        <w:t xml:space="preserve"> </w:t>
      </w:r>
      <w:r>
        <w:rPr>
          <w:rFonts w:ascii="Times New Roman" w:hAnsi="Times New Roman"/>
          <w:sz w:val="24"/>
          <w:u w:val="single"/>
        </w:rPr>
        <w:t>4</w:t>
      </w:r>
      <w:r w:rsidRPr="00E85121">
        <w:rPr>
          <w:rFonts w:ascii="Times New Roman" w:hAnsi="Times New Roman"/>
          <w:sz w:val="24"/>
          <w:u w:val="single"/>
          <w:vertAlign w:val="superscript"/>
        </w:rPr>
        <w:t>ème</w:t>
      </w:r>
      <w:r w:rsidRPr="00E85121">
        <w:rPr>
          <w:rFonts w:ascii="Times New Roman" w:hAnsi="Times New Roman"/>
          <w:sz w:val="24"/>
          <w:u w:val="single"/>
        </w:rPr>
        <w:t xml:space="preserve"> </w:t>
      </w:r>
      <w:r>
        <w:rPr>
          <w:rFonts w:ascii="Times New Roman" w:hAnsi="Times New Roman"/>
          <w:sz w:val="24"/>
          <w:u w:val="single"/>
        </w:rPr>
        <w:t>règle de droit interne qu’il faut discuter est l’</w:t>
      </w:r>
      <w:r>
        <w:rPr>
          <w:rFonts w:ascii="Times New Roman" w:hAnsi="Times New Roman"/>
          <w:b/>
          <w:sz w:val="24"/>
          <w:u w:val="single"/>
        </w:rPr>
        <w:t>article 490</w:t>
      </w:r>
      <w:r w:rsidRPr="002E2AD5">
        <w:rPr>
          <w:rFonts w:ascii="Times New Roman" w:hAnsi="Times New Roman"/>
          <w:b/>
          <w:i/>
          <w:sz w:val="24"/>
          <w:u w:val="single"/>
        </w:rPr>
        <w:t>quater</w:t>
      </w:r>
      <w:r w:rsidRPr="00D32156">
        <w:rPr>
          <w:rFonts w:ascii="Times New Roman" w:hAnsi="Times New Roman"/>
          <w:b/>
          <w:sz w:val="24"/>
          <w:u w:val="single"/>
        </w:rPr>
        <w:t xml:space="preserve"> du Code pénal</w:t>
      </w:r>
      <w:r>
        <w:rPr>
          <w:rFonts w:ascii="Times New Roman" w:hAnsi="Times New Roman"/>
          <w:b/>
          <w:sz w:val="24"/>
          <w:u w:val="single"/>
        </w:rPr>
        <w:t>.</w:t>
      </w:r>
      <w:r>
        <w:rPr>
          <w:rFonts w:ascii="Times New Roman" w:hAnsi="Times New Roman"/>
          <w:sz w:val="24"/>
          <w:u w:val="single"/>
        </w:rPr>
        <w:t xml:space="preserve"> Comment déterminer une valeur et quelle est la place </w:t>
      </w:r>
      <w:r w:rsidRPr="00E85121">
        <w:rPr>
          <w:rFonts w:ascii="Times New Roman" w:hAnsi="Times New Roman"/>
          <w:sz w:val="24"/>
          <w:u w:val="single"/>
        </w:rPr>
        <w:t>de la négociation ent</w:t>
      </w:r>
      <w:r>
        <w:rPr>
          <w:rFonts w:ascii="Times New Roman" w:hAnsi="Times New Roman"/>
          <w:sz w:val="24"/>
          <w:u w:val="single"/>
        </w:rPr>
        <w:t>re le débiteur et ses créanciers </w:t>
      </w:r>
      <w:r w:rsidRPr="00F142C5">
        <w:rPr>
          <w:rFonts w:ascii="Times New Roman" w:hAnsi="Times New Roman"/>
          <w:sz w:val="24"/>
        </w:rPr>
        <w:t xml:space="preserve">? </w:t>
      </w:r>
      <w:r w:rsidRPr="00A80D11">
        <w:rPr>
          <w:rFonts w:ascii="Times New Roman" w:hAnsi="Times New Roman"/>
          <w:sz w:val="24"/>
        </w:rPr>
        <w:t>Dans une économie de marché, une valeur n’existe pas</w:t>
      </w:r>
      <w:r>
        <w:rPr>
          <w:rFonts w:ascii="Times New Roman" w:hAnsi="Times New Roman"/>
          <w:sz w:val="24"/>
        </w:rPr>
        <w:t xml:space="preserve"> en soi</w:t>
      </w:r>
      <w:r w:rsidRPr="00A80D11">
        <w:rPr>
          <w:rFonts w:ascii="Times New Roman" w:hAnsi="Times New Roman"/>
          <w:sz w:val="24"/>
        </w:rPr>
        <w:t xml:space="preserve">, seul un prix détermine </w:t>
      </w:r>
      <w:r w:rsidRPr="002E2AD5">
        <w:rPr>
          <w:rFonts w:ascii="Times New Roman" w:hAnsi="Times New Roman"/>
          <w:i/>
          <w:sz w:val="24"/>
        </w:rPr>
        <w:t>in fine</w:t>
      </w:r>
      <w:r w:rsidRPr="00A80D11">
        <w:rPr>
          <w:rFonts w:ascii="Times New Roman" w:hAnsi="Times New Roman"/>
          <w:sz w:val="24"/>
        </w:rPr>
        <w:t xml:space="preserve"> la juste contrepartie d’une transaction. Le « </w:t>
      </w:r>
      <w:r w:rsidRPr="00A80D11">
        <w:rPr>
          <w:rFonts w:ascii="Times New Roman" w:hAnsi="Times New Roman"/>
          <w:i/>
          <w:sz w:val="24"/>
        </w:rPr>
        <w:t>prix</w:t>
      </w:r>
      <w:r w:rsidRPr="00A80D11">
        <w:rPr>
          <w:rFonts w:ascii="Times New Roman" w:hAnsi="Times New Roman"/>
          <w:sz w:val="24"/>
        </w:rPr>
        <w:t xml:space="preserve"> » est négocié. </w:t>
      </w:r>
      <w:r w:rsidRPr="00A80D11">
        <w:rPr>
          <w:rFonts w:ascii="Times New Roman" w:hAnsi="Times New Roman"/>
          <w:sz w:val="24"/>
        </w:rPr>
        <w:lastRenderedPageBreak/>
        <w:t>La valeur d’un actif est toujours subjective, liée à un moment déterminé en fonction des circonstances et des rapports de force, aléatoire, volatile et très relative. Alors comment la fixer </w:t>
      </w:r>
      <w:r>
        <w:rPr>
          <w:rFonts w:ascii="Times New Roman" w:hAnsi="Times New Roman"/>
          <w:sz w:val="24"/>
        </w:rPr>
        <w:t>si ce n’est par une négociation qui vise, en réalité, à obtenir un avantage par rapport à une norme abstraite qui d’ailleurs n’est pas pertinente.</w:t>
      </w:r>
      <w:r w:rsidR="001D5BD6">
        <w:rPr>
          <w:rFonts w:ascii="Times New Roman" w:hAnsi="Times New Roman"/>
          <w:sz w:val="24"/>
        </w:rPr>
        <w:t xml:space="preserve"> </w:t>
      </w:r>
      <w:r w:rsidRPr="001D5BD6">
        <w:rPr>
          <w:rFonts w:ascii="Times New Roman" w:hAnsi="Times New Roman"/>
          <w:sz w:val="24"/>
        </w:rPr>
        <w:t>La pratique internationale de la restructuration s’appuie sur des « </w:t>
      </w:r>
      <w:r w:rsidRPr="001D5BD6">
        <w:rPr>
          <w:rFonts w:ascii="Times New Roman" w:hAnsi="Times New Roman"/>
          <w:i/>
          <w:sz w:val="24"/>
        </w:rPr>
        <w:t>négociations »</w:t>
      </w:r>
      <w:r w:rsidR="001D5BD6">
        <w:rPr>
          <w:rFonts w:ascii="Times New Roman" w:hAnsi="Times New Roman"/>
          <w:sz w:val="24"/>
        </w:rPr>
        <w:t xml:space="preserve"> avec les créanciers.</w:t>
      </w:r>
    </w:p>
    <w:p w:rsidR="001D5BD6" w:rsidRDefault="001D5BD6" w:rsidP="001D5BD6">
      <w:pPr>
        <w:pStyle w:val="Paragraphedeliste"/>
        <w:spacing w:line="240" w:lineRule="auto"/>
        <w:ind w:left="786"/>
        <w:rPr>
          <w:rFonts w:ascii="Times New Roman" w:hAnsi="Times New Roman"/>
          <w:sz w:val="24"/>
          <w:u w:val="single"/>
        </w:rPr>
      </w:pPr>
    </w:p>
    <w:p w:rsidR="008064D7" w:rsidRPr="001D5BD6" w:rsidRDefault="001D5BD6" w:rsidP="001D5BD6">
      <w:pPr>
        <w:pStyle w:val="Paragraphedeliste"/>
        <w:spacing w:line="240" w:lineRule="auto"/>
        <w:ind w:left="786"/>
        <w:rPr>
          <w:rFonts w:ascii="Times New Roman" w:hAnsi="Times New Roman"/>
          <w:sz w:val="24"/>
          <w:u w:val="single"/>
        </w:rPr>
      </w:pPr>
      <w:r>
        <w:rPr>
          <w:rFonts w:ascii="Times New Roman" w:hAnsi="Times New Roman"/>
          <w:sz w:val="24"/>
        </w:rPr>
        <w:t>L’ar</w:t>
      </w:r>
      <w:r w:rsidR="008064D7" w:rsidRPr="001D5BD6">
        <w:rPr>
          <w:rFonts w:ascii="Times New Roman" w:hAnsi="Times New Roman"/>
          <w:sz w:val="24"/>
        </w:rPr>
        <w:t xml:space="preserve">ticle </w:t>
      </w:r>
      <w:r w:rsidR="008064D7" w:rsidRPr="001D5BD6">
        <w:rPr>
          <w:rFonts w:ascii="Times New Roman" w:hAnsi="Times New Roman"/>
          <w:b/>
          <w:bCs/>
          <w:sz w:val="24"/>
          <w:u w:val="single"/>
        </w:rPr>
        <w:t>490</w:t>
      </w:r>
      <w:r w:rsidR="008064D7" w:rsidRPr="001D5BD6">
        <w:rPr>
          <w:rFonts w:ascii="Times New Roman" w:hAnsi="Times New Roman"/>
          <w:b/>
          <w:bCs/>
          <w:i/>
          <w:sz w:val="24"/>
          <w:u w:val="single"/>
        </w:rPr>
        <w:t>quater</w:t>
      </w:r>
      <w:r w:rsidR="008064D7" w:rsidRPr="001D5BD6">
        <w:rPr>
          <w:rFonts w:ascii="Times New Roman" w:hAnsi="Times New Roman"/>
          <w:b/>
          <w:bCs/>
          <w:sz w:val="24"/>
          <w:u w:val="single"/>
        </w:rPr>
        <w:t xml:space="preserve"> du Code pénal</w:t>
      </w:r>
      <w:r w:rsidR="008064D7" w:rsidRPr="001D5BD6">
        <w:rPr>
          <w:rFonts w:ascii="Times New Roman" w:hAnsi="Times New Roman"/>
          <w:sz w:val="24"/>
        </w:rPr>
        <w:t xml:space="preserve"> qui punit ceux qui ont stipulé avec le débiteur ou avec d’autres personnes </w:t>
      </w:r>
      <w:r w:rsidR="008064D7" w:rsidRPr="001D5BD6">
        <w:rPr>
          <w:rFonts w:ascii="Times New Roman" w:hAnsi="Times New Roman"/>
          <w:sz w:val="24"/>
          <w:u w:val="single"/>
        </w:rPr>
        <w:t>des avantages particuliers</w:t>
      </w:r>
      <w:r w:rsidR="008064D7" w:rsidRPr="001D5BD6">
        <w:rPr>
          <w:rFonts w:ascii="Times New Roman" w:hAnsi="Times New Roman"/>
          <w:sz w:val="24"/>
        </w:rPr>
        <w:t xml:space="preserve"> pour orienter le sens de leur cote sur le plan, </w:t>
      </w:r>
      <w:r w:rsidR="008064D7" w:rsidRPr="001D5BD6">
        <w:rPr>
          <w:rFonts w:ascii="Times New Roman" w:hAnsi="Times New Roman"/>
          <w:sz w:val="24"/>
          <w:u w:val="single"/>
        </w:rPr>
        <w:t>ou</w:t>
      </w:r>
      <w:r w:rsidR="008064D7" w:rsidRPr="001D5BD6">
        <w:rPr>
          <w:rFonts w:ascii="Times New Roman" w:hAnsi="Times New Roman"/>
          <w:sz w:val="24"/>
        </w:rPr>
        <w:t xml:space="preserve"> qui ont conclu un accord particulier en vertu duquel il résulterait des avantages en leur faveur </w:t>
      </w:r>
      <w:r w:rsidR="008064D7" w:rsidRPr="001D5BD6">
        <w:rPr>
          <w:rFonts w:ascii="Times New Roman" w:hAnsi="Times New Roman"/>
          <w:sz w:val="24"/>
          <w:u w:val="single"/>
        </w:rPr>
        <w:t>à charge de l’actif du débiteur</w:t>
      </w:r>
      <w:r w:rsidR="008064D7" w:rsidRPr="001D5BD6">
        <w:rPr>
          <w:rFonts w:ascii="Times New Roman" w:hAnsi="Times New Roman"/>
          <w:sz w:val="24"/>
        </w:rPr>
        <w:t>, pose tout d’un coup une question radicale : si ce ne sont pas les parties qui fixent la valeur, qui le fait ? Serait-ce le juge ? Et sur quelles bases raisonnées ?</w:t>
      </w:r>
    </w:p>
    <w:p w:rsidR="008064D7" w:rsidRDefault="008064D7" w:rsidP="00111130">
      <w:pPr>
        <w:pStyle w:val="Paragraphedeliste"/>
        <w:spacing w:line="240" w:lineRule="auto"/>
        <w:ind w:left="786"/>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sidRPr="00E85121">
        <w:rPr>
          <w:rFonts w:ascii="Times New Roman" w:hAnsi="Times New Roman"/>
          <w:sz w:val="24"/>
          <w:u w:val="single"/>
        </w:rPr>
        <w:t>L</w:t>
      </w:r>
      <w:r>
        <w:rPr>
          <w:rFonts w:ascii="Times New Roman" w:hAnsi="Times New Roman"/>
          <w:sz w:val="24"/>
          <w:u w:val="single"/>
        </w:rPr>
        <w:t>a</w:t>
      </w:r>
      <w:r w:rsidRPr="00E85121">
        <w:rPr>
          <w:rFonts w:ascii="Times New Roman" w:hAnsi="Times New Roman"/>
          <w:sz w:val="24"/>
          <w:u w:val="single"/>
        </w:rPr>
        <w:t xml:space="preserve"> </w:t>
      </w:r>
      <w:r>
        <w:rPr>
          <w:rFonts w:ascii="Times New Roman" w:hAnsi="Times New Roman"/>
          <w:sz w:val="24"/>
          <w:u w:val="single"/>
        </w:rPr>
        <w:t>5</w:t>
      </w:r>
      <w:r w:rsidRPr="00E85121">
        <w:rPr>
          <w:rFonts w:ascii="Times New Roman" w:hAnsi="Times New Roman"/>
          <w:sz w:val="24"/>
          <w:u w:val="single"/>
          <w:vertAlign w:val="superscript"/>
        </w:rPr>
        <w:t>ème</w:t>
      </w:r>
      <w:r w:rsidRPr="00E85121">
        <w:rPr>
          <w:rFonts w:ascii="Times New Roman" w:hAnsi="Times New Roman"/>
          <w:sz w:val="24"/>
          <w:u w:val="single"/>
        </w:rPr>
        <w:t xml:space="preserve"> </w:t>
      </w:r>
      <w:r>
        <w:rPr>
          <w:rFonts w:ascii="Times New Roman" w:hAnsi="Times New Roman"/>
          <w:sz w:val="24"/>
          <w:u w:val="single"/>
        </w:rPr>
        <w:t xml:space="preserve">règle de droit interne qui fait référence à </w:t>
      </w:r>
      <w:r w:rsidR="001D5BD6">
        <w:rPr>
          <w:rFonts w:ascii="Times New Roman" w:hAnsi="Times New Roman"/>
          <w:sz w:val="24"/>
          <w:u w:val="single"/>
        </w:rPr>
        <w:t>la notion de valeur</w:t>
      </w:r>
      <w:r>
        <w:rPr>
          <w:rFonts w:ascii="Times New Roman" w:hAnsi="Times New Roman"/>
          <w:sz w:val="24"/>
          <w:u w:val="single"/>
        </w:rPr>
        <w:t xml:space="preserve"> </w:t>
      </w:r>
      <w:r w:rsidRPr="00E85121">
        <w:rPr>
          <w:rFonts w:ascii="Times New Roman" w:hAnsi="Times New Roman"/>
          <w:sz w:val="24"/>
          <w:u w:val="single"/>
        </w:rPr>
        <w:t xml:space="preserve">est </w:t>
      </w:r>
      <w:r>
        <w:rPr>
          <w:rFonts w:ascii="Times New Roman" w:hAnsi="Times New Roman"/>
          <w:sz w:val="24"/>
          <w:u w:val="single"/>
        </w:rPr>
        <w:t xml:space="preserve">celle </w:t>
      </w:r>
      <w:r w:rsidRPr="00E85121">
        <w:rPr>
          <w:rFonts w:ascii="Times New Roman" w:hAnsi="Times New Roman"/>
          <w:sz w:val="24"/>
          <w:u w:val="single"/>
        </w:rPr>
        <w:t xml:space="preserve"> du traitement différencié</w:t>
      </w:r>
      <w:r>
        <w:rPr>
          <w:rFonts w:ascii="Times New Roman" w:hAnsi="Times New Roman"/>
          <w:sz w:val="24"/>
          <w:u w:val="single"/>
        </w:rPr>
        <w:t xml:space="preserve"> prévu à </w:t>
      </w:r>
      <w:r w:rsidRPr="004A0C78">
        <w:rPr>
          <w:rFonts w:ascii="Times New Roman" w:hAnsi="Times New Roman"/>
          <w:b/>
          <w:sz w:val="24"/>
          <w:u w:val="single"/>
        </w:rPr>
        <w:t>l’article XX</w:t>
      </w:r>
      <w:r>
        <w:rPr>
          <w:rFonts w:ascii="Times New Roman" w:hAnsi="Times New Roman"/>
          <w:b/>
          <w:sz w:val="24"/>
          <w:u w:val="single"/>
        </w:rPr>
        <w:t>.</w:t>
      </w:r>
      <w:r w:rsidRPr="004A0C78">
        <w:rPr>
          <w:rFonts w:ascii="Times New Roman" w:hAnsi="Times New Roman"/>
          <w:b/>
          <w:sz w:val="24"/>
          <w:u w:val="single"/>
        </w:rPr>
        <w:t>72 et XX</w:t>
      </w:r>
      <w:r>
        <w:rPr>
          <w:rFonts w:ascii="Times New Roman" w:hAnsi="Times New Roman"/>
          <w:b/>
          <w:sz w:val="24"/>
          <w:u w:val="single"/>
        </w:rPr>
        <w:t>.</w:t>
      </w:r>
      <w:r w:rsidRPr="004A0C78">
        <w:rPr>
          <w:rFonts w:ascii="Times New Roman" w:hAnsi="Times New Roman"/>
          <w:b/>
          <w:sz w:val="24"/>
          <w:u w:val="single"/>
        </w:rPr>
        <w:t>73</w:t>
      </w:r>
      <w:r>
        <w:rPr>
          <w:rFonts w:ascii="Times New Roman" w:hAnsi="Times New Roman"/>
          <w:sz w:val="24"/>
        </w:rPr>
        <w:t xml:space="preserve">, </w:t>
      </w:r>
      <w:r w:rsidRPr="00F142C5">
        <w:rPr>
          <w:rFonts w:ascii="Times New Roman" w:hAnsi="Times New Roman"/>
          <w:sz w:val="24"/>
          <w:u w:val="single"/>
        </w:rPr>
        <w:t>notamment</w:t>
      </w:r>
      <w:r>
        <w:rPr>
          <w:rFonts w:ascii="Times New Roman" w:hAnsi="Times New Roman"/>
          <w:sz w:val="24"/>
        </w:rPr>
        <w:t xml:space="preserve"> en cas de conversion qui résulterait de l’existence de valeur différente d’échange selon des contreparties différentes (échange d’une créance contre des actions ou échange de la créance contre un prix) ou en cas d’absence de conversion proposée à tous les créanciers, ou encore dans le cas où l’actionnaire tire un avantage important de la conversion ou de l’abattement.</w:t>
      </w:r>
    </w:p>
    <w:p w:rsidR="008064D7" w:rsidRDefault="008064D7" w:rsidP="00D17F25">
      <w:pPr>
        <w:spacing w:line="240" w:lineRule="auto"/>
        <w:ind w:left="708"/>
        <w:rPr>
          <w:rFonts w:ascii="Times New Roman" w:hAnsi="Times New Roman"/>
          <w:sz w:val="24"/>
        </w:rPr>
      </w:pPr>
    </w:p>
    <w:p w:rsidR="008064D7" w:rsidRDefault="008064D7" w:rsidP="003259F3">
      <w:pPr>
        <w:spacing w:line="240" w:lineRule="auto"/>
        <w:ind w:left="786"/>
        <w:rPr>
          <w:rFonts w:ascii="Times New Roman" w:hAnsi="Times New Roman"/>
          <w:sz w:val="24"/>
        </w:rPr>
      </w:pPr>
      <w:r>
        <w:rPr>
          <w:rFonts w:ascii="Times New Roman" w:hAnsi="Times New Roman"/>
          <w:sz w:val="24"/>
        </w:rPr>
        <w:t>L’objectif de la directive, en prévoyant des classes de créanciers, est de permettre un traitement différencié des différentes classes de créanciers constituées sans avoir égard au rang et privilège qui les distingue, mais bien en fonction de critères économiques. Ils sont réunis dans plusieurs collèges de vote avec des propositions différentes. Dans le cadre de restructuration importante, la distinction de créanciers, parfois de même nature (obligataire par exemple), est essentielle comme cela a été le cas dans l’</w:t>
      </w:r>
      <w:r w:rsidRPr="007C17D3">
        <w:rPr>
          <w:rFonts w:ascii="Times New Roman" w:hAnsi="Times New Roman"/>
          <w:sz w:val="24"/>
        </w:rPr>
        <w:t>affaire</w:t>
      </w:r>
      <w:r>
        <w:rPr>
          <w:rFonts w:ascii="Times New Roman" w:hAnsi="Times New Roman"/>
          <w:sz w:val="24"/>
        </w:rPr>
        <w:t xml:space="preserve"> CGG où il fallait donner aux obligataires américains (</w:t>
      </w:r>
      <w:r w:rsidRPr="002E2AD5">
        <w:rPr>
          <w:rFonts w:ascii="Times New Roman" w:hAnsi="Times New Roman"/>
          <w:i/>
          <w:sz w:val="24"/>
        </w:rPr>
        <w:t>Yield</w:t>
      </w:r>
      <w:r>
        <w:rPr>
          <w:rFonts w:ascii="Times New Roman" w:hAnsi="Times New Roman"/>
          <w:sz w:val="24"/>
        </w:rPr>
        <w:t>) un traitement différent et nécessairement préférentiel par rapport aux titulaires d’obligations françaises sous peine de voir les garanties présentes sur le sol américain être exécutées et la procédure française ne pouvoir être reconnue dans le cadre du Chapitre 15 américain. La Cour d’appel de Paris a validé ce traitement différent dans le cadre de la législation française de la sauvegarde. Ce classement en classe dans la directive peut inclure les actionnaires et la règle du traitement inéquitable peut s’appliquer à la comparaison de traitement des créanciers et des actionnaires.</w:t>
      </w:r>
    </w:p>
    <w:p w:rsidR="008064D7" w:rsidRDefault="008064D7" w:rsidP="00D17F25">
      <w:pPr>
        <w:spacing w:line="240" w:lineRule="auto"/>
        <w:ind w:left="708"/>
        <w:rPr>
          <w:rFonts w:ascii="Times New Roman" w:hAnsi="Times New Roman"/>
          <w:sz w:val="24"/>
        </w:rPr>
      </w:pPr>
    </w:p>
    <w:p w:rsidR="008064D7" w:rsidRPr="00C660FF" w:rsidRDefault="008064D7" w:rsidP="007565AA">
      <w:pPr>
        <w:pStyle w:val="Paragraphedeliste"/>
        <w:numPr>
          <w:ilvl w:val="0"/>
          <w:numId w:val="2"/>
        </w:numPr>
        <w:spacing w:line="240" w:lineRule="auto"/>
        <w:rPr>
          <w:rFonts w:ascii="Times New Roman" w:hAnsi="Times New Roman"/>
          <w:sz w:val="24"/>
        </w:rPr>
      </w:pPr>
      <w:r w:rsidRPr="00E85121">
        <w:rPr>
          <w:rFonts w:ascii="Times New Roman" w:hAnsi="Times New Roman"/>
          <w:sz w:val="24"/>
          <w:u w:val="single"/>
        </w:rPr>
        <w:t>L</w:t>
      </w:r>
      <w:r>
        <w:rPr>
          <w:rFonts w:ascii="Times New Roman" w:hAnsi="Times New Roman"/>
          <w:sz w:val="24"/>
          <w:u w:val="single"/>
        </w:rPr>
        <w:t>a</w:t>
      </w:r>
      <w:r w:rsidRPr="00E85121">
        <w:rPr>
          <w:rFonts w:ascii="Times New Roman" w:hAnsi="Times New Roman"/>
          <w:sz w:val="24"/>
          <w:u w:val="single"/>
        </w:rPr>
        <w:t xml:space="preserve"> </w:t>
      </w:r>
      <w:r>
        <w:rPr>
          <w:rFonts w:ascii="Times New Roman" w:hAnsi="Times New Roman"/>
          <w:sz w:val="24"/>
          <w:u w:val="single"/>
        </w:rPr>
        <w:t>6</w:t>
      </w:r>
      <w:r w:rsidRPr="00E85121">
        <w:rPr>
          <w:rFonts w:ascii="Times New Roman" w:hAnsi="Times New Roman"/>
          <w:sz w:val="24"/>
          <w:u w:val="single"/>
          <w:vertAlign w:val="superscript"/>
        </w:rPr>
        <w:t>ème</w:t>
      </w:r>
      <w:r w:rsidRPr="00E85121">
        <w:rPr>
          <w:rFonts w:ascii="Times New Roman" w:hAnsi="Times New Roman"/>
          <w:sz w:val="24"/>
          <w:u w:val="single"/>
        </w:rPr>
        <w:t xml:space="preserve"> </w:t>
      </w:r>
      <w:r>
        <w:rPr>
          <w:rFonts w:ascii="Times New Roman" w:hAnsi="Times New Roman"/>
          <w:sz w:val="24"/>
          <w:u w:val="single"/>
        </w:rPr>
        <w:t>règle de droit interne à examiner au regard de la directive</w:t>
      </w:r>
      <w:r w:rsidRPr="00E85121">
        <w:rPr>
          <w:rFonts w:ascii="Times New Roman" w:hAnsi="Times New Roman"/>
          <w:sz w:val="24"/>
          <w:u w:val="single"/>
        </w:rPr>
        <w:t xml:space="preserve"> est</w:t>
      </w:r>
      <w:r>
        <w:rPr>
          <w:rFonts w:ascii="Times New Roman" w:hAnsi="Times New Roman"/>
          <w:sz w:val="24"/>
          <w:u w:val="single"/>
        </w:rPr>
        <w:t xml:space="preserve"> donc</w:t>
      </w:r>
      <w:r w:rsidRPr="00E85121">
        <w:rPr>
          <w:rFonts w:ascii="Times New Roman" w:hAnsi="Times New Roman"/>
          <w:sz w:val="24"/>
          <w:u w:val="single"/>
        </w:rPr>
        <w:t xml:space="preserve"> </w:t>
      </w:r>
      <w:r>
        <w:rPr>
          <w:rFonts w:ascii="Times New Roman" w:hAnsi="Times New Roman"/>
          <w:sz w:val="24"/>
          <w:u w:val="single"/>
        </w:rPr>
        <w:t xml:space="preserve">l’examen des </w:t>
      </w:r>
      <w:r>
        <w:rPr>
          <w:rFonts w:ascii="Times New Roman" w:hAnsi="Times New Roman"/>
          <w:b/>
          <w:sz w:val="24"/>
          <w:u w:val="single"/>
        </w:rPr>
        <w:t>articles 10</w:t>
      </w:r>
      <w:r w:rsidRPr="00D32156">
        <w:rPr>
          <w:rFonts w:ascii="Times New Roman" w:hAnsi="Times New Roman"/>
          <w:b/>
          <w:sz w:val="24"/>
          <w:u w:val="single"/>
        </w:rPr>
        <w:t xml:space="preserve"> et 11 de la constitution</w:t>
      </w:r>
      <w:r>
        <w:rPr>
          <w:rFonts w:ascii="Times New Roman" w:hAnsi="Times New Roman"/>
          <w:sz w:val="24"/>
          <w:u w:val="single"/>
        </w:rPr>
        <w:t xml:space="preserve"> et aussi</w:t>
      </w:r>
      <w:r w:rsidRPr="00E85121">
        <w:rPr>
          <w:rFonts w:ascii="Times New Roman" w:hAnsi="Times New Roman"/>
          <w:sz w:val="24"/>
          <w:u w:val="single"/>
        </w:rPr>
        <w:t xml:space="preserve"> la définition exacte de ces notions de non-discrimination ou de non-atteinte excessive aux intérêts.</w:t>
      </w:r>
      <w:r>
        <w:rPr>
          <w:rFonts w:ascii="Times New Roman" w:hAnsi="Times New Roman"/>
          <w:sz w:val="24"/>
        </w:rPr>
        <w:t xml:space="preserve">  La discrimination, </w:t>
      </w:r>
      <w:r w:rsidRPr="001B33E7">
        <w:rPr>
          <w:rFonts w:ascii="Times New Roman" w:hAnsi="Times New Roman"/>
          <w:sz w:val="24"/>
        </w:rPr>
        <w:t xml:space="preserve">à </w:t>
      </w:r>
      <w:r>
        <w:rPr>
          <w:rFonts w:ascii="Times New Roman" w:hAnsi="Times New Roman"/>
          <w:sz w:val="24"/>
        </w:rPr>
        <w:t xml:space="preserve">la supposer, </w:t>
      </w:r>
      <w:r w:rsidRPr="001B33E7">
        <w:rPr>
          <w:rFonts w:ascii="Times New Roman" w:hAnsi="Times New Roman"/>
          <w:sz w:val="24"/>
        </w:rPr>
        <w:t>après l’examen de la question précédente, subsiste</w:t>
      </w:r>
      <w:r>
        <w:rPr>
          <w:rFonts w:ascii="Times New Roman" w:hAnsi="Times New Roman"/>
          <w:sz w:val="24"/>
        </w:rPr>
        <w:t>r</w:t>
      </w:r>
      <w:r w:rsidRPr="001B33E7">
        <w:rPr>
          <w:rFonts w:ascii="Times New Roman" w:hAnsi="Times New Roman"/>
          <w:sz w:val="24"/>
        </w:rPr>
        <w:t xml:space="preserve"> </w:t>
      </w:r>
      <w:r>
        <w:rPr>
          <w:rFonts w:ascii="Times New Roman" w:hAnsi="Times New Roman"/>
          <w:sz w:val="24"/>
        </w:rPr>
        <w:t>peut-elle se baser sur l’examen des valeurs ?</w:t>
      </w:r>
      <w:r w:rsidRPr="00C660FF">
        <w:rPr>
          <w:rFonts w:ascii="Times New Roman" w:hAnsi="Times New Roman"/>
          <w:sz w:val="24"/>
        </w:rPr>
        <w:t xml:space="preserve"> : </w:t>
      </w:r>
    </w:p>
    <w:p w:rsidR="008064D7" w:rsidRDefault="008064D7" w:rsidP="00DB4444">
      <w:pPr>
        <w:spacing w:line="240" w:lineRule="auto"/>
        <w:ind w:left="426"/>
        <w:rPr>
          <w:rFonts w:ascii="Times New Roman" w:hAnsi="Times New Roman"/>
          <w:sz w:val="24"/>
        </w:rPr>
      </w:pPr>
    </w:p>
    <w:p w:rsidR="008064D7" w:rsidRPr="00C660FF" w:rsidRDefault="008064D7" w:rsidP="007565AA">
      <w:pPr>
        <w:pStyle w:val="Paragraphedeliste"/>
        <w:numPr>
          <w:ilvl w:val="0"/>
          <w:numId w:val="2"/>
        </w:numPr>
        <w:spacing w:line="240" w:lineRule="auto"/>
        <w:rPr>
          <w:rFonts w:ascii="Times New Roman" w:hAnsi="Times New Roman"/>
          <w:sz w:val="24"/>
          <w:u w:val="single"/>
        </w:rPr>
      </w:pPr>
      <w:r w:rsidRPr="00E85121">
        <w:rPr>
          <w:rFonts w:ascii="Times New Roman" w:hAnsi="Times New Roman"/>
          <w:sz w:val="24"/>
          <w:u w:val="single"/>
        </w:rPr>
        <w:t>L</w:t>
      </w:r>
      <w:r>
        <w:rPr>
          <w:rFonts w:ascii="Times New Roman" w:hAnsi="Times New Roman"/>
          <w:sz w:val="24"/>
          <w:u w:val="single"/>
        </w:rPr>
        <w:t>a</w:t>
      </w:r>
      <w:r w:rsidRPr="00E85121">
        <w:rPr>
          <w:rFonts w:ascii="Times New Roman" w:hAnsi="Times New Roman"/>
          <w:sz w:val="24"/>
          <w:u w:val="single"/>
        </w:rPr>
        <w:t xml:space="preserve"> </w:t>
      </w:r>
      <w:r>
        <w:rPr>
          <w:rFonts w:ascii="Times New Roman" w:hAnsi="Times New Roman"/>
          <w:sz w:val="24"/>
          <w:u w:val="single"/>
        </w:rPr>
        <w:t>7</w:t>
      </w:r>
      <w:r w:rsidRPr="00E85121">
        <w:rPr>
          <w:rFonts w:ascii="Times New Roman" w:hAnsi="Times New Roman"/>
          <w:sz w:val="24"/>
          <w:u w:val="single"/>
          <w:vertAlign w:val="superscript"/>
        </w:rPr>
        <w:t>ème</w:t>
      </w:r>
      <w:r w:rsidRPr="00E85121">
        <w:rPr>
          <w:rFonts w:ascii="Times New Roman" w:hAnsi="Times New Roman"/>
          <w:sz w:val="24"/>
          <w:u w:val="single"/>
        </w:rPr>
        <w:t xml:space="preserve"> </w:t>
      </w:r>
      <w:r>
        <w:rPr>
          <w:rFonts w:ascii="Times New Roman" w:hAnsi="Times New Roman"/>
          <w:sz w:val="24"/>
          <w:u w:val="single"/>
        </w:rPr>
        <w:t xml:space="preserve">règle de droit interne en référence avec la valeur est la non-existence d’une règle de droit interne autre que celle de </w:t>
      </w:r>
      <w:r w:rsidRPr="00BD23AB">
        <w:rPr>
          <w:rFonts w:ascii="Times New Roman" w:hAnsi="Times New Roman"/>
          <w:b/>
          <w:sz w:val="24"/>
          <w:u w:val="single"/>
        </w:rPr>
        <w:t>l’article XX</w:t>
      </w:r>
      <w:r>
        <w:rPr>
          <w:rFonts w:ascii="Times New Roman" w:hAnsi="Times New Roman"/>
          <w:b/>
          <w:sz w:val="24"/>
          <w:u w:val="single"/>
        </w:rPr>
        <w:t>.</w:t>
      </w:r>
      <w:r w:rsidRPr="00BD23AB">
        <w:rPr>
          <w:rFonts w:ascii="Times New Roman" w:hAnsi="Times New Roman"/>
          <w:b/>
          <w:sz w:val="24"/>
          <w:u w:val="single"/>
        </w:rPr>
        <w:t>58</w:t>
      </w:r>
      <w:r>
        <w:rPr>
          <w:rFonts w:ascii="Times New Roman" w:hAnsi="Times New Roman"/>
          <w:sz w:val="24"/>
          <w:u w:val="single"/>
        </w:rPr>
        <w:t xml:space="preserve"> sur le</w:t>
      </w:r>
      <w:r w:rsidRPr="00E85121">
        <w:rPr>
          <w:rFonts w:ascii="Times New Roman" w:hAnsi="Times New Roman"/>
          <w:sz w:val="24"/>
          <w:u w:val="single"/>
        </w:rPr>
        <w:t xml:space="preserve"> financement du sursis ou après le sursis</w:t>
      </w:r>
      <w:r w:rsidRPr="002E2AD5">
        <w:rPr>
          <w:rFonts w:ascii="Times New Roman" w:hAnsi="Times New Roman"/>
          <w:sz w:val="24"/>
        </w:rPr>
        <w:t xml:space="preserve">. </w:t>
      </w:r>
      <w:r w:rsidRPr="001B33E7">
        <w:rPr>
          <w:rFonts w:ascii="Times New Roman" w:hAnsi="Times New Roman"/>
          <w:sz w:val="24"/>
        </w:rPr>
        <w:t xml:space="preserve">La restructuration de </w:t>
      </w:r>
      <w:r>
        <w:rPr>
          <w:rFonts w:ascii="Times New Roman" w:hAnsi="Times New Roman"/>
          <w:sz w:val="24"/>
        </w:rPr>
        <w:t xml:space="preserve">plus </w:t>
      </w:r>
      <w:r w:rsidRPr="001B33E7">
        <w:rPr>
          <w:rFonts w:ascii="Times New Roman" w:hAnsi="Times New Roman"/>
          <w:sz w:val="24"/>
        </w:rPr>
        <w:t>grosse</w:t>
      </w:r>
      <w:r>
        <w:rPr>
          <w:rFonts w:ascii="Times New Roman" w:hAnsi="Times New Roman"/>
          <w:sz w:val="24"/>
        </w:rPr>
        <w:t>s</w:t>
      </w:r>
      <w:r w:rsidRPr="001B33E7">
        <w:rPr>
          <w:rFonts w:ascii="Times New Roman" w:hAnsi="Times New Roman"/>
          <w:sz w:val="24"/>
        </w:rPr>
        <w:t xml:space="preserve"> entreprise</w:t>
      </w:r>
      <w:r>
        <w:rPr>
          <w:rFonts w:ascii="Times New Roman" w:hAnsi="Times New Roman"/>
          <w:sz w:val="24"/>
        </w:rPr>
        <w:t>s</w:t>
      </w:r>
      <w:r w:rsidRPr="001B33E7">
        <w:rPr>
          <w:rFonts w:ascii="Times New Roman" w:hAnsi="Times New Roman"/>
          <w:sz w:val="24"/>
        </w:rPr>
        <w:t xml:space="preserve"> ne peut se </w:t>
      </w:r>
      <w:r w:rsidRPr="007C17D3">
        <w:rPr>
          <w:rFonts w:ascii="Times New Roman" w:hAnsi="Times New Roman"/>
          <w:i/>
          <w:sz w:val="24"/>
        </w:rPr>
        <w:t>Fair</w:t>
      </w:r>
      <w:r w:rsidRPr="001B33E7">
        <w:rPr>
          <w:rFonts w:ascii="Times New Roman" w:hAnsi="Times New Roman"/>
          <w:sz w:val="24"/>
        </w:rPr>
        <w:t>e que moyennant de nouveaux financements</w:t>
      </w:r>
      <w:r>
        <w:rPr>
          <w:rFonts w:ascii="Times New Roman" w:hAnsi="Times New Roman"/>
          <w:sz w:val="24"/>
        </w:rPr>
        <w:t xml:space="preserve"> pendant le sursis (crédit de campagne, garantie bancaire, fonds de roulement, …)</w:t>
      </w:r>
      <w:r w:rsidRPr="001B33E7">
        <w:rPr>
          <w:rFonts w:ascii="Times New Roman" w:hAnsi="Times New Roman"/>
          <w:sz w:val="24"/>
        </w:rPr>
        <w:t xml:space="preserve">. </w:t>
      </w:r>
    </w:p>
    <w:p w:rsidR="008064D7" w:rsidRDefault="008064D7" w:rsidP="00C660FF">
      <w:pPr>
        <w:pStyle w:val="Paragraphedeliste"/>
        <w:spacing w:line="240" w:lineRule="auto"/>
        <w:ind w:left="786"/>
        <w:rPr>
          <w:rFonts w:ascii="Times New Roman" w:hAnsi="Times New Roman"/>
          <w:sz w:val="24"/>
          <w:u w:val="single"/>
        </w:rPr>
      </w:pPr>
    </w:p>
    <w:p w:rsidR="008064D7" w:rsidRDefault="008064D7" w:rsidP="00C660FF">
      <w:pPr>
        <w:pStyle w:val="Paragraphedeliste"/>
        <w:spacing w:line="240" w:lineRule="auto"/>
        <w:ind w:left="786"/>
        <w:rPr>
          <w:rFonts w:ascii="Times New Roman" w:hAnsi="Times New Roman"/>
          <w:sz w:val="24"/>
        </w:rPr>
      </w:pPr>
      <w:r w:rsidRPr="001B33E7">
        <w:rPr>
          <w:rFonts w:ascii="Times New Roman" w:hAnsi="Times New Roman"/>
          <w:sz w:val="24"/>
        </w:rPr>
        <w:lastRenderedPageBreak/>
        <w:t>Si le droit belge actuel ne permet d’attribuer qu’un privilège dette de masse qui, d’ailleurs, est souvent peu efficace en raison du nombre de créanciers qui viennent concourir sur son assiette, il n’est pas impossible en droit belge, notamment par le canal d’un accord amiable</w:t>
      </w:r>
      <w:r>
        <w:rPr>
          <w:rStyle w:val="Appelnotedebasdep"/>
          <w:rFonts w:ascii="Times New Roman" w:hAnsi="Times New Roman"/>
          <w:sz w:val="24"/>
        </w:rPr>
        <w:footnoteReference w:id="52"/>
      </w:r>
      <w:r w:rsidRPr="001B33E7">
        <w:rPr>
          <w:rFonts w:ascii="Times New Roman" w:hAnsi="Times New Roman"/>
          <w:sz w:val="24"/>
        </w:rPr>
        <w:t>, de concéder des garanties sur des actifs soit inclus dans le débiteur, soit extérieur</w:t>
      </w:r>
      <w:r>
        <w:rPr>
          <w:rFonts w:ascii="Times New Roman" w:hAnsi="Times New Roman"/>
          <w:sz w:val="24"/>
        </w:rPr>
        <w:t>s</w:t>
      </w:r>
      <w:r w:rsidRPr="001B33E7">
        <w:rPr>
          <w:rFonts w:ascii="Times New Roman" w:hAnsi="Times New Roman"/>
          <w:sz w:val="24"/>
        </w:rPr>
        <w:t xml:space="preserve"> au débiteur qui permette</w:t>
      </w:r>
      <w:r>
        <w:rPr>
          <w:rFonts w:ascii="Times New Roman" w:hAnsi="Times New Roman"/>
          <w:sz w:val="24"/>
        </w:rPr>
        <w:t>nt</w:t>
      </w:r>
      <w:r w:rsidRPr="001B33E7">
        <w:rPr>
          <w:rFonts w:ascii="Times New Roman" w:hAnsi="Times New Roman"/>
          <w:sz w:val="24"/>
        </w:rPr>
        <w:t xml:space="preserve"> de financer la poursuite d’activité.</w:t>
      </w:r>
      <w:r>
        <w:rPr>
          <w:rFonts w:ascii="Times New Roman" w:hAnsi="Times New Roman"/>
          <w:sz w:val="24"/>
        </w:rPr>
        <w:t xml:space="preserve"> Mais la complexité de ces règles prive souvent de nombreuses sociétés de la capacité de se refinancer. </w:t>
      </w:r>
    </w:p>
    <w:p w:rsidR="008064D7" w:rsidRDefault="008064D7" w:rsidP="00C660FF">
      <w:pPr>
        <w:pStyle w:val="Paragraphedeliste"/>
        <w:spacing w:line="240" w:lineRule="auto"/>
        <w:ind w:left="786"/>
        <w:rPr>
          <w:rFonts w:ascii="Times New Roman" w:hAnsi="Times New Roman"/>
          <w:sz w:val="24"/>
        </w:rPr>
      </w:pPr>
    </w:p>
    <w:p w:rsidR="008064D7" w:rsidRPr="00C660FF" w:rsidRDefault="008064D7" w:rsidP="00C660FF">
      <w:pPr>
        <w:pStyle w:val="Paragraphedeliste"/>
        <w:spacing w:line="240" w:lineRule="auto"/>
        <w:ind w:left="786"/>
        <w:rPr>
          <w:rFonts w:ascii="Times New Roman" w:hAnsi="Times New Roman"/>
          <w:sz w:val="24"/>
          <w:u w:val="single"/>
        </w:rPr>
      </w:pPr>
      <w:r>
        <w:rPr>
          <w:rFonts w:ascii="Times New Roman" w:hAnsi="Times New Roman"/>
          <w:sz w:val="24"/>
        </w:rPr>
        <w:t xml:space="preserve">La plupart des organismes financiers et même les </w:t>
      </w:r>
      <w:r w:rsidRPr="002E2AD5">
        <w:rPr>
          <w:rFonts w:ascii="Times New Roman" w:hAnsi="Times New Roman"/>
          <w:i/>
          <w:sz w:val="24"/>
        </w:rPr>
        <w:t>invests</w:t>
      </w:r>
      <w:r>
        <w:rPr>
          <w:rFonts w:ascii="Times New Roman" w:hAnsi="Times New Roman"/>
          <w:sz w:val="24"/>
        </w:rPr>
        <w:t xml:space="preserve"> (ceux qui sont pourtant en charge de la restructuration économique) attendent la réussite de la PRJ. Si celle-ci ne peut se dérouler sur une période très courte, de nombreuses entreprises peuvent simplement mourir en raison de l’absence de refinancement possible.</w:t>
      </w:r>
    </w:p>
    <w:p w:rsidR="008064D7" w:rsidRDefault="008064D7" w:rsidP="00E96592">
      <w:pPr>
        <w:spacing w:line="240" w:lineRule="auto"/>
        <w:ind w:left="708"/>
        <w:rPr>
          <w:rFonts w:ascii="Times New Roman" w:hAnsi="Times New Roman"/>
          <w:sz w:val="24"/>
        </w:rPr>
      </w:pPr>
    </w:p>
    <w:p w:rsidR="008064D7" w:rsidRDefault="008064D7" w:rsidP="008E3772">
      <w:pPr>
        <w:spacing w:line="240" w:lineRule="auto"/>
        <w:ind w:left="851"/>
        <w:rPr>
          <w:rFonts w:ascii="Times New Roman" w:hAnsi="Times New Roman"/>
          <w:sz w:val="24"/>
        </w:rPr>
      </w:pPr>
      <w:r>
        <w:rPr>
          <w:rFonts w:ascii="Times New Roman" w:hAnsi="Times New Roman"/>
          <w:sz w:val="24"/>
        </w:rPr>
        <w:t xml:space="preserve">La directive introduit la possibilité, pour les Etats-membres, d’introduire des règles de validation des financements par le juge durant la période d’observation et l’octroi de privilège ou de sûreté qui attribuerait, comme l’a fait le droit français, un privilège </w:t>
      </w:r>
      <w:r w:rsidRPr="002E2AD5">
        <w:rPr>
          <w:rFonts w:ascii="Times New Roman" w:hAnsi="Times New Roman"/>
          <w:i/>
          <w:sz w:val="24"/>
        </w:rPr>
        <w:t>New Money</w:t>
      </w:r>
      <w:r>
        <w:rPr>
          <w:rFonts w:ascii="Times New Roman" w:hAnsi="Times New Roman"/>
          <w:sz w:val="24"/>
        </w:rPr>
        <w:t xml:space="preserve"> (pendant la procédure) ou </w:t>
      </w:r>
      <w:r w:rsidRPr="002E2AD5">
        <w:rPr>
          <w:rFonts w:ascii="Times New Roman" w:hAnsi="Times New Roman"/>
          <w:i/>
          <w:sz w:val="24"/>
        </w:rPr>
        <w:t>Post Money</w:t>
      </w:r>
      <w:r>
        <w:rPr>
          <w:rFonts w:ascii="Times New Roman" w:hAnsi="Times New Roman"/>
          <w:sz w:val="24"/>
        </w:rPr>
        <w:t xml:space="preserve"> (après la procédure) à de nouveaux financiers. L’examen des règles de droit belge (et en particulier l’article XX.58) doit donc être réfléchi pour permettre le sauvetage d’activité économique viable ainsi que le maintien de l’emploi.</w:t>
      </w:r>
    </w:p>
    <w:p w:rsidR="008064D7" w:rsidRDefault="008064D7" w:rsidP="008E3772">
      <w:pPr>
        <w:spacing w:line="240" w:lineRule="auto"/>
        <w:ind w:left="851"/>
        <w:rPr>
          <w:rFonts w:ascii="Times New Roman" w:hAnsi="Times New Roman"/>
          <w:sz w:val="24"/>
        </w:rPr>
      </w:pPr>
    </w:p>
    <w:p w:rsidR="008064D7" w:rsidRDefault="008064D7" w:rsidP="00E66C11">
      <w:pPr>
        <w:spacing w:line="240" w:lineRule="auto"/>
        <w:ind w:left="851"/>
        <w:rPr>
          <w:rFonts w:ascii="Times New Roman" w:hAnsi="Times New Roman"/>
          <w:sz w:val="24"/>
        </w:rPr>
      </w:pPr>
      <w:r>
        <w:rPr>
          <w:rFonts w:ascii="Times New Roman" w:hAnsi="Times New Roman"/>
          <w:sz w:val="24"/>
        </w:rPr>
        <w:t>Mais plus fondamentalement, ces financements ne sont légitimes que s’ils augmentent la valeur de l’entreprise ou s’appuient sur des actifs dont la valeur justifie un privilège spécial. Il existe donc un lien étroit entre ces financements et la valeur ou la non-valeur de l’entreprise à prendre en compte. Sans financement, la valeur d’une entreprise en activité, au jour de l’ouverture de la procédure, pourrait se rapprocher de la valeur de liquidation et inversement, une entreprise dont la valeur était proche de la valeur de liquidation pourrait avoir une valeur plus grande grâce à la valeur créée par ce financement (campagne réussie – contrat signé grâce à la garantie bancaire – contrat obtenu grâce au financement, marge augmentée grâce au fonds de roulement, …).</w:t>
      </w:r>
    </w:p>
    <w:p w:rsidR="008064D7" w:rsidRDefault="008064D7" w:rsidP="00E66C11">
      <w:pPr>
        <w:spacing w:line="240" w:lineRule="auto"/>
        <w:ind w:left="851"/>
        <w:rPr>
          <w:rFonts w:ascii="Times New Roman" w:hAnsi="Times New Roman"/>
          <w:sz w:val="24"/>
        </w:rPr>
      </w:pPr>
    </w:p>
    <w:p w:rsidR="008064D7" w:rsidRPr="00BD23AB"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8</w:t>
      </w:r>
      <w:r w:rsidRPr="00E96592">
        <w:rPr>
          <w:rFonts w:ascii="Times New Roman" w:hAnsi="Times New Roman"/>
          <w:sz w:val="24"/>
          <w:u w:val="single"/>
          <w:vertAlign w:val="superscript"/>
        </w:rPr>
        <w:t>ème</w:t>
      </w:r>
      <w:r>
        <w:rPr>
          <w:rFonts w:ascii="Times New Roman" w:hAnsi="Times New Roman"/>
          <w:sz w:val="24"/>
          <w:u w:val="single"/>
        </w:rPr>
        <w:t xml:space="preserve"> règle de droit interne en lien avec la directive est le traitement du périmètre social des restructurations et, en particulier, la </w:t>
      </w:r>
      <w:r>
        <w:rPr>
          <w:rFonts w:ascii="Times New Roman" w:hAnsi="Times New Roman"/>
          <w:b/>
          <w:sz w:val="24"/>
          <w:u w:val="single"/>
        </w:rPr>
        <w:t>CC</w:t>
      </w:r>
      <w:r w:rsidRPr="00BD23AB">
        <w:rPr>
          <w:rFonts w:ascii="Times New Roman" w:hAnsi="Times New Roman"/>
          <w:b/>
          <w:sz w:val="24"/>
          <w:u w:val="single"/>
        </w:rPr>
        <w:t>T 102</w:t>
      </w:r>
      <w:r>
        <w:rPr>
          <w:rFonts w:ascii="Times New Roman" w:hAnsi="Times New Roman"/>
          <w:sz w:val="24"/>
          <w:u w:val="single"/>
        </w:rPr>
        <w:t>.</w:t>
      </w:r>
      <w:r>
        <w:rPr>
          <w:rFonts w:ascii="Times New Roman" w:hAnsi="Times New Roman"/>
          <w:sz w:val="24"/>
        </w:rPr>
        <w:t xml:space="preserve"> La directive donne de nouveaux droits aux travailleurs ou, en tout cas, permet aux Etats de leur en donner. </w:t>
      </w:r>
      <w:r w:rsidRPr="00BD23AB">
        <w:rPr>
          <w:rFonts w:ascii="Times New Roman" w:hAnsi="Times New Roman"/>
          <w:sz w:val="24"/>
        </w:rPr>
        <w:t xml:space="preserve">Elle n’interdit pas, si le débiteur reste viable, de permettre des restructurations par des cessions d’actifs ou d’activité. Elle s’établit sans préjudice des directives européennes en matière d’information et de préservation du droit des travailleurs en particulier, dès lors, la directive sur les transferts d’entreprise. </w:t>
      </w:r>
    </w:p>
    <w:p w:rsidR="008064D7" w:rsidRDefault="008064D7" w:rsidP="00DB4444">
      <w:pPr>
        <w:spacing w:line="240" w:lineRule="auto"/>
        <w:ind w:left="426"/>
        <w:rPr>
          <w:rFonts w:ascii="Times New Roman" w:hAnsi="Times New Roman"/>
          <w:sz w:val="24"/>
        </w:rPr>
      </w:pPr>
    </w:p>
    <w:p w:rsidR="008064D7" w:rsidRDefault="008064D7" w:rsidP="001D693C">
      <w:pPr>
        <w:spacing w:line="240" w:lineRule="auto"/>
        <w:ind w:left="786"/>
        <w:rPr>
          <w:rFonts w:ascii="Times New Roman" w:hAnsi="Times New Roman"/>
          <w:sz w:val="24"/>
        </w:rPr>
      </w:pPr>
      <w:r>
        <w:rPr>
          <w:rFonts w:ascii="Times New Roman" w:hAnsi="Times New Roman"/>
          <w:sz w:val="24"/>
        </w:rPr>
        <w:t xml:space="preserve">La directive ne règle certes pas de manière </w:t>
      </w:r>
      <w:r w:rsidRPr="00BD23AB">
        <w:rPr>
          <w:rFonts w:ascii="Times New Roman" w:hAnsi="Times New Roman"/>
          <w:sz w:val="24"/>
          <w:u w:val="single"/>
        </w:rPr>
        <w:t>directe</w:t>
      </w:r>
      <w:r>
        <w:rPr>
          <w:rFonts w:ascii="Times New Roman" w:hAnsi="Times New Roman"/>
          <w:sz w:val="24"/>
        </w:rPr>
        <w:t xml:space="preserve"> ou n’impose pas de régler la situation créée par la jurisprudence PLESSERS et SMALLSTEP. Pourtant, peut-être permet-elle de résoudre la difficulté dès lors qu’en définissant le droit des créanciers comme elle le fait à travers la règle de validation de </w:t>
      </w:r>
      <w:r w:rsidRPr="007C17D3">
        <w:rPr>
          <w:rFonts w:ascii="Times New Roman" w:hAnsi="Times New Roman"/>
          <w:i/>
          <w:sz w:val="24"/>
        </w:rPr>
        <w:t>Best interest</w:t>
      </w:r>
      <w:r>
        <w:rPr>
          <w:rFonts w:ascii="Times New Roman" w:hAnsi="Times New Roman"/>
          <w:sz w:val="24"/>
        </w:rPr>
        <w:t xml:space="preserve"> des créanciers de priorité absolue, elle semble en même temps attribuer une définition européenne à la notion de maximalisation de l’intérêt des créanciers.  La question devient donc : est-ce qu’une procédure menée conformément à la directive et selon ses règles ne peut être tenue au sens de la directive européenne et de l’arrêt SMALLSTEP comme une procédure qui maximalise l’intérêt des créanciers et, partant, qui échappe à l’application de la </w:t>
      </w:r>
      <w:r>
        <w:rPr>
          <w:rFonts w:ascii="Times New Roman" w:hAnsi="Times New Roman"/>
          <w:sz w:val="24"/>
        </w:rPr>
        <w:lastRenderedPageBreak/>
        <w:t xml:space="preserve">convention collective 32Bis en Belgique ? Est-ce que la règle du </w:t>
      </w:r>
      <w:r w:rsidRPr="007C17D3">
        <w:rPr>
          <w:rFonts w:ascii="Times New Roman" w:hAnsi="Times New Roman"/>
          <w:i/>
          <w:sz w:val="24"/>
        </w:rPr>
        <w:t>Best interest</w:t>
      </w:r>
      <w:r>
        <w:rPr>
          <w:rFonts w:ascii="Times New Roman" w:hAnsi="Times New Roman"/>
          <w:sz w:val="24"/>
        </w:rPr>
        <w:t xml:space="preserve"> des créanciers dans le meilleur scénario ou la règle de valorisation </w:t>
      </w:r>
      <w:r w:rsidRPr="007C17D3">
        <w:rPr>
          <w:rFonts w:ascii="Times New Roman" w:hAnsi="Times New Roman"/>
          <w:i/>
          <w:sz w:val="24"/>
        </w:rPr>
        <w:t>Going-concern</w:t>
      </w:r>
      <w:r>
        <w:rPr>
          <w:rFonts w:ascii="Times New Roman" w:hAnsi="Times New Roman"/>
          <w:sz w:val="24"/>
        </w:rPr>
        <w:t xml:space="preserve"> du droit de priorité est le critère qui permet légalement d’établir la maximalisation de l’intérêt des créanciers ?</w:t>
      </w:r>
    </w:p>
    <w:p w:rsidR="008064D7" w:rsidRDefault="008064D7" w:rsidP="00DB4444">
      <w:pPr>
        <w:spacing w:line="240" w:lineRule="auto"/>
        <w:ind w:left="426"/>
        <w:rPr>
          <w:rFonts w:ascii="Times New Roman" w:hAnsi="Times New Roman"/>
          <w:sz w:val="24"/>
        </w:rPr>
      </w:pPr>
    </w:p>
    <w:p w:rsidR="008064D7" w:rsidRPr="001B33E7" w:rsidRDefault="008064D7" w:rsidP="007565AA">
      <w:pPr>
        <w:pStyle w:val="Paragraphedeliste"/>
        <w:numPr>
          <w:ilvl w:val="0"/>
          <w:numId w:val="2"/>
        </w:numPr>
        <w:spacing w:line="240" w:lineRule="auto"/>
        <w:rPr>
          <w:rFonts w:ascii="Times New Roman" w:hAnsi="Times New Roman"/>
          <w:sz w:val="24"/>
        </w:rPr>
      </w:pPr>
      <w:r w:rsidRPr="00E85121">
        <w:rPr>
          <w:rFonts w:ascii="Times New Roman" w:hAnsi="Times New Roman"/>
          <w:sz w:val="24"/>
          <w:u w:val="single"/>
        </w:rPr>
        <w:t>L</w:t>
      </w:r>
      <w:r>
        <w:rPr>
          <w:rFonts w:ascii="Times New Roman" w:hAnsi="Times New Roman"/>
          <w:sz w:val="24"/>
          <w:u w:val="single"/>
        </w:rPr>
        <w:t>a</w:t>
      </w:r>
      <w:r w:rsidRPr="00E85121">
        <w:rPr>
          <w:rFonts w:ascii="Times New Roman" w:hAnsi="Times New Roman"/>
          <w:sz w:val="24"/>
          <w:u w:val="single"/>
        </w:rPr>
        <w:t xml:space="preserve"> </w:t>
      </w:r>
      <w:r>
        <w:rPr>
          <w:rFonts w:ascii="Times New Roman" w:hAnsi="Times New Roman"/>
          <w:sz w:val="24"/>
          <w:u w:val="single"/>
        </w:rPr>
        <w:t>9</w:t>
      </w:r>
      <w:r w:rsidRPr="00E85121">
        <w:rPr>
          <w:rFonts w:ascii="Times New Roman" w:hAnsi="Times New Roman"/>
          <w:sz w:val="24"/>
          <w:u w:val="single"/>
          <w:vertAlign w:val="superscript"/>
        </w:rPr>
        <w:t>ème</w:t>
      </w:r>
      <w:r w:rsidRPr="00E85121">
        <w:rPr>
          <w:rFonts w:ascii="Times New Roman" w:hAnsi="Times New Roman"/>
          <w:sz w:val="24"/>
          <w:u w:val="single"/>
        </w:rPr>
        <w:t xml:space="preserve"> </w:t>
      </w:r>
      <w:r>
        <w:rPr>
          <w:rFonts w:ascii="Times New Roman" w:hAnsi="Times New Roman"/>
          <w:sz w:val="24"/>
          <w:u w:val="single"/>
        </w:rPr>
        <w:t>règle de droit interne à examiner par rapport à la règle de la doctrine et qui</w:t>
      </w:r>
      <w:r w:rsidRPr="00E85121">
        <w:rPr>
          <w:rFonts w:ascii="Times New Roman" w:hAnsi="Times New Roman"/>
          <w:sz w:val="24"/>
          <w:u w:val="single"/>
        </w:rPr>
        <w:t xml:space="preserve"> a effleuré certains dossiers de restructuration belge et, en particulier, l’</w:t>
      </w:r>
      <w:r w:rsidRPr="007C17D3">
        <w:rPr>
          <w:rFonts w:ascii="Times New Roman" w:hAnsi="Times New Roman"/>
          <w:sz w:val="24"/>
          <w:u w:val="single"/>
        </w:rPr>
        <w:t>affaire</w:t>
      </w:r>
      <w:r w:rsidRPr="00E85121">
        <w:rPr>
          <w:rFonts w:ascii="Times New Roman" w:hAnsi="Times New Roman"/>
          <w:sz w:val="24"/>
          <w:u w:val="single"/>
        </w:rPr>
        <w:t xml:space="preserve"> BRANTANO</w:t>
      </w:r>
      <w:r>
        <w:rPr>
          <w:rFonts w:ascii="Times New Roman" w:hAnsi="Times New Roman"/>
          <w:sz w:val="24"/>
          <w:u w:val="single"/>
        </w:rPr>
        <w:t xml:space="preserve"> </w:t>
      </w:r>
      <w:r w:rsidRPr="00667C5C">
        <w:rPr>
          <w:rFonts w:ascii="Times New Roman" w:hAnsi="Times New Roman"/>
          <w:sz w:val="24"/>
        </w:rPr>
        <w:t>est celle, par exemple pour les SA</w:t>
      </w:r>
      <w:r w:rsidRPr="002E2AD5">
        <w:rPr>
          <w:rFonts w:ascii="Times New Roman" w:hAnsi="Times New Roman"/>
          <w:sz w:val="24"/>
        </w:rPr>
        <w:t xml:space="preserve">, </w:t>
      </w:r>
      <w:r w:rsidRPr="00667C5C">
        <w:rPr>
          <w:rFonts w:ascii="Times New Roman" w:hAnsi="Times New Roman"/>
          <w:b/>
          <w:sz w:val="24"/>
          <w:u w:val="single"/>
        </w:rPr>
        <w:t>des</w:t>
      </w:r>
      <w:r>
        <w:rPr>
          <w:rFonts w:ascii="Times New Roman" w:hAnsi="Times New Roman"/>
          <w:sz w:val="24"/>
          <w:u w:val="single"/>
        </w:rPr>
        <w:t xml:space="preserve"> </w:t>
      </w:r>
      <w:r>
        <w:rPr>
          <w:rFonts w:ascii="Times New Roman" w:hAnsi="Times New Roman"/>
          <w:b/>
          <w:sz w:val="24"/>
          <w:u w:val="single"/>
        </w:rPr>
        <w:t>articles 7</w:t>
      </w:r>
      <w:r w:rsidRPr="00667C5C">
        <w:rPr>
          <w:rFonts w:ascii="Times New Roman" w:hAnsi="Times New Roman"/>
          <w:b/>
          <w:sz w:val="24"/>
          <w:u w:val="single"/>
        </w:rPr>
        <w:t xml:space="preserve">:177 et </w:t>
      </w:r>
      <w:r>
        <w:rPr>
          <w:rFonts w:ascii="Times New Roman" w:hAnsi="Times New Roman"/>
          <w:b/>
          <w:sz w:val="24"/>
          <w:u w:val="single"/>
        </w:rPr>
        <w:t xml:space="preserve">suivant </w:t>
      </w:r>
      <w:r w:rsidRPr="00667C5C">
        <w:rPr>
          <w:rFonts w:ascii="Times New Roman" w:hAnsi="Times New Roman"/>
          <w:b/>
          <w:sz w:val="24"/>
          <w:u w:val="single"/>
        </w:rPr>
        <w:t>du CSA</w:t>
      </w:r>
      <w:r w:rsidRPr="00667C5C">
        <w:rPr>
          <w:rFonts w:ascii="Times New Roman" w:hAnsi="Times New Roman"/>
          <w:b/>
          <w:sz w:val="24"/>
        </w:rPr>
        <w:t xml:space="preserve">.  </w:t>
      </w:r>
      <w:r w:rsidRPr="001B33E7">
        <w:rPr>
          <w:rFonts w:ascii="Times New Roman" w:hAnsi="Times New Roman"/>
          <w:sz w:val="24"/>
        </w:rPr>
        <w:t>La restructuration d’une entreprise crée souvent un conflit d’intérêt entre l’actionnaire et ceux qui doivent protéger l’intérêt social perçu de manière abstraite incluant dès lors l’intérêt des différents détenteurs d’intérêt en ce y compris, mais pas seulement les créanciers.</w:t>
      </w:r>
    </w:p>
    <w:p w:rsidR="008064D7" w:rsidRDefault="008064D7" w:rsidP="00DB4444">
      <w:pPr>
        <w:spacing w:line="240" w:lineRule="auto"/>
        <w:ind w:left="426"/>
        <w:rPr>
          <w:rFonts w:ascii="Times New Roman" w:hAnsi="Times New Roman"/>
          <w:sz w:val="24"/>
        </w:rPr>
      </w:pPr>
    </w:p>
    <w:p w:rsidR="008064D7" w:rsidRDefault="008064D7" w:rsidP="00667C5C">
      <w:pPr>
        <w:spacing w:line="240" w:lineRule="auto"/>
        <w:ind w:left="786"/>
        <w:rPr>
          <w:rFonts w:ascii="Times New Roman" w:hAnsi="Times New Roman"/>
          <w:sz w:val="24"/>
        </w:rPr>
      </w:pPr>
      <w:r>
        <w:rPr>
          <w:rFonts w:ascii="Times New Roman" w:hAnsi="Times New Roman"/>
          <w:sz w:val="24"/>
        </w:rPr>
        <w:t>La directive européenne règle clairement cette situation en faisant peser sur les administrateurs une obligation fiduciaire de l’intérêt des détenteurs d’intérêt qui doivent se distancier de l’intérêt de l’actionnaire. La directive permet, par exemple, aux Etats membres d’autoriser d’inclure, parmi les classes de créanciers, les actionnaires afin de leur rendre opposable un plan qui prévoirait la conversion des créances dans des conditions qui ne soient pas celles qu’ils agréeraient par l’utilisation du Code des sociétés classiques. Elle permet également le remplacement du dirigeant si ce dernier ne satisfait pas à ses obligations fiduciaires et semble créer des responsabilités nouvelles en termes de responsabilité civile face à cette obligation fiduciaire.</w:t>
      </w:r>
    </w:p>
    <w:p w:rsidR="008064D7" w:rsidRDefault="008064D7" w:rsidP="00DB4444">
      <w:pPr>
        <w:spacing w:line="240" w:lineRule="auto"/>
        <w:ind w:left="426"/>
        <w:rPr>
          <w:rFonts w:ascii="Times New Roman" w:hAnsi="Times New Roman"/>
          <w:sz w:val="24"/>
        </w:rPr>
      </w:pPr>
    </w:p>
    <w:p w:rsidR="008064D7" w:rsidRDefault="008064D7" w:rsidP="00667C5C">
      <w:pPr>
        <w:spacing w:line="240" w:lineRule="auto"/>
        <w:ind w:left="786"/>
        <w:rPr>
          <w:rFonts w:ascii="Times New Roman" w:hAnsi="Times New Roman"/>
          <w:sz w:val="24"/>
        </w:rPr>
      </w:pPr>
      <w:r>
        <w:rPr>
          <w:rFonts w:ascii="Times New Roman" w:hAnsi="Times New Roman"/>
          <w:sz w:val="24"/>
        </w:rPr>
        <w:t xml:space="preserve">Si aucune procédure de restructuration ne peut raisonnablement réussir si le débiteur est dessaisi de sa possession, ce n’est pas pour autant qu’une procédure initiée par un débiteur en possession doit nécessairement finir sans être administrée par les administrateurs en place ou par ceux qui seraient désignés et qui prennent mieux en compte l’intérêt social. On a pu écrire que les actionnaires de certaines sociétés avaient, d’abord à travers les choix stratégiques et les procédures menées, favorisé leurs propres intérêts au détriment des créanciers qui se trouvaient être, par la faillite, purgés de leurs droits. Là encore, le critère ne saurait être que la valeur liquidative dans le meilleur scénario possible ou la valeur </w:t>
      </w:r>
      <w:r w:rsidRPr="007C17D3">
        <w:rPr>
          <w:rFonts w:ascii="Times New Roman" w:hAnsi="Times New Roman"/>
          <w:i/>
          <w:sz w:val="24"/>
        </w:rPr>
        <w:t>Going-concern</w:t>
      </w:r>
      <w:r w:rsidRPr="002E2AD5">
        <w:rPr>
          <w:rFonts w:ascii="Times New Roman" w:hAnsi="Times New Roman"/>
          <w:i/>
          <w:sz w:val="24"/>
        </w:rPr>
        <w:t xml:space="preserve"> </w:t>
      </w:r>
      <w:r>
        <w:rPr>
          <w:rFonts w:ascii="Times New Roman" w:hAnsi="Times New Roman"/>
          <w:sz w:val="24"/>
        </w:rPr>
        <w:t>de la société.</w:t>
      </w:r>
    </w:p>
    <w:p w:rsidR="008064D7" w:rsidRDefault="008064D7" w:rsidP="00476531">
      <w:pPr>
        <w:spacing w:line="240" w:lineRule="auto"/>
        <w:ind w:left="786"/>
        <w:rPr>
          <w:rFonts w:ascii="Times New Roman" w:hAnsi="Times New Roman"/>
          <w:sz w:val="24"/>
        </w:rPr>
      </w:pPr>
    </w:p>
    <w:p w:rsidR="008064D7" w:rsidRPr="001D693C"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10</w:t>
      </w:r>
      <w:r w:rsidRPr="009A5EC2">
        <w:rPr>
          <w:rFonts w:ascii="Times New Roman" w:hAnsi="Times New Roman"/>
          <w:sz w:val="24"/>
          <w:u w:val="single"/>
          <w:vertAlign w:val="superscript"/>
        </w:rPr>
        <w:t>ème</w:t>
      </w:r>
      <w:r>
        <w:rPr>
          <w:rFonts w:ascii="Times New Roman" w:hAnsi="Times New Roman"/>
          <w:sz w:val="24"/>
          <w:u w:val="single"/>
        </w:rPr>
        <w:t xml:space="preserve"> règle de droit interne à examiner au regard de la directive est delle de </w:t>
      </w:r>
      <w:r w:rsidRPr="00667C5C">
        <w:rPr>
          <w:rFonts w:ascii="Times New Roman" w:hAnsi="Times New Roman"/>
          <w:b/>
          <w:sz w:val="24"/>
          <w:u w:val="single"/>
        </w:rPr>
        <w:t>l’article XX</w:t>
      </w:r>
      <w:r>
        <w:rPr>
          <w:rFonts w:ascii="Times New Roman" w:hAnsi="Times New Roman"/>
          <w:b/>
          <w:sz w:val="24"/>
          <w:u w:val="single"/>
        </w:rPr>
        <w:t>.</w:t>
      </w:r>
      <w:r w:rsidRPr="00667C5C">
        <w:rPr>
          <w:rFonts w:ascii="Times New Roman" w:hAnsi="Times New Roman"/>
          <w:b/>
          <w:sz w:val="24"/>
          <w:u w:val="single"/>
        </w:rPr>
        <w:t>79</w:t>
      </w:r>
      <w:r>
        <w:rPr>
          <w:rFonts w:ascii="Times New Roman" w:hAnsi="Times New Roman"/>
          <w:sz w:val="24"/>
          <w:u w:val="single"/>
        </w:rPr>
        <w:t xml:space="preserve"> qui vise à définir les pouvoirs réels du juge qui doit statuer sur un </w:t>
      </w:r>
      <w:r w:rsidRPr="007C17D3">
        <w:rPr>
          <w:rFonts w:ascii="Times New Roman" w:hAnsi="Times New Roman"/>
          <w:i/>
          <w:sz w:val="24"/>
          <w:u w:val="single"/>
        </w:rPr>
        <w:t>Cram-down</w:t>
      </w:r>
      <w:r w:rsidRPr="001B33E7">
        <w:rPr>
          <w:rFonts w:ascii="Times New Roman" w:hAnsi="Times New Roman"/>
          <w:sz w:val="24"/>
        </w:rPr>
        <w:t xml:space="preserve">. </w:t>
      </w:r>
      <w:r w:rsidRPr="00667C5C">
        <w:rPr>
          <w:rFonts w:ascii="Times New Roman" w:hAnsi="Times New Roman"/>
          <w:sz w:val="24"/>
        </w:rPr>
        <w:t xml:space="preserve">Si, en droit belge actuel, le magistrat ne possède pas ou peu de pouvoir d’appréciation en opportunité de la manière dont la restructuration est proposée aux créanciers, il pourrait en être différemment demain si la directive était transposée de manière correcte. </w:t>
      </w:r>
      <w:r>
        <w:rPr>
          <w:rFonts w:ascii="Times New Roman" w:hAnsi="Times New Roman"/>
          <w:sz w:val="24"/>
        </w:rPr>
        <w:t xml:space="preserve"> </w:t>
      </w:r>
      <w:r w:rsidRPr="001D693C">
        <w:rPr>
          <w:rFonts w:ascii="Times New Roman" w:hAnsi="Times New Roman"/>
          <w:sz w:val="24"/>
        </w:rPr>
        <w:t xml:space="preserve">En laissant au juge le pouvoir d’appréciation finale dans le cadre de la règle de priorité absolue, la directive transforme le juge de l’insolvabilité en un juge du </w:t>
      </w:r>
      <w:r w:rsidRPr="007C17D3">
        <w:rPr>
          <w:rFonts w:ascii="Times New Roman" w:hAnsi="Times New Roman"/>
          <w:i/>
          <w:sz w:val="24"/>
        </w:rPr>
        <w:t>Chapter 11</w:t>
      </w:r>
      <w:r w:rsidRPr="001D693C">
        <w:rPr>
          <w:rFonts w:ascii="Times New Roman" w:hAnsi="Times New Roman"/>
          <w:sz w:val="24"/>
        </w:rPr>
        <w:t xml:space="preserve"> américain : il est chargé d’approuver les classes, d’approuver les financements et d’approuver les plans en y intégrant une considération active et motivée de ce qui est juste.</w:t>
      </w:r>
    </w:p>
    <w:p w:rsidR="008064D7" w:rsidRDefault="008064D7" w:rsidP="008A00A7">
      <w:pPr>
        <w:pStyle w:val="Paragraphedeliste"/>
        <w:spacing w:line="240" w:lineRule="auto"/>
        <w:ind w:left="786"/>
        <w:rPr>
          <w:rFonts w:ascii="Times New Roman" w:hAnsi="Times New Roman"/>
          <w:sz w:val="24"/>
        </w:rPr>
      </w:pPr>
    </w:p>
    <w:p w:rsidR="008064D7" w:rsidRPr="0048428B" w:rsidRDefault="008064D7" w:rsidP="0048428B">
      <w:pPr>
        <w:pStyle w:val="Paragraphedeliste"/>
        <w:rPr>
          <w:rFonts w:ascii="Times New Roman" w:hAnsi="Times New Roman"/>
          <w:sz w:val="24"/>
        </w:rPr>
      </w:pPr>
    </w:p>
    <w:p w:rsidR="008064D7" w:rsidRDefault="008064D7" w:rsidP="0048428B">
      <w:pPr>
        <w:pStyle w:val="Paragraphedeliste"/>
        <w:spacing w:line="240" w:lineRule="auto"/>
        <w:ind w:left="786"/>
        <w:rPr>
          <w:rFonts w:ascii="Times New Roman" w:hAnsi="Times New Roman"/>
          <w:sz w:val="24"/>
        </w:rPr>
      </w:pPr>
      <w:r>
        <w:rPr>
          <w:rFonts w:ascii="Times New Roman" w:hAnsi="Times New Roman"/>
          <w:sz w:val="24"/>
        </w:rPr>
        <w:t>.</w:t>
      </w:r>
    </w:p>
    <w:p w:rsidR="008064D7" w:rsidRPr="00576D73" w:rsidRDefault="008064D7" w:rsidP="007565AA">
      <w:pPr>
        <w:pStyle w:val="Titre1"/>
        <w:numPr>
          <w:ilvl w:val="0"/>
          <w:numId w:val="5"/>
        </w:numPr>
        <w:spacing w:before="0" w:line="240" w:lineRule="auto"/>
        <w:ind w:left="714" w:hanging="357"/>
        <w:rPr>
          <w:rFonts w:ascii="Times New Roman" w:hAnsi="Times New Roman" w:cs="Times New Roman"/>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br w:type="page"/>
      </w:r>
      <w:bookmarkStart w:id="6" w:name="_Toc55407452"/>
      <w:r w:rsidRPr="00576D73">
        <w:rPr>
          <w:rFonts w:ascii="Times New Roman" w:hAnsi="Times New Roman" w:cs="Times New Roman"/>
          <w14:shadow w14:blurRad="50800" w14:dist="38100" w14:dir="2700000" w14:sx="100000" w14:sy="100000" w14:kx="0" w14:ky="0" w14:algn="tl">
            <w14:srgbClr w14:val="000000">
              <w14:alpha w14:val="60000"/>
            </w14:srgbClr>
          </w14:shadow>
        </w:rPr>
        <w:lastRenderedPageBreak/>
        <w:t xml:space="preserve">La valeur </w:t>
      </w:r>
      <w:r w:rsidRPr="007C17D3">
        <w:rPr>
          <w:rFonts w:ascii="Times New Roman" w:hAnsi="Times New Roman" w:cs="Times New Roman"/>
          <w:i/>
          <w14:shadow w14:blurRad="50800" w14:dist="38100" w14:dir="2700000" w14:sx="100000" w14:sy="100000" w14:kx="0" w14:ky="0" w14:algn="tl">
            <w14:srgbClr w14:val="000000">
              <w14:alpha w14:val="60000"/>
            </w14:srgbClr>
          </w14:shadow>
        </w:rPr>
        <w:t>going-</w:t>
      </w:r>
      <w:r w:rsidR="001D5BD6" w:rsidRPr="007C17D3">
        <w:rPr>
          <w:rFonts w:ascii="Times New Roman" w:hAnsi="Times New Roman" w:cs="Times New Roman"/>
          <w:i/>
          <w14:shadow w14:blurRad="50800" w14:dist="38100" w14:dir="2700000" w14:sx="100000" w14:sy="100000" w14:kx="0" w14:ky="0" w14:algn="tl">
            <w14:srgbClr w14:val="000000">
              <w14:alpha w14:val="60000"/>
            </w14:srgbClr>
          </w14:shadow>
        </w:rPr>
        <w:t>concern</w:t>
      </w:r>
      <w:r w:rsidR="001D5BD6" w:rsidRPr="00576D73">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001D5BD6">
        <w:rPr>
          <w:rFonts w:ascii="Times New Roman" w:hAnsi="Times New Roman" w:cs="Times New Roman"/>
          <w14:shadow w14:blurRad="50800" w14:dist="38100" w14:dir="2700000" w14:sx="100000" w14:sy="100000" w14:kx="0" w14:ky="0" w14:algn="tl">
            <w14:srgbClr w14:val="000000">
              <w14:alpha w14:val="60000"/>
            </w14:srgbClr>
          </w14:shadow>
        </w:rPr>
        <w:t>des</w:t>
      </w:r>
      <w:r>
        <w:rPr>
          <w:rFonts w:ascii="Times New Roman" w:hAnsi="Times New Roman" w:cs="Times New Roman"/>
          <w14:shadow w14:blurRad="50800" w14:dist="38100" w14:dir="2700000" w14:sx="100000" w14:sy="100000" w14:kx="0" w14:ky="0" w14:algn="tl">
            <w14:srgbClr w14:val="000000">
              <w14:alpha w14:val="60000"/>
            </w14:srgbClr>
          </w14:shadow>
        </w:rPr>
        <w:t xml:space="preserve"> actifs </w:t>
      </w:r>
      <w:r w:rsidRPr="00576D73">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Pr>
          <w:rFonts w:ascii="Times New Roman" w:hAnsi="Times New Roman" w:cs="Times New Roman"/>
          <w14:shadow w14:blurRad="50800" w14:dist="38100" w14:dir="2700000" w14:sx="100000" w14:sy="100000" w14:kx="0" w14:ky="0" w14:algn="tl">
            <w14:srgbClr w14:val="000000">
              <w14:alpha w14:val="60000"/>
            </w14:srgbClr>
          </w14:shadow>
        </w:rPr>
        <w:t>ou du débiteur</w:t>
      </w:r>
      <w:bookmarkEnd w:id="6"/>
      <w:r>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rsidR="008064D7" w:rsidRDefault="008064D7" w:rsidP="009F3D77">
      <w:pPr>
        <w:spacing w:line="240" w:lineRule="auto"/>
        <w:ind w:left="426"/>
        <w:rPr>
          <w:rFonts w:ascii="Times New Roman" w:hAnsi="Times New Roman"/>
          <w:sz w:val="24"/>
        </w:rPr>
      </w:pPr>
    </w:p>
    <w:p w:rsidR="001D5BD6" w:rsidRPr="001D5BD6" w:rsidRDefault="001D5BD6" w:rsidP="001D5BD6">
      <w:pPr>
        <w:pStyle w:val="Titre2"/>
        <w:numPr>
          <w:ilvl w:val="0"/>
          <w:numId w:val="40"/>
        </w:numPr>
        <w:rPr>
          <w:rFonts w:ascii="Times New Roman" w:hAnsi="Times New Roman" w:cs="Times New Roman"/>
        </w:rPr>
      </w:pPr>
      <w:bookmarkStart w:id="7" w:name="_Toc55407453"/>
      <w:r>
        <w:rPr>
          <w:rFonts w:ascii="Times New Roman" w:hAnsi="Times New Roman" w:cs="Times New Roman"/>
        </w:rPr>
        <w:t>Intérêt de la question</w:t>
      </w:r>
      <w:bookmarkEnd w:id="7"/>
    </w:p>
    <w:p w:rsidR="001D5BD6" w:rsidRPr="001D5BD6" w:rsidRDefault="001D5BD6" w:rsidP="001D5BD6">
      <w:pPr>
        <w:pStyle w:val="Paragraphedeliste"/>
        <w:spacing w:line="240" w:lineRule="auto"/>
        <w:ind w:left="786"/>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sidRPr="000905F8">
        <w:rPr>
          <w:rFonts w:ascii="Times New Roman" w:hAnsi="Times New Roman"/>
          <w:b/>
          <w:bCs/>
          <w:sz w:val="24"/>
          <w:u w:val="single"/>
        </w:rPr>
        <w:t>L’article 1.22 14° du Code de droit économique</w:t>
      </w:r>
      <w:r w:rsidRPr="00EE1371">
        <w:rPr>
          <w:rFonts w:ascii="Times New Roman" w:hAnsi="Times New Roman"/>
          <w:sz w:val="24"/>
        </w:rPr>
        <w:t xml:space="preserve"> prévoit </w:t>
      </w:r>
      <w:r w:rsidR="001D5BD6">
        <w:rPr>
          <w:rFonts w:ascii="Times New Roman" w:hAnsi="Times New Roman"/>
          <w:sz w:val="24"/>
        </w:rPr>
        <w:t xml:space="preserve">déjà </w:t>
      </w:r>
      <w:r w:rsidRPr="00EE1371">
        <w:rPr>
          <w:rFonts w:ascii="Times New Roman" w:hAnsi="Times New Roman"/>
          <w:sz w:val="24"/>
        </w:rPr>
        <w:t xml:space="preserve">que si une créance est reconnue extraordinaire et qu’elle porte sur un actif ou s’il s’agit d’un gage sur des créances spécifiquement gagées </w:t>
      </w:r>
      <w:r w:rsidRPr="00EE1371">
        <w:rPr>
          <w:rFonts w:ascii="Times New Roman" w:hAnsi="Times New Roman"/>
          <w:sz w:val="24"/>
          <w:u w:val="single"/>
        </w:rPr>
        <w:t>et</w:t>
      </w:r>
      <w:r w:rsidRPr="00EE1371">
        <w:rPr>
          <w:rFonts w:ascii="Times New Roman" w:hAnsi="Times New Roman"/>
          <w:sz w:val="24"/>
        </w:rPr>
        <w:t xml:space="preserve"> que le gage ne fait pas l’objet d’une inscription au registre, sa valeur doit être évaluée au jour du jugement d’ouverture sur base </w:t>
      </w:r>
      <w:r w:rsidRPr="00EE1371">
        <w:rPr>
          <w:rFonts w:ascii="Times New Roman" w:hAnsi="Times New Roman"/>
          <w:sz w:val="24"/>
          <w:u w:val="single"/>
        </w:rPr>
        <w:t xml:space="preserve">d’une valeur </w:t>
      </w:r>
      <w:r w:rsidRPr="007C17D3">
        <w:rPr>
          <w:rFonts w:ascii="Times New Roman" w:hAnsi="Times New Roman"/>
          <w:i/>
          <w:sz w:val="24"/>
          <w:u w:val="single"/>
        </w:rPr>
        <w:t>Going-concern</w:t>
      </w:r>
      <w:r w:rsidRPr="00EE1371">
        <w:rPr>
          <w:rFonts w:ascii="Times New Roman" w:hAnsi="Times New Roman"/>
          <w:sz w:val="24"/>
        </w:rPr>
        <w:t xml:space="preserve">. </w:t>
      </w:r>
    </w:p>
    <w:p w:rsidR="008064D7" w:rsidRDefault="008064D7" w:rsidP="006E7D8D">
      <w:pPr>
        <w:pStyle w:val="Paragraphedeliste"/>
        <w:spacing w:line="240" w:lineRule="auto"/>
        <w:ind w:left="786"/>
        <w:rPr>
          <w:rFonts w:ascii="Times New Roman" w:hAnsi="Times New Roman"/>
          <w:sz w:val="24"/>
          <w:u w:val="single"/>
        </w:rPr>
      </w:pPr>
    </w:p>
    <w:p w:rsidR="008064D7" w:rsidRDefault="008064D7" w:rsidP="006E7D8D">
      <w:pPr>
        <w:pStyle w:val="Paragraphedeliste"/>
        <w:spacing w:line="240" w:lineRule="auto"/>
        <w:ind w:left="786"/>
        <w:rPr>
          <w:rFonts w:ascii="Times New Roman" w:hAnsi="Times New Roman"/>
          <w:sz w:val="24"/>
        </w:rPr>
      </w:pPr>
      <w:r w:rsidRPr="006E7D8D">
        <w:rPr>
          <w:rFonts w:ascii="Times New Roman" w:hAnsi="Times New Roman"/>
          <w:sz w:val="24"/>
        </w:rPr>
        <w:t xml:space="preserve">Cette question est </w:t>
      </w:r>
      <w:r w:rsidR="001D5BD6">
        <w:rPr>
          <w:rFonts w:ascii="Times New Roman" w:hAnsi="Times New Roman"/>
          <w:sz w:val="24"/>
        </w:rPr>
        <w:t xml:space="preserve">devenue </w:t>
      </w:r>
      <w:r>
        <w:rPr>
          <w:rFonts w:ascii="Times New Roman" w:hAnsi="Times New Roman"/>
          <w:sz w:val="24"/>
        </w:rPr>
        <w:t xml:space="preserve">particulièrement </w:t>
      </w:r>
      <w:r w:rsidR="001D5BD6">
        <w:rPr>
          <w:rFonts w:ascii="Times New Roman" w:hAnsi="Times New Roman"/>
          <w:sz w:val="24"/>
        </w:rPr>
        <w:t>brûlante</w:t>
      </w:r>
      <w:r>
        <w:rPr>
          <w:rFonts w:ascii="Times New Roman" w:hAnsi="Times New Roman"/>
          <w:sz w:val="24"/>
        </w:rPr>
        <w:t xml:space="preserve"> </w:t>
      </w:r>
      <w:r w:rsidRPr="006E7D8D">
        <w:rPr>
          <w:rFonts w:ascii="Times New Roman" w:hAnsi="Times New Roman"/>
          <w:sz w:val="24"/>
        </w:rPr>
        <w:t>depuis que le tribunal de l’</w:t>
      </w:r>
      <w:r w:rsidR="001D5BD6">
        <w:rPr>
          <w:rFonts w:ascii="Times New Roman" w:hAnsi="Times New Roman"/>
          <w:sz w:val="24"/>
        </w:rPr>
        <w:t>E</w:t>
      </w:r>
      <w:r w:rsidRPr="006E7D8D">
        <w:rPr>
          <w:rFonts w:ascii="Times New Roman" w:hAnsi="Times New Roman"/>
          <w:sz w:val="24"/>
        </w:rPr>
        <w:t>ntreprise de Liège</w:t>
      </w:r>
      <w:r w:rsidRPr="006E7D8D">
        <w:rPr>
          <w:rStyle w:val="Appelnotedebasdep"/>
          <w:rFonts w:ascii="Times New Roman" w:hAnsi="Times New Roman"/>
          <w:sz w:val="24"/>
        </w:rPr>
        <w:footnoteReference w:id="53"/>
      </w:r>
      <w:r w:rsidRPr="006E7D8D">
        <w:rPr>
          <w:rFonts w:ascii="Times New Roman" w:hAnsi="Times New Roman"/>
          <w:sz w:val="24"/>
        </w:rPr>
        <w:t xml:space="preserve"> a considéré qu’un créancier qui n’avait pas de gage sur les actifs du débiteur lui-même mais bien sur les actions du débiteur (qui en cas de faillite risque d’avoir une valeur nulle) était un créancier extraordinaire sur la valeur de ces actions</w:t>
      </w:r>
      <w:r>
        <w:rPr>
          <w:rFonts w:ascii="Times New Roman" w:hAnsi="Times New Roman"/>
          <w:sz w:val="24"/>
        </w:rPr>
        <w:t xml:space="preserve">. Le tribunal de l’Entreprise du Brabant wallon a adopté la même </w:t>
      </w:r>
      <w:r w:rsidR="001D5BD6">
        <w:rPr>
          <w:rFonts w:ascii="Times New Roman" w:hAnsi="Times New Roman"/>
          <w:sz w:val="24"/>
        </w:rPr>
        <w:t>position</w:t>
      </w:r>
      <w:r>
        <w:rPr>
          <w:rStyle w:val="Appelnotedebasdep"/>
          <w:rFonts w:ascii="Times New Roman" w:hAnsi="Times New Roman"/>
          <w:sz w:val="24"/>
        </w:rPr>
        <w:footnoteReference w:id="54"/>
      </w:r>
      <w:r>
        <w:rPr>
          <w:rFonts w:ascii="Times New Roman" w:hAnsi="Times New Roman"/>
          <w:sz w:val="24"/>
        </w:rPr>
        <w:t xml:space="preserve">. </w:t>
      </w:r>
    </w:p>
    <w:p w:rsidR="008064D7" w:rsidRDefault="008064D7" w:rsidP="006E7D8D">
      <w:pPr>
        <w:pStyle w:val="Paragraphedeliste"/>
        <w:spacing w:line="240" w:lineRule="auto"/>
        <w:ind w:left="786"/>
        <w:rPr>
          <w:rFonts w:ascii="Times New Roman" w:hAnsi="Times New Roman"/>
          <w:sz w:val="24"/>
        </w:rPr>
      </w:pPr>
    </w:p>
    <w:p w:rsidR="005365AD" w:rsidRDefault="001D5BD6" w:rsidP="006E7D8D">
      <w:pPr>
        <w:pStyle w:val="Paragraphedeliste"/>
        <w:spacing w:line="240" w:lineRule="auto"/>
        <w:ind w:left="786"/>
        <w:rPr>
          <w:rFonts w:ascii="Times New Roman" w:hAnsi="Times New Roman"/>
          <w:sz w:val="24"/>
        </w:rPr>
      </w:pPr>
      <w:r>
        <w:rPr>
          <w:rFonts w:ascii="Times New Roman" w:hAnsi="Times New Roman"/>
          <w:sz w:val="24"/>
        </w:rPr>
        <w:t>Décisions i</w:t>
      </w:r>
      <w:r w:rsidR="008064D7">
        <w:rPr>
          <w:rFonts w:ascii="Times New Roman" w:hAnsi="Times New Roman"/>
          <w:sz w:val="24"/>
        </w:rPr>
        <w:t>ntéressante</w:t>
      </w:r>
      <w:r>
        <w:rPr>
          <w:rFonts w:ascii="Times New Roman" w:hAnsi="Times New Roman"/>
          <w:sz w:val="24"/>
        </w:rPr>
        <w:t>s</w:t>
      </w:r>
      <w:r w:rsidR="008064D7">
        <w:rPr>
          <w:rFonts w:ascii="Times New Roman" w:hAnsi="Times New Roman"/>
          <w:sz w:val="24"/>
        </w:rPr>
        <w:t xml:space="preserve"> car elle</w:t>
      </w:r>
      <w:r>
        <w:rPr>
          <w:rFonts w:ascii="Times New Roman" w:hAnsi="Times New Roman"/>
          <w:sz w:val="24"/>
        </w:rPr>
        <w:t>s</w:t>
      </w:r>
      <w:r w:rsidR="008064D7">
        <w:rPr>
          <w:rFonts w:ascii="Times New Roman" w:hAnsi="Times New Roman"/>
          <w:sz w:val="24"/>
        </w:rPr>
        <w:t xml:space="preserve"> représente</w:t>
      </w:r>
      <w:r>
        <w:rPr>
          <w:rFonts w:ascii="Times New Roman" w:hAnsi="Times New Roman"/>
          <w:sz w:val="24"/>
        </w:rPr>
        <w:t>nt</w:t>
      </w:r>
      <w:r w:rsidR="008064D7">
        <w:rPr>
          <w:rFonts w:ascii="Times New Roman" w:hAnsi="Times New Roman"/>
          <w:sz w:val="24"/>
        </w:rPr>
        <w:t xml:space="preserve"> une nouvelle protection pour les créanciers, </w:t>
      </w:r>
      <w:r>
        <w:rPr>
          <w:rFonts w:ascii="Times New Roman" w:hAnsi="Times New Roman"/>
          <w:sz w:val="24"/>
        </w:rPr>
        <w:t xml:space="preserve">décisions </w:t>
      </w:r>
      <w:r w:rsidR="008064D7">
        <w:rPr>
          <w:rFonts w:ascii="Times New Roman" w:hAnsi="Times New Roman"/>
          <w:sz w:val="24"/>
        </w:rPr>
        <w:t>importante</w:t>
      </w:r>
      <w:r>
        <w:rPr>
          <w:rFonts w:ascii="Times New Roman" w:hAnsi="Times New Roman"/>
          <w:sz w:val="24"/>
        </w:rPr>
        <w:t>s</w:t>
      </w:r>
      <w:r w:rsidR="008064D7">
        <w:rPr>
          <w:rFonts w:ascii="Times New Roman" w:hAnsi="Times New Roman"/>
          <w:sz w:val="24"/>
        </w:rPr>
        <w:t xml:space="preserve"> car elle</w:t>
      </w:r>
      <w:r>
        <w:rPr>
          <w:rFonts w:ascii="Times New Roman" w:hAnsi="Times New Roman"/>
          <w:sz w:val="24"/>
        </w:rPr>
        <w:t>s</w:t>
      </w:r>
      <w:r w:rsidR="008064D7">
        <w:rPr>
          <w:rFonts w:ascii="Times New Roman" w:hAnsi="Times New Roman"/>
          <w:sz w:val="24"/>
        </w:rPr>
        <w:t xml:space="preserve"> suppose</w:t>
      </w:r>
      <w:r>
        <w:rPr>
          <w:rFonts w:ascii="Times New Roman" w:hAnsi="Times New Roman"/>
          <w:sz w:val="24"/>
        </w:rPr>
        <w:t>nt</w:t>
      </w:r>
      <w:r w:rsidR="008064D7">
        <w:rPr>
          <w:rFonts w:ascii="Times New Roman" w:hAnsi="Times New Roman"/>
          <w:sz w:val="24"/>
        </w:rPr>
        <w:t xml:space="preserve"> d’é</w:t>
      </w:r>
      <w:r w:rsidR="008064D7" w:rsidRPr="007C17D3">
        <w:rPr>
          <w:rFonts w:ascii="Times New Roman" w:hAnsi="Times New Roman"/>
          <w:i/>
          <w:sz w:val="24"/>
        </w:rPr>
        <w:t>value</w:t>
      </w:r>
      <w:r w:rsidR="008064D7">
        <w:rPr>
          <w:rFonts w:ascii="Times New Roman" w:hAnsi="Times New Roman"/>
          <w:sz w:val="24"/>
        </w:rPr>
        <w:t xml:space="preserve">r la valeur </w:t>
      </w:r>
      <w:r w:rsidR="008064D7" w:rsidRPr="007C17D3">
        <w:rPr>
          <w:rFonts w:ascii="Times New Roman" w:hAnsi="Times New Roman"/>
          <w:i/>
          <w:sz w:val="24"/>
        </w:rPr>
        <w:t>going-concern</w:t>
      </w:r>
      <w:r w:rsidR="008064D7">
        <w:rPr>
          <w:rFonts w:ascii="Times New Roman" w:hAnsi="Times New Roman"/>
          <w:sz w:val="24"/>
        </w:rPr>
        <w:t xml:space="preserve"> </w:t>
      </w:r>
      <w:r w:rsidR="008064D7" w:rsidRPr="001D5BD6">
        <w:rPr>
          <w:rFonts w:ascii="Times New Roman" w:hAnsi="Times New Roman"/>
          <w:sz w:val="24"/>
          <w:u w:val="single"/>
        </w:rPr>
        <w:t>du débiteur lui-même</w:t>
      </w:r>
      <w:r w:rsidR="008064D7">
        <w:rPr>
          <w:rFonts w:ascii="Times New Roman" w:hAnsi="Times New Roman"/>
          <w:sz w:val="24"/>
        </w:rPr>
        <w:t>, ce qui est justement la valeur que la directive propose d’établir.</w:t>
      </w:r>
      <w:r w:rsidR="005365AD">
        <w:rPr>
          <w:rFonts w:ascii="Times New Roman" w:hAnsi="Times New Roman"/>
          <w:sz w:val="24"/>
        </w:rPr>
        <w:t xml:space="preserve"> </w:t>
      </w:r>
    </w:p>
    <w:p w:rsidR="005365AD" w:rsidRDefault="005365AD" w:rsidP="006E7D8D">
      <w:pPr>
        <w:pStyle w:val="Paragraphedeliste"/>
        <w:spacing w:line="240" w:lineRule="auto"/>
        <w:ind w:left="786"/>
        <w:rPr>
          <w:rFonts w:ascii="Times New Roman" w:hAnsi="Times New Roman"/>
          <w:sz w:val="24"/>
        </w:rPr>
      </w:pPr>
    </w:p>
    <w:p w:rsidR="005365AD" w:rsidRDefault="005365AD" w:rsidP="006E7D8D">
      <w:pPr>
        <w:pStyle w:val="Paragraphedeliste"/>
        <w:spacing w:line="240" w:lineRule="auto"/>
        <w:ind w:left="786"/>
        <w:rPr>
          <w:rFonts w:ascii="Times New Roman" w:hAnsi="Times New Roman"/>
          <w:sz w:val="24"/>
        </w:rPr>
      </w:pPr>
      <w:r>
        <w:rPr>
          <w:rFonts w:ascii="Times New Roman" w:hAnsi="Times New Roman"/>
          <w:sz w:val="24"/>
        </w:rPr>
        <w:t xml:space="preserve">Importante aussi car si tous les créanciers </w:t>
      </w:r>
      <w:r w:rsidR="001D5BD6">
        <w:rPr>
          <w:rFonts w:ascii="Times New Roman" w:hAnsi="Times New Roman"/>
          <w:sz w:val="24"/>
        </w:rPr>
        <w:t>utilisent</w:t>
      </w:r>
      <w:r>
        <w:rPr>
          <w:rFonts w:ascii="Times New Roman" w:hAnsi="Times New Roman"/>
          <w:sz w:val="24"/>
        </w:rPr>
        <w:t xml:space="preserve"> les clauses de créances spécifiquement gagées, les clauses de réserve de propriété ou le gage externe de registre, il n’y aura plus de possibilité de réussir les PRJ accord collectif en raison de l’importance du </w:t>
      </w:r>
      <w:r w:rsidR="001D5BD6">
        <w:rPr>
          <w:rFonts w:ascii="Times New Roman" w:hAnsi="Times New Roman"/>
          <w:sz w:val="24"/>
        </w:rPr>
        <w:t>passif</w:t>
      </w:r>
      <w:r>
        <w:rPr>
          <w:rFonts w:ascii="Times New Roman" w:hAnsi="Times New Roman"/>
          <w:sz w:val="24"/>
        </w:rPr>
        <w:t xml:space="preserve"> extraordinaire qui ne sait pas ni être abattu ni étalé plus de 24 mois. Nous verrons que les solutions </w:t>
      </w:r>
      <w:r w:rsidR="001D5BD6">
        <w:rPr>
          <w:rFonts w:ascii="Times New Roman" w:hAnsi="Times New Roman"/>
          <w:sz w:val="24"/>
        </w:rPr>
        <w:t>créées</w:t>
      </w:r>
      <w:r>
        <w:rPr>
          <w:rFonts w:ascii="Times New Roman" w:hAnsi="Times New Roman"/>
          <w:sz w:val="24"/>
        </w:rPr>
        <w:t xml:space="preserve"> par la directive à l’instar du droit américain pourraient alors être la seule voie praticable.</w:t>
      </w:r>
    </w:p>
    <w:p w:rsidR="005365AD" w:rsidRDefault="005365AD" w:rsidP="006E7D8D">
      <w:pPr>
        <w:pStyle w:val="Paragraphedeliste"/>
        <w:spacing w:line="240" w:lineRule="auto"/>
        <w:ind w:left="786"/>
        <w:rPr>
          <w:rFonts w:ascii="Times New Roman" w:hAnsi="Times New Roman"/>
          <w:sz w:val="24"/>
        </w:rPr>
      </w:pPr>
    </w:p>
    <w:p w:rsidR="008064D7" w:rsidRPr="006E7D8D" w:rsidRDefault="001D5BD6" w:rsidP="006E7D8D">
      <w:pPr>
        <w:pStyle w:val="Paragraphedeliste"/>
        <w:spacing w:line="240" w:lineRule="auto"/>
        <w:ind w:left="786"/>
        <w:rPr>
          <w:rFonts w:ascii="Times New Roman" w:hAnsi="Times New Roman"/>
          <w:sz w:val="24"/>
        </w:rPr>
      </w:pPr>
      <w:r>
        <w:rPr>
          <w:rFonts w:ascii="Times New Roman" w:hAnsi="Times New Roman"/>
          <w:sz w:val="24"/>
        </w:rPr>
        <w:t>Nous examinons</w:t>
      </w:r>
      <w:r w:rsidR="008064D7">
        <w:rPr>
          <w:rFonts w:ascii="Times New Roman" w:hAnsi="Times New Roman"/>
          <w:sz w:val="24"/>
        </w:rPr>
        <w:t xml:space="preserve"> donc </w:t>
      </w:r>
      <w:r w:rsidR="005365AD">
        <w:rPr>
          <w:rFonts w:ascii="Times New Roman" w:hAnsi="Times New Roman"/>
          <w:sz w:val="24"/>
        </w:rPr>
        <w:t xml:space="preserve">– dans cette contribution- </w:t>
      </w:r>
      <w:r w:rsidR="008064D7">
        <w:rPr>
          <w:rFonts w:ascii="Times New Roman" w:hAnsi="Times New Roman"/>
          <w:sz w:val="24"/>
        </w:rPr>
        <w:t xml:space="preserve">le sens que pourrait avoir ce concept </w:t>
      </w:r>
      <w:r w:rsidR="005365AD">
        <w:rPr>
          <w:rFonts w:ascii="Times New Roman" w:hAnsi="Times New Roman"/>
          <w:sz w:val="24"/>
        </w:rPr>
        <w:t xml:space="preserve">« going-concern » </w:t>
      </w:r>
      <w:r w:rsidR="008064D7">
        <w:rPr>
          <w:rFonts w:ascii="Times New Roman" w:hAnsi="Times New Roman"/>
          <w:sz w:val="24"/>
        </w:rPr>
        <w:t>et comment réaliser concrètement ce calcul de valeur avec quelle conséquence sur</w:t>
      </w:r>
      <w:r w:rsidR="005365AD">
        <w:rPr>
          <w:rFonts w:ascii="Times New Roman" w:hAnsi="Times New Roman"/>
          <w:sz w:val="24"/>
        </w:rPr>
        <w:t xml:space="preserve"> le droit de l’insolvabilité.</w:t>
      </w:r>
    </w:p>
    <w:p w:rsidR="008064D7" w:rsidRPr="006E7D8D" w:rsidRDefault="008064D7" w:rsidP="006E7D8D">
      <w:pPr>
        <w:spacing w:line="240" w:lineRule="auto"/>
        <w:rPr>
          <w:rFonts w:ascii="Times New Roman" w:hAnsi="Times New Roman"/>
          <w:sz w:val="24"/>
        </w:rPr>
      </w:pPr>
    </w:p>
    <w:p w:rsidR="008064D7" w:rsidRDefault="008064D7" w:rsidP="007565AA">
      <w:pPr>
        <w:pStyle w:val="Paragraphedeliste"/>
        <w:numPr>
          <w:ilvl w:val="0"/>
          <w:numId w:val="2"/>
        </w:numPr>
        <w:spacing w:line="240" w:lineRule="auto"/>
        <w:ind w:left="782" w:hanging="357"/>
        <w:rPr>
          <w:rFonts w:ascii="Times New Roman" w:hAnsi="Times New Roman"/>
          <w:sz w:val="24"/>
        </w:rPr>
      </w:pPr>
      <w:r>
        <w:rPr>
          <w:rFonts w:ascii="Times New Roman" w:hAnsi="Times New Roman"/>
          <w:sz w:val="24"/>
          <w:u w:val="single"/>
        </w:rPr>
        <w:t xml:space="preserve">La notion d’évaluation </w:t>
      </w:r>
      <w:r w:rsidRPr="007C17D3">
        <w:rPr>
          <w:rFonts w:ascii="Times New Roman" w:hAnsi="Times New Roman"/>
          <w:i/>
          <w:sz w:val="24"/>
          <w:u w:val="single"/>
        </w:rPr>
        <w:t>going-concern</w:t>
      </w:r>
      <w:r>
        <w:rPr>
          <w:rFonts w:ascii="Times New Roman" w:hAnsi="Times New Roman"/>
          <w:sz w:val="24"/>
          <w:u w:val="single"/>
        </w:rPr>
        <w:t xml:space="preserve"> (</w:t>
      </w:r>
      <w:r w:rsidR="001D5BD6">
        <w:rPr>
          <w:rFonts w:ascii="Times New Roman" w:hAnsi="Times New Roman"/>
          <w:sz w:val="24"/>
          <w:u w:val="single"/>
        </w:rPr>
        <w:t>littéralement</w:t>
      </w:r>
      <w:r>
        <w:rPr>
          <w:rFonts w:ascii="Times New Roman" w:hAnsi="Times New Roman"/>
          <w:sz w:val="24"/>
          <w:u w:val="single"/>
        </w:rPr>
        <w:t xml:space="preserve"> d’entreprise en activité)</w:t>
      </w:r>
      <w:r w:rsidR="001D5BD6">
        <w:rPr>
          <w:rFonts w:ascii="Times New Roman" w:hAnsi="Times New Roman"/>
          <w:sz w:val="24"/>
          <w:u w:val="single"/>
        </w:rPr>
        <w:t>.</w:t>
      </w:r>
      <w:r>
        <w:rPr>
          <w:rFonts w:ascii="Times New Roman" w:hAnsi="Times New Roman"/>
          <w:sz w:val="24"/>
        </w:rPr>
        <w:t xml:space="preserve"> « </w:t>
      </w:r>
      <w:r>
        <w:rPr>
          <w:rFonts w:ascii="Times New Roman" w:hAnsi="Times New Roman"/>
          <w:i/>
          <w:sz w:val="24"/>
        </w:rPr>
        <w:t>la valeur est un mot qui a de nombreux sens »</w:t>
      </w:r>
      <w:r>
        <w:rPr>
          <w:rStyle w:val="Appelnotedebasdep"/>
          <w:rFonts w:ascii="Times New Roman" w:hAnsi="Times New Roman"/>
          <w:i/>
          <w:sz w:val="24"/>
        </w:rPr>
        <w:footnoteReference w:id="55"/>
      </w:r>
      <w:r>
        <w:rPr>
          <w:rFonts w:ascii="Times New Roman" w:hAnsi="Times New Roman"/>
          <w:sz w:val="24"/>
        </w:rPr>
        <w:t xml:space="preserve">. </w:t>
      </w:r>
    </w:p>
    <w:p w:rsidR="008064D7" w:rsidRDefault="008064D7" w:rsidP="009129E6">
      <w:pPr>
        <w:pStyle w:val="Paragraphedeliste"/>
        <w:spacing w:line="240" w:lineRule="auto"/>
        <w:ind w:left="782"/>
        <w:rPr>
          <w:rFonts w:ascii="Times New Roman" w:hAnsi="Times New Roman"/>
          <w:sz w:val="24"/>
          <w:u w:val="single"/>
        </w:rPr>
      </w:pPr>
    </w:p>
    <w:p w:rsidR="001D5BD6" w:rsidRDefault="001D5BD6" w:rsidP="009129E6">
      <w:pPr>
        <w:pStyle w:val="Paragraphedeliste"/>
        <w:spacing w:line="240" w:lineRule="auto"/>
        <w:ind w:left="782"/>
        <w:rPr>
          <w:rFonts w:ascii="Times New Roman" w:hAnsi="Times New Roman"/>
          <w:sz w:val="24"/>
        </w:rPr>
      </w:pPr>
      <w:r>
        <w:rPr>
          <w:rFonts w:ascii="Times New Roman" w:hAnsi="Times New Roman"/>
          <w:sz w:val="24"/>
        </w:rPr>
        <w:t>Cette valeur « </w:t>
      </w:r>
      <w:r>
        <w:rPr>
          <w:rFonts w:ascii="Times New Roman" w:hAnsi="Times New Roman"/>
          <w:i/>
          <w:sz w:val="24"/>
        </w:rPr>
        <w:t xml:space="preserve">going-concern » </w:t>
      </w:r>
      <w:r>
        <w:rPr>
          <w:rFonts w:ascii="Times New Roman" w:hAnsi="Times New Roman"/>
          <w:sz w:val="24"/>
        </w:rPr>
        <w:t>peut inclure</w:t>
      </w:r>
      <w:r w:rsidR="008064D7">
        <w:rPr>
          <w:rFonts w:ascii="Times New Roman" w:hAnsi="Times New Roman"/>
          <w:sz w:val="24"/>
        </w:rPr>
        <w:t xml:space="preserve"> la valeur de marché, la valeur pour le propriétaire vendeur, la validité d’utilité pour l’acheteur, la valeur de remplacement, le prix juste (</w:t>
      </w:r>
      <w:r w:rsidR="008064D7" w:rsidRPr="007C17D3">
        <w:rPr>
          <w:rFonts w:ascii="Times New Roman" w:hAnsi="Times New Roman"/>
          <w:i/>
          <w:sz w:val="24"/>
        </w:rPr>
        <w:t>Fair</w:t>
      </w:r>
      <w:r w:rsidR="008064D7">
        <w:rPr>
          <w:rFonts w:ascii="Times New Roman" w:hAnsi="Times New Roman"/>
          <w:sz w:val="24"/>
        </w:rPr>
        <w:t xml:space="preserve">), la valeur intrinsèque, la valeur normale, la valeur justifiée, la valeur immédiate, la valeur potentielle à moyen terme, la valeur de vente dans un autre contexte, … </w:t>
      </w:r>
    </w:p>
    <w:p w:rsidR="001D5BD6" w:rsidRDefault="001D5BD6" w:rsidP="009129E6">
      <w:pPr>
        <w:pStyle w:val="Paragraphedeliste"/>
        <w:spacing w:line="240" w:lineRule="auto"/>
        <w:ind w:left="782"/>
        <w:rPr>
          <w:rFonts w:ascii="Times New Roman" w:hAnsi="Times New Roman"/>
          <w:sz w:val="24"/>
        </w:rPr>
      </w:pPr>
    </w:p>
    <w:p w:rsidR="008064D7" w:rsidRDefault="008064D7" w:rsidP="009129E6">
      <w:pPr>
        <w:pStyle w:val="Paragraphedeliste"/>
        <w:spacing w:line="240" w:lineRule="auto"/>
        <w:ind w:left="782"/>
        <w:rPr>
          <w:rFonts w:ascii="Times New Roman" w:hAnsi="Times New Roman"/>
          <w:sz w:val="24"/>
        </w:rPr>
      </w:pPr>
      <w:r>
        <w:rPr>
          <w:rFonts w:ascii="Times New Roman" w:hAnsi="Times New Roman"/>
          <w:sz w:val="24"/>
        </w:rPr>
        <w:t xml:space="preserve">C’est en raison </w:t>
      </w:r>
      <w:r w:rsidR="001D5BD6">
        <w:rPr>
          <w:rFonts w:ascii="Times New Roman" w:hAnsi="Times New Roman"/>
          <w:sz w:val="24"/>
        </w:rPr>
        <w:t>justement de la multiplication des notions</w:t>
      </w:r>
      <w:r>
        <w:rPr>
          <w:rFonts w:ascii="Times New Roman" w:hAnsi="Times New Roman"/>
          <w:sz w:val="24"/>
        </w:rPr>
        <w:t xml:space="preserve"> que le Code de la faillite </w:t>
      </w:r>
      <w:r w:rsidR="001D5BD6">
        <w:rPr>
          <w:rFonts w:ascii="Times New Roman" w:hAnsi="Times New Roman"/>
          <w:sz w:val="24"/>
        </w:rPr>
        <w:t xml:space="preserve">américain </w:t>
      </w:r>
      <w:r>
        <w:rPr>
          <w:rFonts w:ascii="Times New Roman" w:hAnsi="Times New Roman"/>
          <w:sz w:val="24"/>
        </w:rPr>
        <w:t xml:space="preserve">n’a pas été défini de manière stricte, la notion renvoyant à une appréciation </w:t>
      </w:r>
      <w:r>
        <w:rPr>
          <w:rFonts w:ascii="Times New Roman" w:hAnsi="Times New Roman"/>
          <w:sz w:val="24"/>
        </w:rPr>
        <w:lastRenderedPageBreak/>
        <w:t>au cas par cas</w:t>
      </w:r>
      <w:r w:rsidR="00A50B46">
        <w:rPr>
          <w:rFonts w:ascii="Times New Roman" w:hAnsi="Times New Roman"/>
          <w:sz w:val="24"/>
        </w:rPr>
        <w:t xml:space="preserve"> du juge</w:t>
      </w:r>
      <w:r>
        <w:rPr>
          <w:rStyle w:val="Appelnotedebasdep"/>
          <w:rFonts w:ascii="Times New Roman" w:hAnsi="Times New Roman"/>
          <w:sz w:val="24"/>
        </w:rPr>
        <w:footnoteReference w:id="56"/>
      </w:r>
      <w:r>
        <w:rPr>
          <w:rFonts w:ascii="Times New Roman" w:hAnsi="Times New Roman"/>
          <w:sz w:val="24"/>
        </w:rPr>
        <w:t xml:space="preserve">, y compris pour un même bien pour l’application de dispositions différentes de la loi – </w:t>
      </w:r>
      <w:r w:rsidRPr="007C17D3">
        <w:rPr>
          <w:rFonts w:ascii="Times New Roman" w:hAnsi="Times New Roman"/>
          <w:i/>
          <w:sz w:val="24"/>
        </w:rPr>
        <w:t>Fair</w:t>
      </w:r>
      <w:r>
        <w:rPr>
          <w:rFonts w:ascii="Times New Roman" w:hAnsi="Times New Roman"/>
          <w:sz w:val="24"/>
        </w:rPr>
        <w:t xml:space="preserve"> </w:t>
      </w:r>
      <w:r w:rsidRPr="007C17D3">
        <w:rPr>
          <w:rFonts w:ascii="Times New Roman" w:hAnsi="Times New Roman"/>
          <w:i/>
          <w:sz w:val="24"/>
        </w:rPr>
        <w:t>market</w:t>
      </w:r>
      <w:r>
        <w:rPr>
          <w:rFonts w:ascii="Times New Roman" w:hAnsi="Times New Roman"/>
          <w:sz w:val="24"/>
        </w:rPr>
        <w:t xml:space="preserve"> </w:t>
      </w:r>
      <w:r w:rsidRPr="007C17D3">
        <w:rPr>
          <w:rFonts w:ascii="Times New Roman" w:hAnsi="Times New Roman"/>
          <w:i/>
          <w:sz w:val="24"/>
        </w:rPr>
        <w:t>value</w:t>
      </w:r>
      <w:r>
        <w:rPr>
          <w:rFonts w:ascii="Times New Roman" w:hAnsi="Times New Roman"/>
          <w:sz w:val="24"/>
        </w:rPr>
        <w:t xml:space="preserve"> pour ouvrir la procédure</w:t>
      </w:r>
      <w:r>
        <w:rPr>
          <w:rStyle w:val="Appelnotedebasdep"/>
          <w:rFonts w:ascii="Times New Roman" w:hAnsi="Times New Roman"/>
          <w:sz w:val="24"/>
        </w:rPr>
        <w:footnoteReference w:id="57"/>
      </w:r>
      <w:r>
        <w:rPr>
          <w:rFonts w:ascii="Times New Roman" w:hAnsi="Times New Roman"/>
          <w:sz w:val="24"/>
        </w:rPr>
        <w:t>, valeur incidente pour la protection adéquate</w:t>
      </w:r>
      <w:r>
        <w:rPr>
          <w:rStyle w:val="Appelnotedebasdep"/>
          <w:rFonts w:ascii="Times New Roman" w:hAnsi="Times New Roman"/>
          <w:sz w:val="24"/>
        </w:rPr>
        <w:footnoteReference w:id="58"/>
      </w:r>
      <w:r>
        <w:rPr>
          <w:rFonts w:ascii="Times New Roman" w:hAnsi="Times New Roman"/>
          <w:sz w:val="24"/>
        </w:rPr>
        <w:t xml:space="preserve"> ou pour la valeur </w:t>
      </w:r>
      <w:r w:rsidR="00A50B46">
        <w:rPr>
          <w:rFonts w:ascii="Times New Roman" w:hAnsi="Times New Roman"/>
          <w:sz w:val="24"/>
        </w:rPr>
        <w:t>Fair</w:t>
      </w:r>
      <w:r>
        <w:rPr>
          <w:rFonts w:ascii="Times New Roman" w:hAnsi="Times New Roman"/>
          <w:sz w:val="24"/>
        </w:rPr>
        <w:t xml:space="preserve"> du créancier sécurisé</w:t>
      </w:r>
      <w:r>
        <w:rPr>
          <w:rStyle w:val="Appelnotedebasdep"/>
          <w:rFonts w:ascii="Times New Roman" w:hAnsi="Times New Roman"/>
          <w:sz w:val="24"/>
        </w:rPr>
        <w:footnoteReference w:id="59"/>
      </w:r>
      <w:r>
        <w:rPr>
          <w:rFonts w:ascii="Times New Roman" w:hAnsi="Times New Roman"/>
          <w:sz w:val="24"/>
        </w:rPr>
        <w:t>, la valeur équivalente pour la confirmation du plan</w:t>
      </w:r>
      <w:r>
        <w:rPr>
          <w:rStyle w:val="Appelnotedebasdep"/>
          <w:rFonts w:ascii="Times New Roman" w:hAnsi="Times New Roman"/>
          <w:sz w:val="24"/>
        </w:rPr>
        <w:footnoteReference w:id="60"/>
      </w:r>
      <w:r>
        <w:rPr>
          <w:rFonts w:ascii="Times New Roman" w:hAnsi="Times New Roman"/>
          <w:sz w:val="24"/>
        </w:rPr>
        <w:t xml:space="preserve"> et la valeur liquidative </w:t>
      </w:r>
      <w:r>
        <w:rPr>
          <w:rStyle w:val="Appelnotedebasdep"/>
          <w:rFonts w:ascii="Times New Roman" w:hAnsi="Times New Roman"/>
          <w:sz w:val="24"/>
        </w:rPr>
        <w:footnoteReference w:id="61"/>
      </w:r>
      <w:r>
        <w:rPr>
          <w:rFonts w:ascii="Times New Roman" w:hAnsi="Times New Roman"/>
          <w:sz w:val="24"/>
        </w:rPr>
        <w:t xml:space="preserve"> pour la règle du </w:t>
      </w:r>
      <w:r w:rsidRPr="007C17D3">
        <w:rPr>
          <w:rFonts w:ascii="Times New Roman" w:hAnsi="Times New Roman"/>
          <w:i/>
          <w:sz w:val="24"/>
        </w:rPr>
        <w:t>Best interest</w:t>
      </w:r>
      <w:r>
        <w:rPr>
          <w:rFonts w:ascii="Times New Roman" w:hAnsi="Times New Roman"/>
          <w:sz w:val="24"/>
        </w:rPr>
        <w:t>.</w:t>
      </w:r>
    </w:p>
    <w:p w:rsidR="008064D7" w:rsidRDefault="008064D7" w:rsidP="00E62CB0">
      <w:pPr>
        <w:pStyle w:val="Paragraphedeliste"/>
        <w:spacing w:line="240" w:lineRule="auto"/>
        <w:ind w:left="782"/>
        <w:rPr>
          <w:rFonts w:ascii="Times New Roman" w:hAnsi="Times New Roman"/>
          <w:sz w:val="24"/>
          <w:u w:val="single"/>
        </w:rPr>
      </w:pPr>
    </w:p>
    <w:p w:rsidR="008064D7" w:rsidRDefault="008064D7" w:rsidP="00E62CB0">
      <w:pPr>
        <w:pStyle w:val="Paragraphedeliste"/>
        <w:spacing w:line="240" w:lineRule="auto"/>
        <w:ind w:left="782"/>
        <w:rPr>
          <w:rFonts w:ascii="Times New Roman" w:hAnsi="Times New Roman"/>
          <w:sz w:val="24"/>
        </w:rPr>
      </w:pPr>
      <w:r w:rsidRPr="00A50B46">
        <w:rPr>
          <w:rFonts w:ascii="Times New Roman" w:hAnsi="Times New Roman"/>
          <w:sz w:val="24"/>
        </w:rPr>
        <w:t xml:space="preserve">La </w:t>
      </w:r>
      <w:r w:rsidRPr="00A50B46">
        <w:rPr>
          <w:rFonts w:ascii="Times New Roman" w:hAnsi="Times New Roman"/>
          <w:i/>
          <w:sz w:val="24"/>
        </w:rPr>
        <w:t>Fair</w:t>
      </w:r>
      <w:r w:rsidRPr="00A50B46">
        <w:rPr>
          <w:rFonts w:ascii="Times New Roman" w:hAnsi="Times New Roman"/>
          <w:sz w:val="24"/>
        </w:rPr>
        <w:t xml:space="preserve"> </w:t>
      </w:r>
      <w:r w:rsidRPr="00A50B46">
        <w:rPr>
          <w:rFonts w:ascii="Times New Roman" w:hAnsi="Times New Roman"/>
          <w:i/>
          <w:sz w:val="24"/>
        </w:rPr>
        <w:t>value</w:t>
      </w:r>
      <w:r w:rsidRPr="00A50B46">
        <w:rPr>
          <w:rFonts w:ascii="Times New Roman" w:hAnsi="Times New Roman"/>
          <w:sz w:val="24"/>
        </w:rPr>
        <w:t xml:space="preserve"> </w:t>
      </w:r>
      <w:r w:rsidR="00A50B46">
        <w:rPr>
          <w:rFonts w:ascii="Times New Roman" w:hAnsi="Times New Roman"/>
          <w:sz w:val="24"/>
        </w:rPr>
        <w:t xml:space="preserve">est une notion centrale mais dont l’énoncé ne suffit pas à fixer un chiffre. Elle </w:t>
      </w:r>
      <w:r w:rsidRPr="00A50B46">
        <w:rPr>
          <w:rFonts w:ascii="Times New Roman" w:hAnsi="Times New Roman"/>
          <w:sz w:val="24"/>
        </w:rPr>
        <w:t>signifie, dans la jurisprudence</w:t>
      </w:r>
      <w:r w:rsidR="00A50B46">
        <w:rPr>
          <w:rFonts w:ascii="Times New Roman" w:hAnsi="Times New Roman"/>
          <w:sz w:val="24"/>
        </w:rPr>
        <w:t xml:space="preserve"> américaine</w:t>
      </w:r>
      <w:r w:rsidRPr="00A50B46">
        <w:rPr>
          <w:rFonts w:ascii="Times New Roman" w:hAnsi="Times New Roman"/>
          <w:sz w:val="24"/>
        </w:rPr>
        <w:t>, la valeur qui est disponible pour payer la dette dans un délai raisonnable</w:t>
      </w:r>
      <w:r>
        <w:rPr>
          <w:rFonts w:ascii="Times New Roman" w:hAnsi="Times New Roman"/>
          <w:sz w:val="24"/>
        </w:rPr>
        <w:t xml:space="preserve"> en partant de l’idée que des acheteurs et des vendeurs existent et dans une négociation adaptée et normale à ce genre de transaction</w:t>
      </w:r>
      <w:r>
        <w:rPr>
          <w:rStyle w:val="Appelnotedebasdep"/>
          <w:rFonts w:ascii="Times New Roman" w:hAnsi="Times New Roman"/>
          <w:sz w:val="24"/>
        </w:rPr>
        <w:footnoteReference w:id="62"/>
      </w:r>
      <w:r>
        <w:rPr>
          <w:rFonts w:ascii="Times New Roman" w:hAnsi="Times New Roman"/>
          <w:sz w:val="24"/>
        </w:rPr>
        <w:t xml:space="preserve">. </w:t>
      </w:r>
    </w:p>
    <w:p w:rsidR="008064D7" w:rsidRDefault="008064D7" w:rsidP="00E62CB0">
      <w:pPr>
        <w:pStyle w:val="Paragraphedeliste"/>
        <w:spacing w:line="240" w:lineRule="auto"/>
        <w:ind w:left="782"/>
        <w:rPr>
          <w:rFonts w:ascii="Times New Roman" w:hAnsi="Times New Roman"/>
          <w:sz w:val="24"/>
        </w:rPr>
      </w:pPr>
    </w:p>
    <w:p w:rsidR="00A50B46" w:rsidRDefault="008064D7" w:rsidP="00E62CB0">
      <w:pPr>
        <w:pStyle w:val="Paragraphedeliste"/>
        <w:spacing w:line="240" w:lineRule="auto"/>
        <w:ind w:left="782"/>
        <w:rPr>
          <w:rFonts w:ascii="Times New Roman" w:hAnsi="Times New Roman"/>
          <w:sz w:val="24"/>
        </w:rPr>
      </w:pPr>
      <w:r>
        <w:rPr>
          <w:rFonts w:ascii="Times New Roman" w:hAnsi="Times New Roman"/>
          <w:sz w:val="24"/>
        </w:rPr>
        <w:t>Le Cod</w:t>
      </w:r>
      <w:r w:rsidR="00A50B46">
        <w:rPr>
          <w:rFonts w:ascii="Times New Roman" w:hAnsi="Times New Roman"/>
          <w:sz w:val="24"/>
        </w:rPr>
        <w:t>e de la faillite américain</w:t>
      </w:r>
      <w:r>
        <w:rPr>
          <w:rFonts w:ascii="Times New Roman" w:hAnsi="Times New Roman"/>
          <w:sz w:val="24"/>
        </w:rPr>
        <w:t>, en laissant au juge la responsabilité d’appliquer ces principes généraux à chaque cas</w:t>
      </w:r>
      <w:r>
        <w:rPr>
          <w:rStyle w:val="Appelnotedebasdep"/>
          <w:rFonts w:ascii="Times New Roman" w:hAnsi="Times New Roman"/>
          <w:sz w:val="24"/>
        </w:rPr>
        <w:footnoteReference w:id="63"/>
      </w:r>
      <w:r>
        <w:rPr>
          <w:rFonts w:ascii="Times New Roman" w:hAnsi="Times New Roman"/>
          <w:sz w:val="24"/>
        </w:rPr>
        <w:t>, lui donne  « </w:t>
      </w:r>
      <w:r>
        <w:rPr>
          <w:rFonts w:ascii="Times New Roman" w:hAnsi="Times New Roman"/>
          <w:i/>
          <w:sz w:val="24"/>
        </w:rPr>
        <w:t>carte blanche »</w:t>
      </w:r>
      <w:r>
        <w:rPr>
          <w:rFonts w:ascii="Times New Roman" w:hAnsi="Times New Roman"/>
          <w:sz w:val="24"/>
        </w:rPr>
        <w:t xml:space="preserve">, ce qui a poussé les juges </w:t>
      </w:r>
      <w:r w:rsidR="00A50B46">
        <w:rPr>
          <w:rFonts w:ascii="Times New Roman" w:hAnsi="Times New Roman"/>
          <w:sz w:val="24"/>
        </w:rPr>
        <w:t>à</w:t>
      </w:r>
      <w:r>
        <w:rPr>
          <w:rFonts w:ascii="Times New Roman" w:hAnsi="Times New Roman"/>
          <w:sz w:val="24"/>
        </w:rPr>
        <w:t xml:space="preserve"> construire une théorie de la valeur. </w:t>
      </w:r>
    </w:p>
    <w:p w:rsidR="00A50B46" w:rsidRDefault="00A50B46" w:rsidP="00E62CB0">
      <w:pPr>
        <w:pStyle w:val="Paragraphedeliste"/>
        <w:spacing w:line="240" w:lineRule="auto"/>
        <w:ind w:left="782"/>
        <w:rPr>
          <w:rFonts w:ascii="Times New Roman" w:hAnsi="Times New Roman"/>
          <w:sz w:val="24"/>
        </w:rPr>
      </w:pPr>
    </w:p>
    <w:p w:rsidR="008064D7" w:rsidRDefault="008064D7" w:rsidP="00E62CB0">
      <w:pPr>
        <w:pStyle w:val="Paragraphedeliste"/>
        <w:spacing w:line="240" w:lineRule="auto"/>
        <w:ind w:left="782"/>
        <w:rPr>
          <w:rFonts w:ascii="Times New Roman" w:hAnsi="Times New Roman"/>
          <w:sz w:val="24"/>
        </w:rPr>
      </w:pPr>
      <w:r>
        <w:rPr>
          <w:rFonts w:ascii="Times New Roman" w:hAnsi="Times New Roman"/>
          <w:sz w:val="24"/>
        </w:rPr>
        <w:t>Ces principes généraux résultent de</w:t>
      </w:r>
      <w:r w:rsidR="00A50B46">
        <w:rPr>
          <w:rFonts w:ascii="Times New Roman" w:hAnsi="Times New Roman"/>
          <w:sz w:val="24"/>
        </w:rPr>
        <w:t>s</w:t>
      </w:r>
      <w:r>
        <w:rPr>
          <w:rFonts w:ascii="Times New Roman" w:hAnsi="Times New Roman"/>
          <w:sz w:val="24"/>
        </w:rPr>
        <w:t xml:space="preserve"> décisions cadres </w:t>
      </w:r>
      <w:r w:rsidR="00A50B46">
        <w:rPr>
          <w:rFonts w:ascii="Times New Roman" w:hAnsi="Times New Roman"/>
          <w:sz w:val="24"/>
        </w:rPr>
        <w:t>(nous</w:t>
      </w:r>
      <w:r>
        <w:rPr>
          <w:rFonts w:ascii="Times New Roman" w:hAnsi="Times New Roman"/>
          <w:sz w:val="24"/>
        </w:rPr>
        <w:t xml:space="preserve"> n’en citons que quelques-unes) précisant des principes directeurs tels que :</w:t>
      </w:r>
    </w:p>
    <w:p w:rsidR="008064D7" w:rsidRDefault="008064D7" w:rsidP="00E62CB0">
      <w:pPr>
        <w:pStyle w:val="Paragraphedeliste"/>
        <w:spacing w:line="240" w:lineRule="auto"/>
        <w:ind w:left="782"/>
        <w:rPr>
          <w:rFonts w:ascii="Times New Roman" w:hAnsi="Times New Roman"/>
          <w:sz w:val="24"/>
        </w:rPr>
      </w:pPr>
    </w:p>
    <w:p w:rsidR="008064D7" w:rsidRDefault="008064D7" w:rsidP="007565AA">
      <w:pPr>
        <w:pStyle w:val="Paragraphedeliste"/>
        <w:numPr>
          <w:ilvl w:val="0"/>
          <w:numId w:val="8"/>
        </w:numPr>
        <w:spacing w:line="240" w:lineRule="auto"/>
        <w:rPr>
          <w:rFonts w:ascii="Times New Roman" w:hAnsi="Times New Roman"/>
          <w:sz w:val="24"/>
        </w:rPr>
      </w:pPr>
      <w:r>
        <w:rPr>
          <w:rFonts w:ascii="Times New Roman" w:hAnsi="Times New Roman"/>
          <w:sz w:val="24"/>
        </w:rPr>
        <w:t>La valeur ne pas être inférieure à la valeur actuelle</w:t>
      </w:r>
      <w:r>
        <w:rPr>
          <w:rStyle w:val="Appelnotedebasdep"/>
          <w:rFonts w:ascii="Times New Roman" w:hAnsi="Times New Roman"/>
          <w:sz w:val="24"/>
        </w:rPr>
        <w:footnoteReference w:id="64"/>
      </w:r>
      <w:r>
        <w:rPr>
          <w:rFonts w:ascii="Times New Roman" w:hAnsi="Times New Roman"/>
          <w:sz w:val="24"/>
        </w:rPr>
        <w:t xml:space="preserve"> notamment établie par la réévaluation de la valeur originaire ;</w:t>
      </w:r>
    </w:p>
    <w:p w:rsidR="008064D7" w:rsidRDefault="008064D7" w:rsidP="009129E6">
      <w:pPr>
        <w:pStyle w:val="Paragraphedeliste"/>
        <w:spacing w:line="240" w:lineRule="auto"/>
        <w:ind w:left="1146"/>
        <w:rPr>
          <w:rFonts w:ascii="Times New Roman" w:hAnsi="Times New Roman"/>
          <w:sz w:val="24"/>
        </w:rPr>
      </w:pPr>
    </w:p>
    <w:p w:rsidR="008064D7" w:rsidRDefault="008064D7" w:rsidP="007565AA">
      <w:pPr>
        <w:pStyle w:val="Paragraphedeliste"/>
        <w:numPr>
          <w:ilvl w:val="0"/>
          <w:numId w:val="8"/>
        </w:numPr>
        <w:spacing w:line="240" w:lineRule="auto"/>
        <w:rPr>
          <w:rFonts w:ascii="Times New Roman" w:hAnsi="Times New Roman"/>
          <w:sz w:val="24"/>
        </w:rPr>
      </w:pPr>
      <w:r>
        <w:rPr>
          <w:rFonts w:ascii="Times New Roman" w:hAnsi="Times New Roman"/>
          <w:sz w:val="24"/>
        </w:rPr>
        <w:t>La valeur doit assurer une équitable protection tant aux créanciers sécurisés que non-sécurisés</w:t>
      </w:r>
      <w:r>
        <w:rPr>
          <w:rStyle w:val="Appelnotedebasdep"/>
          <w:rFonts w:ascii="Times New Roman" w:hAnsi="Times New Roman"/>
          <w:sz w:val="24"/>
        </w:rPr>
        <w:footnoteReference w:id="65"/>
      </w:r>
      <w:r>
        <w:rPr>
          <w:rFonts w:ascii="Times New Roman" w:hAnsi="Times New Roman"/>
          <w:sz w:val="24"/>
        </w:rPr>
        <w:t> ;</w:t>
      </w:r>
    </w:p>
    <w:p w:rsidR="008064D7" w:rsidRDefault="008064D7" w:rsidP="0041751A">
      <w:pPr>
        <w:pStyle w:val="Paragraphedeliste"/>
        <w:spacing w:line="240" w:lineRule="auto"/>
        <w:ind w:left="2226"/>
        <w:rPr>
          <w:rFonts w:ascii="Times New Roman" w:hAnsi="Times New Roman"/>
          <w:sz w:val="24"/>
        </w:rPr>
      </w:pPr>
    </w:p>
    <w:p w:rsidR="008064D7" w:rsidRDefault="008064D7" w:rsidP="007565AA">
      <w:pPr>
        <w:pStyle w:val="Paragraphedeliste"/>
        <w:numPr>
          <w:ilvl w:val="0"/>
          <w:numId w:val="8"/>
        </w:numPr>
        <w:spacing w:line="240" w:lineRule="auto"/>
        <w:rPr>
          <w:rFonts w:ascii="Times New Roman" w:hAnsi="Times New Roman"/>
          <w:sz w:val="24"/>
        </w:rPr>
      </w:pPr>
      <w:r w:rsidRPr="0041751A">
        <w:rPr>
          <w:rFonts w:ascii="Times New Roman" w:hAnsi="Times New Roman"/>
          <w:sz w:val="24"/>
        </w:rPr>
        <w:t xml:space="preserve">Le paiement qui n’est pas complet </w:t>
      </w:r>
      <w:r>
        <w:rPr>
          <w:rFonts w:ascii="Times New Roman" w:hAnsi="Times New Roman"/>
          <w:sz w:val="24"/>
        </w:rPr>
        <w:t>en raison d’</w:t>
      </w:r>
      <w:r w:rsidRPr="0041751A">
        <w:rPr>
          <w:rFonts w:ascii="Times New Roman" w:hAnsi="Times New Roman"/>
          <w:sz w:val="24"/>
        </w:rPr>
        <w:t xml:space="preserve"> une dépréciation économique</w:t>
      </w:r>
      <w:r>
        <w:rPr>
          <w:rStyle w:val="Appelnotedebasdep"/>
          <w:rFonts w:ascii="Times New Roman" w:hAnsi="Times New Roman"/>
          <w:sz w:val="24"/>
        </w:rPr>
        <w:footnoteReference w:id="66"/>
      </w:r>
      <w:r w:rsidRPr="0041751A">
        <w:rPr>
          <w:rFonts w:ascii="Times New Roman" w:hAnsi="Times New Roman"/>
          <w:sz w:val="24"/>
        </w:rPr>
        <w:t xml:space="preserve"> </w:t>
      </w:r>
      <w:r>
        <w:rPr>
          <w:rFonts w:ascii="Times New Roman" w:hAnsi="Times New Roman"/>
          <w:sz w:val="24"/>
        </w:rPr>
        <w:t xml:space="preserve">de l’actif </w:t>
      </w:r>
      <w:r w:rsidR="00A50B46">
        <w:rPr>
          <w:rFonts w:ascii="Times New Roman" w:hAnsi="Times New Roman"/>
          <w:sz w:val="24"/>
        </w:rPr>
        <w:t xml:space="preserve">qui </w:t>
      </w:r>
      <w:r>
        <w:rPr>
          <w:rFonts w:ascii="Times New Roman" w:hAnsi="Times New Roman"/>
          <w:sz w:val="24"/>
        </w:rPr>
        <w:t xml:space="preserve">ne peut être admis que </w:t>
      </w:r>
      <w:r w:rsidRPr="0041751A">
        <w:rPr>
          <w:rFonts w:ascii="Times New Roman" w:hAnsi="Times New Roman"/>
          <w:sz w:val="24"/>
        </w:rPr>
        <w:t xml:space="preserve">si elle résulte d’une </w:t>
      </w:r>
      <w:r>
        <w:rPr>
          <w:rFonts w:ascii="Times New Roman" w:hAnsi="Times New Roman"/>
          <w:sz w:val="24"/>
        </w:rPr>
        <w:t>« </w:t>
      </w:r>
      <w:r w:rsidRPr="00A50B46">
        <w:rPr>
          <w:rFonts w:ascii="Times New Roman" w:hAnsi="Times New Roman"/>
          <w:i/>
          <w:sz w:val="24"/>
        </w:rPr>
        <w:t>évidence indubitable</w:t>
      </w:r>
      <w:r>
        <w:rPr>
          <w:rFonts w:ascii="Times New Roman" w:hAnsi="Times New Roman"/>
          <w:sz w:val="24"/>
        </w:rPr>
        <w:t> »</w:t>
      </w:r>
      <w:r w:rsidR="00A50B46">
        <w:rPr>
          <w:rFonts w:ascii="Times New Roman" w:hAnsi="Times New Roman"/>
          <w:sz w:val="24"/>
        </w:rPr>
        <w:t> ;</w:t>
      </w:r>
      <w:r w:rsidRPr="0041751A">
        <w:rPr>
          <w:rFonts w:ascii="Times New Roman" w:hAnsi="Times New Roman"/>
          <w:sz w:val="24"/>
        </w:rPr>
        <w:t xml:space="preserve"> </w:t>
      </w:r>
    </w:p>
    <w:p w:rsidR="008064D7" w:rsidRPr="009129E6" w:rsidRDefault="008064D7" w:rsidP="009129E6">
      <w:pPr>
        <w:pStyle w:val="Paragraphedeliste"/>
        <w:rPr>
          <w:rFonts w:ascii="Times New Roman" w:hAnsi="Times New Roman"/>
          <w:sz w:val="24"/>
        </w:rPr>
      </w:pPr>
    </w:p>
    <w:p w:rsidR="008064D7" w:rsidRPr="009129E6" w:rsidRDefault="008064D7" w:rsidP="007565AA">
      <w:pPr>
        <w:pStyle w:val="Paragraphedeliste"/>
        <w:numPr>
          <w:ilvl w:val="0"/>
          <w:numId w:val="8"/>
        </w:numPr>
        <w:spacing w:line="240" w:lineRule="auto"/>
        <w:rPr>
          <w:rFonts w:ascii="Times New Roman" w:hAnsi="Times New Roman"/>
          <w:sz w:val="24"/>
        </w:rPr>
      </w:pPr>
      <w:r w:rsidRPr="009129E6">
        <w:rPr>
          <w:rFonts w:ascii="Times New Roman" w:hAnsi="Times New Roman"/>
          <w:sz w:val="24"/>
        </w:rPr>
        <w:t>La balance entre les intérêts du créancier et du débiteur doit intervenir au cas par cas sur base des faits ;</w:t>
      </w:r>
    </w:p>
    <w:p w:rsidR="008064D7" w:rsidRDefault="008064D7" w:rsidP="004C423B">
      <w:pPr>
        <w:pStyle w:val="Paragraphedeliste"/>
        <w:spacing w:line="240" w:lineRule="auto"/>
        <w:ind w:left="1776"/>
        <w:rPr>
          <w:rFonts w:ascii="Times New Roman" w:hAnsi="Times New Roman"/>
          <w:sz w:val="24"/>
        </w:rPr>
      </w:pPr>
    </w:p>
    <w:p w:rsidR="008064D7" w:rsidRDefault="00A50B46" w:rsidP="007565AA">
      <w:pPr>
        <w:pStyle w:val="Paragraphedeliste"/>
        <w:numPr>
          <w:ilvl w:val="0"/>
          <w:numId w:val="8"/>
        </w:numPr>
        <w:spacing w:line="240" w:lineRule="auto"/>
        <w:rPr>
          <w:rFonts w:ascii="Times New Roman" w:hAnsi="Times New Roman"/>
          <w:sz w:val="24"/>
        </w:rPr>
      </w:pPr>
      <w:r>
        <w:rPr>
          <w:rFonts w:ascii="Times New Roman" w:hAnsi="Times New Roman"/>
          <w:sz w:val="24"/>
        </w:rPr>
        <w:t>L</w:t>
      </w:r>
      <w:r w:rsidR="008064D7">
        <w:rPr>
          <w:rFonts w:ascii="Times New Roman" w:hAnsi="Times New Roman"/>
          <w:sz w:val="24"/>
        </w:rPr>
        <w:t>e calcul de la valeur doit prendre en compte la capacité future du bénéfice</w:t>
      </w:r>
      <w:r w:rsidR="008064D7">
        <w:rPr>
          <w:rStyle w:val="Appelnotedebasdep"/>
          <w:rFonts w:ascii="Times New Roman" w:hAnsi="Times New Roman"/>
          <w:sz w:val="24"/>
        </w:rPr>
        <w:footnoteReference w:id="67"/>
      </w:r>
      <w:r w:rsidR="008064D7">
        <w:rPr>
          <w:rFonts w:ascii="Times New Roman" w:hAnsi="Times New Roman"/>
          <w:sz w:val="24"/>
        </w:rPr>
        <w:t xml:space="preserve">. </w:t>
      </w:r>
    </w:p>
    <w:p w:rsidR="008064D7" w:rsidRPr="009129E6" w:rsidRDefault="008064D7" w:rsidP="009129E6">
      <w:pPr>
        <w:pStyle w:val="Paragraphedeliste"/>
        <w:rPr>
          <w:rFonts w:ascii="Times New Roman" w:hAnsi="Times New Roman"/>
          <w:sz w:val="24"/>
        </w:rPr>
      </w:pPr>
    </w:p>
    <w:p w:rsidR="008064D7" w:rsidRPr="009129E6" w:rsidRDefault="008064D7" w:rsidP="009129E6">
      <w:pPr>
        <w:spacing w:line="240" w:lineRule="auto"/>
        <w:ind w:left="708"/>
        <w:rPr>
          <w:rFonts w:ascii="Times New Roman" w:hAnsi="Times New Roman"/>
          <w:sz w:val="24"/>
        </w:rPr>
      </w:pPr>
      <w:r w:rsidRPr="009129E6">
        <w:rPr>
          <w:rFonts w:ascii="Times New Roman" w:hAnsi="Times New Roman"/>
          <w:sz w:val="24"/>
        </w:rPr>
        <w:t>Le lecteur intéressé lira l’excellent article de K. THOMAS</w:t>
      </w:r>
      <w:r>
        <w:rPr>
          <w:rStyle w:val="Appelnotedebasdep"/>
          <w:rFonts w:ascii="Times New Roman" w:hAnsi="Times New Roman"/>
          <w:sz w:val="24"/>
        </w:rPr>
        <w:footnoteReference w:id="68"/>
      </w:r>
      <w:r w:rsidRPr="009129E6">
        <w:rPr>
          <w:rFonts w:ascii="Times New Roman" w:hAnsi="Times New Roman"/>
          <w:sz w:val="24"/>
        </w:rPr>
        <w:t xml:space="preserve"> qui cite de nombreux autres arrêt dont l’arrêt Timber</w:t>
      </w:r>
      <w:r>
        <w:rPr>
          <w:rStyle w:val="Appelnotedebasdep"/>
          <w:rFonts w:ascii="Times New Roman" w:hAnsi="Times New Roman"/>
          <w:sz w:val="24"/>
        </w:rPr>
        <w:footnoteReference w:id="69"/>
      </w:r>
      <w:r w:rsidR="005365AD">
        <w:rPr>
          <w:rFonts w:ascii="Times New Roman" w:hAnsi="Times New Roman"/>
          <w:sz w:val="24"/>
        </w:rPr>
        <w:t xml:space="preserve"> qui fonde </w:t>
      </w:r>
      <w:r w:rsidRPr="009129E6">
        <w:rPr>
          <w:rFonts w:ascii="Times New Roman" w:hAnsi="Times New Roman"/>
          <w:sz w:val="24"/>
        </w:rPr>
        <w:t>une analyse des juges du fond.</w:t>
      </w:r>
    </w:p>
    <w:p w:rsidR="008064D7" w:rsidRPr="0041751A" w:rsidRDefault="008064D7" w:rsidP="0041751A">
      <w:pPr>
        <w:spacing w:line="240" w:lineRule="auto"/>
        <w:rPr>
          <w:rFonts w:ascii="Times New Roman" w:hAnsi="Times New Roman"/>
          <w:sz w:val="24"/>
        </w:rPr>
      </w:pPr>
    </w:p>
    <w:p w:rsidR="008064D7" w:rsidRPr="006E27EF" w:rsidRDefault="008064D7" w:rsidP="005976B3">
      <w:pPr>
        <w:spacing w:line="240" w:lineRule="auto"/>
        <w:ind w:left="708"/>
        <w:rPr>
          <w:rFonts w:ascii="Times New Roman" w:hAnsi="Times New Roman"/>
          <w:sz w:val="24"/>
        </w:rPr>
      </w:pPr>
      <w:r>
        <w:rPr>
          <w:rFonts w:ascii="Times New Roman" w:hAnsi="Times New Roman"/>
          <w:sz w:val="24"/>
        </w:rPr>
        <w:lastRenderedPageBreak/>
        <w:t xml:space="preserve">Mais comme mentionné, </w:t>
      </w:r>
      <w:r w:rsidRPr="009129E6">
        <w:rPr>
          <w:rFonts w:ascii="Times New Roman" w:hAnsi="Times New Roman"/>
          <w:sz w:val="24"/>
        </w:rPr>
        <w:t xml:space="preserve">la </w:t>
      </w:r>
      <w:r>
        <w:rPr>
          <w:rFonts w:ascii="Times New Roman" w:hAnsi="Times New Roman"/>
          <w:sz w:val="24"/>
        </w:rPr>
        <w:t>« </w:t>
      </w:r>
      <w:r w:rsidRPr="00A50B46">
        <w:rPr>
          <w:rFonts w:ascii="Times New Roman" w:hAnsi="Times New Roman"/>
          <w:i/>
          <w:sz w:val="24"/>
        </w:rPr>
        <w:t>valeur</w:t>
      </w:r>
      <w:r>
        <w:rPr>
          <w:rFonts w:ascii="Times New Roman" w:hAnsi="Times New Roman"/>
          <w:sz w:val="24"/>
        </w:rPr>
        <w:t> »</w:t>
      </w:r>
      <w:r w:rsidRPr="009129E6">
        <w:rPr>
          <w:rFonts w:ascii="Times New Roman" w:hAnsi="Times New Roman"/>
          <w:sz w:val="24"/>
        </w:rPr>
        <w:t xml:space="preserve"> au cœur de différentes règles </w:t>
      </w:r>
      <w:r>
        <w:rPr>
          <w:rFonts w:ascii="Times New Roman" w:hAnsi="Times New Roman"/>
          <w:sz w:val="24"/>
        </w:rPr>
        <w:t xml:space="preserve">de droit dans différentes procédures peut être différente pour le même bien dans chacune de ces procédures.  Citons comme procédures </w:t>
      </w:r>
      <w:r w:rsidR="00A50B46">
        <w:rPr>
          <w:rFonts w:ascii="Times New Roman" w:hAnsi="Times New Roman"/>
          <w:sz w:val="24"/>
        </w:rPr>
        <w:t>(dont</w:t>
      </w:r>
      <w:r>
        <w:rPr>
          <w:rFonts w:ascii="Times New Roman" w:hAnsi="Times New Roman"/>
          <w:sz w:val="24"/>
        </w:rPr>
        <w:t xml:space="preserve"> certaines </w:t>
      </w:r>
      <w:r w:rsidR="00A50B46">
        <w:rPr>
          <w:rFonts w:ascii="Times New Roman" w:hAnsi="Times New Roman"/>
          <w:sz w:val="24"/>
        </w:rPr>
        <w:t>que nous examinerons ci-après) : celle de la s</w:t>
      </w:r>
      <w:r>
        <w:rPr>
          <w:rFonts w:ascii="Times New Roman" w:hAnsi="Times New Roman"/>
          <w:sz w:val="24"/>
        </w:rPr>
        <w:t>ection 101 la définition des droits de propriété intellectuelle et la</w:t>
      </w:r>
      <w:r w:rsidR="005976B3">
        <w:rPr>
          <w:rFonts w:ascii="Times New Roman" w:hAnsi="Times New Roman"/>
          <w:sz w:val="24"/>
        </w:rPr>
        <w:t xml:space="preserve"> définition de l’insolvabilité, de la section 362 le sursis, de la s</w:t>
      </w:r>
      <w:r>
        <w:rPr>
          <w:rFonts w:ascii="Times New Roman" w:hAnsi="Times New Roman"/>
          <w:sz w:val="24"/>
        </w:rPr>
        <w:t>ection 363  la ve</w:t>
      </w:r>
      <w:r w:rsidR="005976B3">
        <w:rPr>
          <w:rFonts w:ascii="Times New Roman" w:hAnsi="Times New Roman"/>
          <w:sz w:val="24"/>
        </w:rPr>
        <w:t>nte des actifs, de la se</w:t>
      </w:r>
      <w:r>
        <w:rPr>
          <w:rFonts w:ascii="Times New Roman" w:hAnsi="Times New Roman"/>
          <w:sz w:val="24"/>
        </w:rPr>
        <w:t>ction 361 la protection contre la diminuti</w:t>
      </w:r>
      <w:r w:rsidR="005976B3">
        <w:rPr>
          <w:rFonts w:ascii="Times New Roman" w:hAnsi="Times New Roman"/>
          <w:sz w:val="24"/>
        </w:rPr>
        <w:t>on de la sûreté des créanciers, de la s</w:t>
      </w:r>
      <w:r>
        <w:rPr>
          <w:rFonts w:ascii="Times New Roman" w:hAnsi="Times New Roman"/>
          <w:sz w:val="24"/>
        </w:rPr>
        <w:t>ection 547 et 548</w:t>
      </w:r>
      <w:r w:rsidRPr="00DD2C17">
        <w:rPr>
          <w:rFonts w:ascii="Times New Roman" w:hAnsi="Times New Roman"/>
          <w:sz w:val="24"/>
        </w:rPr>
        <w:t xml:space="preserve"> </w:t>
      </w:r>
      <w:r>
        <w:rPr>
          <w:rFonts w:ascii="Times New Roman" w:hAnsi="Times New Roman"/>
          <w:sz w:val="24"/>
        </w:rPr>
        <w:t>annulation les transferts frauduleux</w:t>
      </w:r>
      <w:r>
        <w:rPr>
          <w:rStyle w:val="Appelnotedebasdep"/>
          <w:rFonts w:ascii="Times New Roman" w:hAnsi="Times New Roman"/>
          <w:sz w:val="24"/>
        </w:rPr>
        <w:footnoteReference w:id="70"/>
      </w:r>
      <w:r w:rsidR="005976B3">
        <w:rPr>
          <w:rFonts w:ascii="Times New Roman" w:hAnsi="Times New Roman"/>
          <w:sz w:val="24"/>
        </w:rPr>
        <w:t>, de la s</w:t>
      </w:r>
      <w:r>
        <w:rPr>
          <w:rFonts w:ascii="Times New Roman" w:hAnsi="Times New Roman"/>
          <w:sz w:val="24"/>
        </w:rPr>
        <w:t>ection 560 fi</w:t>
      </w:r>
      <w:r w:rsidR="005976B3">
        <w:rPr>
          <w:rFonts w:ascii="Times New Roman" w:hAnsi="Times New Roman"/>
          <w:sz w:val="24"/>
        </w:rPr>
        <w:t>xation de la créance sécurisée, de la s</w:t>
      </w:r>
      <w:r>
        <w:rPr>
          <w:rFonts w:ascii="Times New Roman" w:hAnsi="Times New Roman"/>
          <w:sz w:val="24"/>
        </w:rPr>
        <w:t>ectio</w:t>
      </w:r>
      <w:r w:rsidR="005976B3">
        <w:rPr>
          <w:rFonts w:ascii="Times New Roman" w:hAnsi="Times New Roman"/>
          <w:sz w:val="24"/>
        </w:rPr>
        <w:t>n 1129 la confirmation du plan et de la s</w:t>
      </w:r>
      <w:r>
        <w:rPr>
          <w:rFonts w:ascii="Times New Roman" w:hAnsi="Times New Roman"/>
          <w:sz w:val="24"/>
        </w:rPr>
        <w:t xml:space="preserve">ection 1129  </w:t>
      </w:r>
      <w:r w:rsidRPr="007C17D3">
        <w:rPr>
          <w:rFonts w:ascii="Times New Roman" w:hAnsi="Times New Roman"/>
          <w:i/>
          <w:sz w:val="24"/>
        </w:rPr>
        <w:t>Cram-down</w:t>
      </w:r>
      <w:r>
        <w:rPr>
          <w:rFonts w:ascii="Times New Roman" w:hAnsi="Times New Roman"/>
          <w:sz w:val="24"/>
        </w:rPr>
        <w:t>.</w:t>
      </w:r>
    </w:p>
    <w:p w:rsidR="008064D7" w:rsidRPr="009129E6" w:rsidRDefault="008064D7" w:rsidP="008A347D">
      <w:pPr>
        <w:pStyle w:val="Paragraphedeliste"/>
        <w:spacing w:line="240" w:lineRule="auto"/>
        <w:ind w:left="782"/>
        <w:rPr>
          <w:rFonts w:ascii="Times New Roman" w:hAnsi="Times New Roman"/>
          <w:sz w:val="24"/>
        </w:rPr>
      </w:pPr>
    </w:p>
    <w:p w:rsidR="008064D7" w:rsidRPr="009129E6" w:rsidRDefault="008064D7" w:rsidP="009129E6">
      <w:pPr>
        <w:pStyle w:val="Paragraphedeliste"/>
        <w:spacing w:line="240" w:lineRule="auto"/>
        <w:ind w:left="782"/>
        <w:rPr>
          <w:rFonts w:ascii="Times New Roman" w:hAnsi="Times New Roman"/>
          <w:sz w:val="24"/>
        </w:rPr>
      </w:pPr>
      <w:r w:rsidRPr="009129E6">
        <w:rPr>
          <w:rFonts w:ascii="Times New Roman" w:hAnsi="Times New Roman"/>
          <w:sz w:val="24"/>
        </w:rPr>
        <w:t xml:space="preserve">Pour </w:t>
      </w:r>
      <w:r w:rsidR="005976B3">
        <w:rPr>
          <w:rFonts w:ascii="Times New Roman" w:hAnsi="Times New Roman"/>
          <w:sz w:val="24"/>
        </w:rPr>
        <w:t>illustrer</w:t>
      </w:r>
      <w:r w:rsidRPr="009129E6">
        <w:rPr>
          <w:rFonts w:ascii="Times New Roman" w:hAnsi="Times New Roman"/>
          <w:sz w:val="24"/>
        </w:rPr>
        <w:t xml:space="preserve"> </w:t>
      </w:r>
      <w:r w:rsidR="005976B3">
        <w:rPr>
          <w:rFonts w:ascii="Times New Roman" w:hAnsi="Times New Roman"/>
          <w:sz w:val="24"/>
        </w:rPr>
        <w:t>l’examen de cette notion</w:t>
      </w:r>
      <w:r>
        <w:rPr>
          <w:rFonts w:ascii="Times New Roman" w:hAnsi="Times New Roman"/>
          <w:sz w:val="24"/>
        </w:rPr>
        <w:t xml:space="preserve">, il est </w:t>
      </w:r>
      <w:r w:rsidR="005976B3">
        <w:rPr>
          <w:rFonts w:ascii="Times New Roman" w:hAnsi="Times New Roman"/>
          <w:sz w:val="24"/>
        </w:rPr>
        <w:t>intéressant</w:t>
      </w:r>
      <w:r>
        <w:rPr>
          <w:rFonts w:ascii="Times New Roman" w:hAnsi="Times New Roman"/>
          <w:sz w:val="24"/>
        </w:rPr>
        <w:t xml:space="preserve"> de se référer à un </w:t>
      </w:r>
      <w:r w:rsidR="005976B3">
        <w:rPr>
          <w:rFonts w:ascii="Times New Roman" w:hAnsi="Times New Roman"/>
          <w:sz w:val="24"/>
        </w:rPr>
        <w:t>exemple issu d’un arrêt</w:t>
      </w:r>
      <w:r>
        <w:rPr>
          <w:rFonts w:ascii="Times New Roman" w:hAnsi="Times New Roman"/>
          <w:sz w:val="24"/>
        </w:rPr>
        <w:t xml:space="preserve"> important </w:t>
      </w:r>
      <w:r w:rsidRPr="009129E6">
        <w:rPr>
          <w:rFonts w:ascii="Times New Roman" w:hAnsi="Times New Roman"/>
          <w:sz w:val="24"/>
        </w:rPr>
        <w:t xml:space="preserve"> du 3</w:t>
      </w:r>
      <w:r w:rsidRPr="009129E6">
        <w:rPr>
          <w:rFonts w:ascii="Times New Roman" w:hAnsi="Times New Roman"/>
          <w:sz w:val="24"/>
          <w:vertAlign w:val="superscript"/>
        </w:rPr>
        <w:t>ème</w:t>
      </w:r>
      <w:r w:rsidRPr="009129E6">
        <w:rPr>
          <w:rFonts w:ascii="Times New Roman" w:hAnsi="Times New Roman"/>
          <w:sz w:val="24"/>
        </w:rPr>
        <w:t xml:space="preserve"> Circuit</w:t>
      </w:r>
      <w:r>
        <w:rPr>
          <w:rStyle w:val="Appelnotedebasdep"/>
          <w:rFonts w:ascii="Times New Roman" w:hAnsi="Times New Roman"/>
          <w:sz w:val="24"/>
        </w:rPr>
        <w:footnoteReference w:id="71"/>
      </w:r>
      <w:r w:rsidRPr="009129E6">
        <w:rPr>
          <w:rFonts w:ascii="Times New Roman" w:hAnsi="Times New Roman"/>
          <w:sz w:val="24"/>
        </w:rPr>
        <w:t>.</w:t>
      </w:r>
      <w:r>
        <w:rPr>
          <w:rFonts w:ascii="Times New Roman" w:hAnsi="Times New Roman"/>
          <w:sz w:val="24"/>
        </w:rPr>
        <w:t xml:space="preserve"> Cornerstone était</w:t>
      </w:r>
      <w:r w:rsidRPr="009129E6">
        <w:rPr>
          <w:rFonts w:ascii="Times New Roman" w:hAnsi="Times New Roman"/>
          <w:sz w:val="24"/>
        </w:rPr>
        <w:t xml:space="preserve"> un créancier gagiste junior impliqué dans un </w:t>
      </w:r>
      <w:r w:rsidRPr="007C17D3">
        <w:rPr>
          <w:rFonts w:ascii="Times New Roman" w:hAnsi="Times New Roman"/>
          <w:i/>
          <w:sz w:val="24"/>
        </w:rPr>
        <w:t>Chapter 11</w:t>
      </w:r>
      <w:r w:rsidRPr="009129E6">
        <w:rPr>
          <w:rFonts w:ascii="Times New Roman" w:hAnsi="Times New Roman"/>
          <w:sz w:val="24"/>
        </w:rPr>
        <w:t xml:space="preserve"> de Heritage Highgate qui avait mené un vaste projet immobilier avec des gagistes séniors. Dans la procédure, le débiteur avait proposé de prouver que cet actif avait une valeur assez élevée, égale à la valeur de mise en vente du bien qui couvrait la valeur des gagistes séniors, ce qu’avait admis l’US Trustee. Les créanciers juniors prétendaient que cette valeur était trop importante</w:t>
      </w:r>
      <w:r>
        <w:rPr>
          <w:rStyle w:val="Appelnotedebasdep"/>
          <w:rFonts w:ascii="Times New Roman" w:hAnsi="Times New Roman"/>
          <w:sz w:val="24"/>
        </w:rPr>
        <w:footnoteReference w:id="72"/>
      </w:r>
      <w:r w:rsidRPr="009129E6">
        <w:rPr>
          <w:rFonts w:ascii="Times New Roman" w:hAnsi="Times New Roman"/>
          <w:sz w:val="24"/>
        </w:rPr>
        <w:t>. Le tribunal avait retenu que la valeur de vente était plus petite que la valeur de mise en vente du bien et devait être la « </w:t>
      </w:r>
      <w:r w:rsidRPr="007C17D3">
        <w:rPr>
          <w:rFonts w:ascii="Times New Roman" w:hAnsi="Times New Roman"/>
          <w:i/>
          <w:sz w:val="24"/>
        </w:rPr>
        <w:t>Fair</w:t>
      </w:r>
      <w:r w:rsidRPr="009129E6">
        <w:rPr>
          <w:rFonts w:ascii="Times New Roman" w:hAnsi="Times New Roman"/>
          <w:i/>
          <w:sz w:val="24"/>
        </w:rPr>
        <w:t xml:space="preserve"> </w:t>
      </w:r>
      <w:r w:rsidRPr="007C17D3">
        <w:rPr>
          <w:rFonts w:ascii="Times New Roman" w:hAnsi="Times New Roman"/>
          <w:i/>
          <w:sz w:val="24"/>
        </w:rPr>
        <w:t>market</w:t>
      </w:r>
      <w:r w:rsidRPr="009129E6">
        <w:rPr>
          <w:rFonts w:ascii="Times New Roman" w:hAnsi="Times New Roman"/>
          <w:i/>
          <w:sz w:val="24"/>
        </w:rPr>
        <w:t xml:space="preserve"> </w:t>
      </w:r>
      <w:r w:rsidRPr="007C17D3">
        <w:rPr>
          <w:rFonts w:ascii="Times New Roman" w:hAnsi="Times New Roman"/>
          <w:i/>
          <w:sz w:val="24"/>
        </w:rPr>
        <w:t>value</w:t>
      </w:r>
      <w:r w:rsidRPr="009129E6">
        <w:rPr>
          <w:rFonts w:ascii="Times New Roman" w:hAnsi="Times New Roman"/>
          <w:sz w:val="24"/>
        </w:rPr>
        <w:t xml:space="preserve"> ». </w:t>
      </w:r>
      <w:r>
        <w:rPr>
          <w:rFonts w:ascii="Times New Roman" w:hAnsi="Times New Roman"/>
          <w:sz w:val="24"/>
        </w:rPr>
        <w:t xml:space="preserve"> </w:t>
      </w:r>
      <w:r w:rsidRPr="009129E6">
        <w:rPr>
          <w:rFonts w:ascii="Times New Roman" w:hAnsi="Times New Roman"/>
          <w:sz w:val="24"/>
        </w:rPr>
        <w:t>La Cour d’appel commença par rappeler le processus de preuve : c’est au débiteur à rapporter la preuve de la valeur et ensuite aux créancier de contester par des arguments factuels et des rapports cette valeur sur base de ses propres preuves. Sur base de ces éléments, la Cour rappelle que le code ne contient pas de règles d’évaluation qui lie le juge et que ce dernier doit la déterminer sur une approche « </w:t>
      </w:r>
      <w:r w:rsidRPr="005976B3">
        <w:rPr>
          <w:rFonts w:ascii="Times New Roman" w:hAnsi="Times New Roman"/>
          <w:i/>
          <w:sz w:val="24"/>
        </w:rPr>
        <w:t>flexible</w:t>
      </w:r>
      <w:r w:rsidRPr="009129E6">
        <w:rPr>
          <w:rFonts w:ascii="Times New Roman" w:hAnsi="Times New Roman"/>
          <w:sz w:val="24"/>
        </w:rPr>
        <w:t xml:space="preserve"> » basée sur les </w:t>
      </w:r>
      <w:r>
        <w:rPr>
          <w:rFonts w:ascii="Times New Roman" w:hAnsi="Times New Roman"/>
          <w:sz w:val="24"/>
        </w:rPr>
        <w:t>situations particulières de l’</w:t>
      </w:r>
      <w:r w:rsidRPr="007C17D3">
        <w:rPr>
          <w:rFonts w:ascii="Times New Roman" w:hAnsi="Times New Roman"/>
          <w:sz w:val="24"/>
        </w:rPr>
        <w:t>affaire</w:t>
      </w:r>
      <w:r w:rsidRPr="009129E6">
        <w:rPr>
          <w:rFonts w:ascii="Times New Roman" w:hAnsi="Times New Roman"/>
          <w:sz w:val="24"/>
        </w:rPr>
        <w:t>.</w:t>
      </w:r>
    </w:p>
    <w:p w:rsidR="008064D7" w:rsidRDefault="008064D7" w:rsidP="008A347D">
      <w:pPr>
        <w:pStyle w:val="Paragraphedeliste"/>
        <w:spacing w:line="240" w:lineRule="auto"/>
        <w:ind w:left="782"/>
        <w:rPr>
          <w:rFonts w:ascii="Times New Roman" w:hAnsi="Times New Roman"/>
          <w:sz w:val="24"/>
        </w:rPr>
      </w:pPr>
    </w:p>
    <w:p w:rsidR="005365AD" w:rsidRDefault="005365AD" w:rsidP="008A347D">
      <w:pPr>
        <w:pStyle w:val="Paragraphedeliste"/>
        <w:spacing w:line="240" w:lineRule="auto"/>
        <w:ind w:left="782"/>
        <w:rPr>
          <w:rFonts w:ascii="Times New Roman" w:hAnsi="Times New Roman"/>
          <w:sz w:val="24"/>
        </w:rPr>
      </w:pPr>
      <w:r>
        <w:rPr>
          <w:rFonts w:ascii="Times New Roman" w:hAnsi="Times New Roman"/>
          <w:sz w:val="24"/>
        </w:rPr>
        <w:t xml:space="preserve">Examinons quelques type d’actifs car il y en a de multiples autres encore plus complexes </w:t>
      </w:r>
      <w:r w:rsidR="005976B3">
        <w:rPr>
          <w:rFonts w:ascii="Times New Roman" w:hAnsi="Times New Roman"/>
          <w:sz w:val="24"/>
        </w:rPr>
        <w:t>à</w:t>
      </w:r>
      <w:r>
        <w:rPr>
          <w:rFonts w:ascii="Times New Roman" w:hAnsi="Times New Roman"/>
          <w:sz w:val="24"/>
        </w:rPr>
        <w:t xml:space="preserve"> évaluer.</w:t>
      </w:r>
    </w:p>
    <w:p w:rsidR="005365AD" w:rsidRDefault="005365AD" w:rsidP="008A347D">
      <w:pPr>
        <w:pStyle w:val="Paragraphedeliste"/>
        <w:spacing w:line="240" w:lineRule="auto"/>
        <w:ind w:left="782"/>
        <w:rPr>
          <w:rFonts w:ascii="Times New Roman" w:hAnsi="Times New Roman"/>
          <w:sz w:val="24"/>
        </w:rPr>
      </w:pPr>
    </w:p>
    <w:p w:rsidR="008064D7" w:rsidRPr="006466A1" w:rsidRDefault="005976B3" w:rsidP="0030531D">
      <w:pPr>
        <w:pStyle w:val="Titre2"/>
        <w:numPr>
          <w:ilvl w:val="0"/>
          <w:numId w:val="40"/>
        </w:numPr>
        <w:rPr>
          <w:rFonts w:ascii="Times New Roman" w:hAnsi="Times New Roman" w:cs="Times New Roman"/>
        </w:rPr>
      </w:pPr>
      <w:bookmarkStart w:id="8" w:name="_Toc55407454"/>
      <w:r>
        <w:rPr>
          <w:rFonts w:ascii="Times New Roman" w:hAnsi="Times New Roman" w:cs="Times New Roman"/>
        </w:rPr>
        <w:t>Évaluation des</w:t>
      </w:r>
      <w:r w:rsidR="008064D7" w:rsidRPr="006466A1">
        <w:rPr>
          <w:rFonts w:ascii="Times New Roman" w:hAnsi="Times New Roman" w:cs="Times New Roman"/>
        </w:rPr>
        <w:t xml:space="preserve"> actifs </w:t>
      </w:r>
      <w:r w:rsidR="008064D7">
        <w:rPr>
          <w:rFonts w:ascii="Times New Roman" w:hAnsi="Times New Roman" w:cs="Times New Roman"/>
        </w:rPr>
        <w:t>corporels</w:t>
      </w:r>
      <w:bookmarkEnd w:id="8"/>
    </w:p>
    <w:p w:rsidR="008064D7" w:rsidRDefault="008064D7" w:rsidP="00C7567B">
      <w:pPr>
        <w:spacing w:line="240" w:lineRule="auto"/>
        <w:ind w:left="426"/>
        <w:rPr>
          <w:rFonts w:ascii="Times New Roman" w:hAnsi="Times New Roman"/>
          <w:sz w:val="24"/>
        </w:rPr>
      </w:pPr>
    </w:p>
    <w:p w:rsidR="005976B3" w:rsidRDefault="005976B3" w:rsidP="00AC06C7">
      <w:pPr>
        <w:pStyle w:val="Paragraphedeliste"/>
        <w:numPr>
          <w:ilvl w:val="0"/>
          <w:numId w:val="2"/>
        </w:numPr>
        <w:spacing w:line="240" w:lineRule="auto"/>
        <w:rPr>
          <w:rFonts w:ascii="Times New Roman" w:hAnsi="Times New Roman"/>
          <w:sz w:val="24"/>
        </w:rPr>
      </w:pPr>
      <w:r>
        <w:rPr>
          <w:rFonts w:ascii="Times New Roman" w:hAnsi="Times New Roman"/>
          <w:sz w:val="24"/>
          <w:u w:val="single"/>
        </w:rPr>
        <w:t>Objet</w:t>
      </w:r>
      <w:r w:rsidR="008064D7">
        <w:rPr>
          <w:rFonts w:ascii="Times New Roman" w:hAnsi="Times New Roman"/>
          <w:sz w:val="24"/>
          <w:u w:val="single"/>
        </w:rPr>
        <w:t>.</w:t>
      </w:r>
      <w:r w:rsidR="008064D7">
        <w:rPr>
          <w:rFonts w:ascii="Times New Roman" w:hAnsi="Times New Roman"/>
          <w:sz w:val="24"/>
        </w:rPr>
        <w:t xml:space="preserve"> L</w:t>
      </w:r>
      <w:r w:rsidR="008064D7" w:rsidRPr="00C7567B">
        <w:rPr>
          <w:rFonts w:ascii="Times New Roman" w:hAnsi="Times New Roman"/>
          <w:sz w:val="24"/>
        </w:rPr>
        <w:t>es biens sujet</w:t>
      </w:r>
      <w:r w:rsidR="008064D7">
        <w:rPr>
          <w:rFonts w:ascii="Times New Roman" w:hAnsi="Times New Roman"/>
          <w:sz w:val="24"/>
        </w:rPr>
        <w:t xml:space="preserve">s à évaluation </w:t>
      </w:r>
      <w:r w:rsidR="008064D7" w:rsidRPr="00C7567B">
        <w:rPr>
          <w:rFonts w:ascii="Times New Roman" w:hAnsi="Times New Roman"/>
          <w:sz w:val="24"/>
        </w:rPr>
        <w:t>peuvent ê</w:t>
      </w:r>
      <w:r w:rsidR="008064D7">
        <w:rPr>
          <w:rFonts w:ascii="Times New Roman" w:hAnsi="Times New Roman"/>
          <w:sz w:val="24"/>
        </w:rPr>
        <w:t>t</w:t>
      </w:r>
      <w:r w:rsidR="008064D7" w:rsidRPr="00C7567B">
        <w:rPr>
          <w:rFonts w:ascii="Times New Roman" w:hAnsi="Times New Roman"/>
          <w:sz w:val="24"/>
        </w:rPr>
        <w:t xml:space="preserve">re des actifs corporels </w:t>
      </w:r>
      <w:r w:rsidR="008064D7">
        <w:rPr>
          <w:rFonts w:ascii="Times New Roman" w:hAnsi="Times New Roman"/>
          <w:sz w:val="24"/>
        </w:rPr>
        <w:t>comme des immeubles, des machines ou du matériel d’exploitation, des stocks, des encours de fabrication, des produits finis</w:t>
      </w:r>
      <w:r>
        <w:rPr>
          <w:rFonts w:ascii="Times New Roman" w:hAnsi="Times New Roman"/>
          <w:sz w:val="24"/>
        </w:rPr>
        <w:t>.</w:t>
      </w:r>
    </w:p>
    <w:p w:rsidR="005976B3" w:rsidRDefault="005976B3" w:rsidP="005976B3">
      <w:pPr>
        <w:pStyle w:val="Paragraphedeliste"/>
        <w:spacing w:line="240" w:lineRule="auto"/>
        <w:ind w:left="786"/>
        <w:rPr>
          <w:rFonts w:ascii="Times New Roman" w:hAnsi="Times New Roman"/>
          <w:sz w:val="24"/>
          <w:u w:val="single"/>
        </w:rPr>
      </w:pPr>
    </w:p>
    <w:p w:rsidR="008064D7" w:rsidRPr="00AC06C7" w:rsidRDefault="008064D7" w:rsidP="005976B3">
      <w:pPr>
        <w:pStyle w:val="Paragraphedeliste"/>
        <w:spacing w:line="240" w:lineRule="auto"/>
        <w:ind w:left="786"/>
        <w:rPr>
          <w:rFonts w:ascii="Times New Roman" w:hAnsi="Times New Roman"/>
          <w:sz w:val="24"/>
        </w:rPr>
      </w:pPr>
      <w:r w:rsidRPr="00AC06C7">
        <w:rPr>
          <w:rFonts w:ascii="Times New Roman" w:hAnsi="Times New Roman"/>
          <w:sz w:val="24"/>
        </w:rPr>
        <w:t xml:space="preserve">Dans notre pratique, ces actifs sont évalué par un expert, un Notaire ou un Commissaire-priseur, par des expertises de valeurs </w:t>
      </w:r>
      <w:r w:rsidR="005976B3">
        <w:rPr>
          <w:rFonts w:ascii="Times New Roman" w:hAnsi="Times New Roman"/>
          <w:sz w:val="24"/>
        </w:rPr>
        <w:t>souvent basées sur des</w:t>
      </w:r>
      <w:r w:rsidRPr="00AC06C7">
        <w:rPr>
          <w:rFonts w:ascii="Times New Roman" w:hAnsi="Times New Roman"/>
          <w:sz w:val="24"/>
        </w:rPr>
        <w:t xml:space="preserve"> comparables déduit</w:t>
      </w:r>
      <w:r w:rsidR="005976B3">
        <w:rPr>
          <w:rFonts w:ascii="Times New Roman" w:hAnsi="Times New Roman"/>
          <w:sz w:val="24"/>
        </w:rPr>
        <w:t>s</w:t>
      </w:r>
      <w:r w:rsidRPr="00AC06C7">
        <w:rPr>
          <w:rFonts w:ascii="Times New Roman" w:hAnsi="Times New Roman"/>
          <w:sz w:val="24"/>
        </w:rPr>
        <w:t xml:space="preserve"> d’une étude de marché mais</w:t>
      </w:r>
      <w:r w:rsidR="005976B3">
        <w:rPr>
          <w:rFonts w:ascii="Times New Roman" w:hAnsi="Times New Roman"/>
          <w:sz w:val="24"/>
        </w:rPr>
        <w:t>,</w:t>
      </w:r>
      <w:r w:rsidRPr="00AC06C7">
        <w:rPr>
          <w:rFonts w:ascii="Times New Roman" w:hAnsi="Times New Roman"/>
          <w:sz w:val="24"/>
        </w:rPr>
        <w:t xml:space="preserve"> à vrai dire, aucune doctrine n’est construite pour </w:t>
      </w:r>
      <w:r w:rsidR="005976B3">
        <w:rPr>
          <w:rFonts w:ascii="Times New Roman" w:hAnsi="Times New Roman"/>
          <w:sz w:val="24"/>
        </w:rPr>
        <w:t>« </w:t>
      </w:r>
      <w:r w:rsidRPr="00AC06C7">
        <w:rPr>
          <w:rFonts w:ascii="Times New Roman" w:hAnsi="Times New Roman"/>
          <w:sz w:val="24"/>
        </w:rPr>
        <w:t>é</w:t>
      </w:r>
      <w:r w:rsidRPr="00AC06C7">
        <w:rPr>
          <w:rFonts w:ascii="Times New Roman" w:hAnsi="Times New Roman"/>
          <w:i/>
          <w:sz w:val="24"/>
        </w:rPr>
        <w:t>value</w:t>
      </w:r>
      <w:r w:rsidRPr="00AC06C7">
        <w:rPr>
          <w:rFonts w:ascii="Times New Roman" w:hAnsi="Times New Roman"/>
          <w:sz w:val="24"/>
        </w:rPr>
        <w:t>r</w:t>
      </w:r>
      <w:r w:rsidR="005976B3">
        <w:rPr>
          <w:rFonts w:ascii="Times New Roman" w:hAnsi="Times New Roman"/>
          <w:sz w:val="24"/>
        </w:rPr>
        <w:t> »</w:t>
      </w:r>
      <w:r w:rsidRPr="00AC06C7">
        <w:rPr>
          <w:rFonts w:ascii="Times New Roman" w:hAnsi="Times New Roman"/>
          <w:sz w:val="24"/>
        </w:rPr>
        <w:t xml:space="preserve"> ces évaluation : sur quels critères ? sur quelle notion de la valeur ? avec quel débat ?  Comment la contester ? l’établir ? </w:t>
      </w:r>
      <w:r w:rsidR="005976B3">
        <w:rPr>
          <w:rFonts w:ascii="Times New Roman" w:hAnsi="Times New Roman"/>
          <w:sz w:val="24"/>
        </w:rPr>
        <w:t>Nous verrons que lorsque le débat porte sur la valeur de liquidation de ces mêmes actifs, les tribunaux eux-mêmes s’y perdent et retiennent des valeurs de faits différentes.</w:t>
      </w:r>
    </w:p>
    <w:p w:rsidR="008064D7" w:rsidRDefault="008064D7" w:rsidP="004E5E9A">
      <w:pPr>
        <w:pStyle w:val="Paragraphedeliste"/>
        <w:spacing w:line="240" w:lineRule="auto"/>
        <w:ind w:left="786"/>
        <w:rPr>
          <w:rFonts w:ascii="Times New Roman" w:hAnsi="Times New Roman"/>
          <w:sz w:val="24"/>
        </w:rPr>
      </w:pPr>
    </w:p>
    <w:p w:rsidR="008064D7" w:rsidRPr="004E5E9A" w:rsidRDefault="005976B3"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doctrine Américaine,</w:t>
      </w:r>
      <w:r>
        <w:rPr>
          <w:rFonts w:ascii="Times New Roman" w:hAnsi="Times New Roman"/>
          <w:sz w:val="24"/>
        </w:rPr>
        <w:t xml:space="preserve"> d</w:t>
      </w:r>
      <w:r w:rsidR="008064D7">
        <w:rPr>
          <w:rFonts w:ascii="Times New Roman" w:hAnsi="Times New Roman"/>
          <w:sz w:val="24"/>
        </w:rPr>
        <w:t>ans l’</w:t>
      </w:r>
      <w:r w:rsidR="008064D7" w:rsidRPr="007C17D3">
        <w:rPr>
          <w:rFonts w:ascii="Times New Roman" w:hAnsi="Times New Roman"/>
          <w:sz w:val="24"/>
        </w:rPr>
        <w:t>affaire</w:t>
      </w:r>
      <w:r w:rsidR="008064D7">
        <w:rPr>
          <w:rFonts w:ascii="Times New Roman" w:hAnsi="Times New Roman"/>
          <w:sz w:val="24"/>
        </w:rPr>
        <w:t xml:space="preserve"> </w:t>
      </w:r>
      <w:r>
        <w:rPr>
          <w:rFonts w:ascii="Times New Roman" w:hAnsi="Times New Roman"/>
          <w:sz w:val="24"/>
        </w:rPr>
        <w:t>Cornerstone</w:t>
      </w:r>
      <w:r w:rsidR="008064D7">
        <w:rPr>
          <w:rFonts w:ascii="Times New Roman" w:hAnsi="Times New Roman"/>
          <w:sz w:val="24"/>
        </w:rPr>
        <w:t xml:space="preserve">, la Cour d’appel a dû départir la position des créanciers et du débiteur sur la valeur de l’actif., les uns visant une valeur </w:t>
      </w:r>
      <w:r w:rsidR="008064D7" w:rsidRPr="004E5E9A">
        <w:rPr>
          <w:rFonts w:ascii="Times New Roman" w:hAnsi="Times New Roman"/>
          <w:sz w:val="24"/>
        </w:rPr>
        <w:t xml:space="preserve">de vente future (au fur et à mesure de la réalisation du projet </w:t>
      </w:r>
      <w:r w:rsidR="005365AD">
        <w:rPr>
          <w:rFonts w:ascii="Times New Roman" w:hAnsi="Times New Roman"/>
          <w:sz w:val="24"/>
        </w:rPr>
        <w:t xml:space="preserve">immobilier </w:t>
      </w:r>
      <w:r w:rsidR="008064D7" w:rsidRPr="004E5E9A">
        <w:rPr>
          <w:rFonts w:ascii="Times New Roman" w:hAnsi="Times New Roman"/>
          <w:sz w:val="24"/>
        </w:rPr>
        <w:t xml:space="preserve">puisque le </w:t>
      </w:r>
      <w:r w:rsidR="008064D7" w:rsidRPr="007C17D3">
        <w:rPr>
          <w:rFonts w:ascii="Times New Roman" w:hAnsi="Times New Roman"/>
          <w:i/>
          <w:sz w:val="24"/>
        </w:rPr>
        <w:t>Chapter 11</w:t>
      </w:r>
      <w:r w:rsidR="008064D7" w:rsidRPr="004E5E9A">
        <w:rPr>
          <w:rFonts w:ascii="Times New Roman" w:hAnsi="Times New Roman"/>
          <w:sz w:val="24"/>
        </w:rPr>
        <w:t xml:space="preserve"> permettait de poursuivre la réalisation du projet</w:t>
      </w:r>
      <w:r w:rsidRPr="004E5E9A">
        <w:rPr>
          <w:rFonts w:ascii="Times New Roman" w:hAnsi="Times New Roman"/>
          <w:sz w:val="24"/>
        </w:rPr>
        <w:t>),</w:t>
      </w:r>
      <w:r w:rsidR="008064D7">
        <w:rPr>
          <w:rFonts w:ascii="Times New Roman" w:hAnsi="Times New Roman"/>
          <w:sz w:val="24"/>
        </w:rPr>
        <w:t xml:space="preserve"> les autres </w:t>
      </w:r>
      <w:r>
        <w:rPr>
          <w:rFonts w:ascii="Times New Roman" w:hAnsi="Times New Roman"/>
          <w:sz w:val="24"/>
        </w:rPr>
        <w:t xml:space="preserve">retenant </w:t>
      </w:r>
      <w:r w:rsidR="008064D7" w:rsidRPr="004E5E9A">
        <w:rPr>
          <w:rFonts w:ascii="Times New Roman" w:hAnsi="Times New Roman"/>
          <w:sz w:val="24"/>
        </w:rPr>
        <w:t xml:space="preserve">la </w:t>
      </w:r>
      <w:r w:rsidR="008064D7" w:rsidRPr="004E5E9A">
        <w:rPr>
          <w:rFonts w:ascii="Times New Roman" w:hAnsi="Times New Roman"/>
          <w:sz w:val="24"/>
        </w:rPr>
        <w:lastRenderedPageBreak/>
        <w:t xml:space="preserve">valeur immédiate sur le marché du bien. Dans le cas d’espèce, la cour retint la valeur de remplacement du bien similaire au même moment sans attendre </w:t>
      </w:r>
      <w:r>
        <w:rPr>
          <w:rFonts w:ascii="Times New Roman" w:hAnsi="Times New Roman"/>
          <w:sz w:val="24"/>
        </w:rPr>
        <w:t>la fin du projet à un moment où</w:t>
      </w:r>
      <w:r w:rsidR="008064D7" w:rsidRPr="004E5E9A">
        <w:rPr>
          <w:rFonts w:ascii="Times New Roman" w:hAnsi="Times New Roman"/>
          <w:sz w:val="24"/>
        </w:rPr>
        <w:t xml:space="preserve"> il </w:t>
      </w:r>
      <w:r>
        <w:rPr>
          <w:rFonts w:ascii="Times New Roman" w:hAnsi="Times New Roman"/>
          <w:sz w:val="24"/>
        </w:rPr>
        <w:t>n’était</w:t>
      </w:r>
      <w:r w:rsidR="008064D7" w:rsidRPr="004E5E9A">
        <w:rPr>
          <w:rFonts w:ascii="Times New Roman" w:hAnsi="Times New Roman"/>
          <w:sz w:val="24"/>
        </w:rPr>
        <w:t xml:space="preserve"> pas terminé. </w:t>
      </w:r>
      <w:r>
        <w:rPr>
          <w:rFonts w:ascii="Times New Roman" w:hAnsi="Times New Roman"/>
          <w:sz w:val="24"/>
        </w:rPr>
        <w:t>Le débat a donc porté d’abord sur le moment de l’évaluation de la valeur immédiate ou future. Pour la Cour, la</w:t>
      </w:r>
      <w:r w:rsidR="008064D7" w:rsidRPr="004E5E9A">
        <w:rPr>
          <w:rFonts w:ascii="Times New Roman" w:hAnsi="Times New Roman"/>
          <w:sz w:val="24"/>
        </w:rPr>
        <w:t xml:space="preserve"> valeur ne peut pas inclure la valeur future d’éventuelles ventes après le développement qui n’est que possible ou hypothétique.</w:t>
      </w:r>
    </w:p>
    <w:p w:rsidR="008064D7" w:rsidRPr="00DD2C17" w:rsidRDefault="008064D7" w:rsidP="00DD2C17">
      <w:pPr>
        <w:pStyle w:val="Paragraphedeliste"/>
        <w:spacing w:line="240" w:lineRule="auto"/>
        <w:ind w:left="786"/>
        <w:rPr>
          <w:rFonts w:ascii="Times New Roman" w:hAnsi="Times New Roman"/>
          <w:sz w:val="24"/>
        </w:rPr>
      </w:pPr>
    </w:p>
    <w:p w:rsidR="008064D7" w:rsidRDefault="005976B3" w:rsidP="00DD2C17">
      <w:pPr>
        <w:pStyle w:val="Paragraphedeliste"/>
        <w:spacing w:line="240" w:lineRule="auto"/>
        <w:ind w:left="786"/>
        <w:rPr>
          <w:rFonts w:ascii="Times New Roman" w:hAnsi="Times New Roman"/>
          <w:sz w:val="24"/>
        </w:rPr>
      </w:pPr>
      <w:r>
        <w:rPr>
          <w:rFonts w:ascii="Times New Roman" w:hAnsi="Times New Roman"/>
          <w:sz w:val="24"/>
        </w:rPr>
        <w:t>Cette doctrine</w:t>
      </w:r>
      <w:r w:rsidR="008064D7">
        <w:rPr>
          <w:rStyle w:val="Appelnotedebasdep"/>
          <w:rFonts w:ascii="Times New Roman" w:hAnsi="Times New Roman"/>
          <w:sz w:val="24"/>
        </w:rPr>
        <w:footnoteReference w:id="73"/>
      </w:r>
      <w:r>
        <w:rPr>
          <w:rFonts w:ascii="Times New Roman" w:hAnsi="Times New Roman"/>
          <w:sz w:val="24"/>
        </w:rPr>
        <w:t xml:space="preserve"> a été</w:t>
      </w:r>
      <w:r w:rsidR="008064D7">
        <w:rPr>
          <w:rFonts w:ascii="Times New Roman" w:hAnsi="Times New Roman"/>
          <w:sz w:val="24"/>
        </w:rPr>
        <w:t xml:space="preserve"> débattue puisque d</w:t>
      </w:r>
      <w:r w:rsidR="008064D7" w:rsidRPr="00DD2C17">
        <w:rPr>
          <w:rFonts w:ascii="Times New Roman" w:hAnsi="Times New Roman"/>
          <w:sz w:val="24"/>
        </w:rPr>
        <w:t xml:space="preserve">ans </w:t>
      </w:r>
      <w:r>
        <w:rPr>
          <w:rFonts w:ascii="Times New Roman" w:hAnsi="Times New Roman"/>
          <w:sz w:val="24"/>
        </w:rPr>
        <w:t>un arrêt</w:t>
      </w:r>
      <w:r w:rsidR="008064D7" w:rsidRPr="00DD2C17">
        <w:rPr>
          <w:rFonts w:ascii="Times New Roman" w:hAnsi="Times New Roman"/>
          <w:sz w:val="24"/>
        </w:rPr>
        <w:t xml:space="preserve"> de la Cour suprême </w:t>
      </w:r>
      <w:r>
        <w:rPr>
          <w:rFonts w:ascii="Times New Roman" w:hAnsi="Times New Roman"/>
          <w:sz w:val="24"/>
        </w:rPr>
        <w:t>(basé sur</w:t>
      </w:r>
      <w:r w:rsidR="008064D7">
        <w:rPr>
          <w:rFonts w:ascii="Times New Roman" w:hAnsi="Times New Roman"/>
          <w:sz w:val="24"/>
        </w:rPr>
        <w:t xml:space="preserve"> le </w:t>
      </w:r>
      <w:r w:rsidR="008064D7" w:rsidRPr="00DD2C17">
        <w:rPr>
          <w:rFonts w:ascii="Times New Roman" w:hAnsi="Times New Roman"/>
          <w:sz w:val="24"/>
        </w:rPr>
        <w:t xml:space="preserve"> </w:t>
      </w:r>
      <w:r w:rsidR="008064D7" w:rsidRPr="007C17D3">
        <w:rPr>
          <w:rFonts w:ascii="Times New Roman" w:hAnsi="Times New Roman"/>
          <w:i/>
          <w:sz w:val="24"/>
        </w:rPr>
        <w:t>Chapter 7</w:t>
      </w:r>
      <w:r>
        <w:rPr>
          <w:rFonts w:ascii="Times New Roman" w:hAnsi="Times New Roman"/>
          <w:i/>
          <w:sz w:val="24"/>
        </w:rPr>
        <w:t>),</w:t>
      </w:r>
      <w:r w:rsidR="008064D7">
        <w:rPr>
          <w:rFonts w:ascii="Times New Roman" w:hAnsi="Times New Roman"/>
          <w:sz w:val="24"/>
        </w:rPr>
        <w:t xml:space="preserve"> la Cour avait jugé </w:t>
      </w:r>
      <w:r w:rsidR="008064D7" w:rsidRPr="00DD2C17">
        <w:rPr>
          <w:rFonts w:ascii="Times New Roman" w:hAnsi="Times New Roman"/>
          <w:sz w:val="24"/>
        </w:rPr>
        <w:t>que les créanciers ne pouvaient pas perdre la valeur créée entre l’ouverture de la pr</w:t>
      </w:r>
      <w:r w:rsidR="008064D7">
        <w:rPr>
          <w:rFonts w:ascii="Times New Roman" w:hAnsi="Times New Roman"/>
          <w:sz w:val="24"/>
        </w:rPr>
        <w:t>océdure et la date de la vente, ce qui attribuait en tout cas une partie de la valeur future.</w:t>
      </w:r>
    </w:p>
    <w:p w:rsidR="008064D7" w:rsidRDefault="008064D7" w:rsidP="00DD2C17">
      <w:pPr>
        <w:pStyle w:val="Paragraphedeliste"/>
        <w:spacing w:line="240" w:lineRule="auto"/>
        <w:ind w:left="786"/>
        <w:rPr>
          <w:rFonts w:ascii="Times New Roman" w:hAnsi="Times New Roman"/>
          <w:sz w:val="24"/>
        </w:rPr>
      </w:pPr>
    </w:p>
    <w:p w:rsidR="008064D7" w:rsidRDefault="00D46BC0" w:rsidP="00DD2C17">
      <w:pPr>
        <w:pStyle w:val="Paragraphedeliste"/>
        <w:spacing w:line="240" w:lineRule="auto"/>
        <w:ind w:left="786"/>
        <w:rPr>
          <w:rFonts w:ascii="Times New Roman" w:hAnsi="Times New Roman"/>
          <w:sz w:val="24"/>
        </w:rPr>
      </w:pPr>
      <w:r>
        <w:rPr>
          <w:rFonts w:ascii="Times New Roman" w:hAnsi="Times New Roman"/>
          <w:sz w:val="24"/>
        </w:rPr>
        <w:t>Les C</w:t>
      </w:r>
      <w:r w:rsidR="008064D7" w:rsidRPr="00DD2C17">
        <w:rPr>
          <w:rFonts w:ascii="Times New Roman" w:hAnsi="Times New Roman"/>
          <w:sz w:val="24"/>
        </w:rPr>
        <w:t>our</w:t>
      </w:r>
      <w:r>
        <w:rPr>
          <w:rFonts w:ascii="Times New Roman" w:hAnsi="Times New Roman"/>
          <w:sz w:val="24"/>
        </w:rPr>
        <w:t>s</w:t>
      </w:r>
      <w:r w:rsidR="008064D7" w:rsidRPr="00DD2C17">
        <w:rPr>
          <w:rFonts w:ascii="Times New Roman" w:hAnsi="Times New Roman"/>
          <w:sz w:val="24"/>
        </w:rPr>
        <w:t xml:space="preserve"> d’appels n’ont pas appliqué cette règle au </w:t>
      </w:r>
      <w:r w:rsidR="008064D7" w:rsidRPr="007C17D3">
        <w:rPr>
          <w:rFonts w:ascii="Times New Roman" w:hAnsi="Times New Roman"/>
          <w:i/>
          <w:sz w:val="24"/>
        </w:rPr>
        <w:t>Chapter 11</w:t>
      </w:r>
      <w:r>
        <w:rPr>
          <w:rFonts w:ascii="Times New Roman" w:hAnsi="Times New Roman"/>
          <w:sz w:val="24"/>
        </w:rPr>
        <w:t xml:space="preserve"> en estimant que dans ce cas, </w:t>
      </w:r>
      <w:r w:rsidR="008064D7" w:rsidRPr="00DD2C17">
        <w:rPr>
          <w:rFonts w:ascii="Times New Roman" w:hAnsi="Times New Roman"/>
          <w:sz w:val="24"/>
        </w:rPr>
        <w:t>elles gardaient une appréciation discrétionnaire des situa</w:t>
      </w:r>
      <w:r w:rsidR="008064D7">
        <w:rPr>
          <w:rFonts w:ascii="Times New Roman" w:hAnsi="Times New Roman"/>
          <w:sz w:val="24"/>
        </w:rPr>
        <w:t>tions qui leur étaient soumises, pouvant ou non, selon le cas, attribuer tout ou partie de la valeur future.</w:t>
      </w:r>
      <w:r>
        <w:rPr>
          <w:rFonts w:ascii="Times New Roman" w:hAnsi="Times New Roman"/>
          <w:sz w:val="24"/>
        </w:rPr>
        <w:t xml:space="preserve"> Un second point est donc débattu : le marché de référence. </w:t>
      </w:r>
      <w:r w:rsidR="008064D7">
        <w:rPr>
          <w:rFonts w:ascii="Times New Roman" w:hAnsi="Times New Roman"/>
          <w:sz w:val="24"/>
        </w:rPr>
        <w:t>Dans l’arrêt de la Cour Suprême de 2004</w:t>
      </w:r>
      <w:r w:rsidR="008064D7">
        <w:rPr>
          <w:rStyle w:val="Appelnotedebasdep"/>
          <w:rFonts w:ascii="Times New Roman" w:hAnsi="Times New Roman"/>
          <w:sz w:val="24"/>
        </w:rPr>
        <w:footnoteReference w:id="74"/>
      </w:r>
      <w:r w:rsidR="008064D7">
        <w:rPr>
          <w:rFonts w:ascii="Times New Roman" w:hAnsi="Times New Roman"/>
          <w:sz w:val="24"/>
        </w:rPr>
        <w:t xml:space="preserve">, applicable par analogie au </w:t>
      </w:r>
      <w:r w:rsidR="008064D7" w:rsidRPr="007C17D3">
        <w:rPr>
          <w:rFonts w:ascii="Times New Roman" w:hAnsi="Times New Roman"/>
          <w:i/>
          <w:sz w:val="24"/>
        </w:rPr>
        <w:t>Chapter 11</w:t>
      </w:r>
      <w:r w:rsidR="008064D7">
        <w:rPr>
          <w:rFonts w:ascii="Times New Roman" w:hAnsi="Times New Roman"/>
          <w:sz w:val="24"/>
        </w:rPr>
        <w:t>, la Cour a utilisé le critère du « </w:t>
      </w:r>
      <w:r w:rsidR="008064D7">
        <w:rPr>
          <w:rFonts w:ascii="Times New Roman" w:hAnsi="Times New Roman"/>
          <w:i/>
          <w:sz w:val="24"/>
        </w:rPr>
        <w:t>marché efficient » </w:t>
      </w:r>
      <w:r w:rsidR="008064D7">
        <w:rPr>
          <w:rFonts w:ascii="Times New Roman" w:hAnsi="Times New Roman"/>
          <w:sz w:val="24"/>
        </w:rPr>
        <w:t>: il s’agit de la valeur selon la même opération, sur le même marché avec les mêmes caractéristiques. La Cour Suprême, dans un arrêt de 1997</w:t>
      </w:r>
      <w:r w:rsidR="008064D7">
        <w:rPr>
          <w:rStyle w:val="Appelnotedebasdep"/>
          <w:rFonts w:ascii="Times New Roman" w:hAnsi="Times New Roman"/>
          <w:sz w:val="24"/>
        </w:rPr>
        <w:footnoteReference w:id="75"/>
      </w:r>
      <w:r w:rsidR="008064D7">
        <w:rPr>
          <w:rFonts w:ascii="Times New Roman" w:hAnsi="Times New Roman"/>
          <w:sz w:val="24"/>
        </w:rPr>
        <w:t xml:space="preserve">, a retenu que la </w:t>
      </w:r>
      <w:r w:rsidR="008064D7" w:rsidRPr="007C17D3">
        <w:rPr>
          <w:rFonts w:ascii="Times New Roman" w:hAnsi="Times New Roman"/>
          <w:i/>
          <w:sz w:val="24"/>
        </w:rPr>
        <w:t>Fair</w:t>
      </w:r>
      <w:r w:rsidR="008064D7">
        <w:rPr>
          <w:rFonts w:ascii="Times New Roman" w:hAnsi="Times New Roman"/>
          <w:sz w:val="24"/>
        </w:rPr>
        <w:t xml:space="preserve"> </w:t>
      </w:r>
      <w:r w:rsidR="008064D7" w:rsidRPr="007C17D3">
        <w:rPr>
          <w:rFonts w:ascii="Times New Roman" w:hAnsi="Times New Roman"/>
          <w:i/>
          <w:sz w:val="24"/>
        </w:rPr>
        <w:t>market</w:t>
      </w:r>
      <w:r w:rsidR="008064D7">
        <w:rPr>
          <w:rFonts w:ascii="Times New Roman" w:hAnsi="Times New Roman"/>
          <w:sz w:val="24"/>
        </w:rPr>
        <w:t xml:space="preserve"> </w:t>
      </w:r>
      <w:r w:rsidR="008064D7" w:rsidRPr="007C17D3">
        <w:rPr>
          <w:rFonts w:ascii="Times New Roman" w:hAnsi="Times New Roman"/>
          <w:i/>
          <w:sz w:val="24"/>
        </w:rPr>
        <w:t>value</w:t>
      </w:r>
      <w:r w:rsidR="008064D7">
        <w:rPr>
          <w:rFonts w:ascii="Times New Roman" w:hAnsi="Times New Roman"/>
          <w:sz w:val="24"/>
        </w:rPr>
        <w:t xml:space="preserve"> pouvait être déterminée au départ du test de la valeur de remplacement définie comme « </w:t>
      </w:r>
      <w:r w:rsidR="008064D7">
        <w:rPr>
          <w:rFonts w:ascii="Times New Roman" w:hAnsi="Times New Roman"/>
          <w:i/>
          <w:sz w:val="24"/>
        </w:rPr>
        <w:t>le prix que peut avoir un acheteur sur le marché »</w:t>
      </w:r>
      <w:r w:rsidR="008064D7">
        <w:rPr>
          <w:rFonts w:ascii="Times New Roman" w:hAnsi="Times New Roman"/>
          <w:sz w:val="24"/>
        </w:rPr>
        <w:t xml:space="preserve">. Elle a appliqué ce test à des actifs en </w:t>
      </w:r>
      <w:r w:rsidR="008064D7" w:rsidRPr="007C17D3">
        <w:rPr>
          <w:rFonts w:ascii="Times New Roman" w:hAnsi="Times New Roman"/>
          <w:i/>
          <w:sz w:val="24"/>
        </w:rPr>
        <w:t>Chapter 11</w:t>
      </w:r>
      <w:r w:rsidR="008064D7">
        <w:rPr>
          <w:rStyle w:val="Appelnotedebasdep"/>
          <w:rFonts w:ascii="Times New Roman" w:hAnsi="Times New Roman"/>
          <w:sz w:val="24"/>
        </w:rPr>
        <w:footnoteReference w:id="76"/>
      </w:r>
      <w:r w:rsidR="008064D7">
        <w:rPr>
          <w:rFonts w:ascii="Times New Roman" w:hAnsi="Times New Roman"/>
          <w:sz w:val="24"/>
        </w:rPr>
        <w:t>.</w:t>
      </w:r>
    </w:p>
    <w:p w:rsidR="008064D7" w:rsidRDefault="008064D7" w:rsidP="00DD2C17">
      <w:pPr>
        <w:pStyle w:val="Paragraphedeliste"/>
        <w:spacing w:line="240" w:lineRule="auto"/>
        <w:ind w:left="786"/>
        <w:rPr>
          <w:rFonts w:ascii="Times New Roman" w:hAnsi="Times New Roman"/>
          <w:sz w:val="24"/>
        </w:rPr>
      </w:pPr>
    </w:p>
    <w:p w:rsidR="008064D7" w:rsidRPr="004E5E9A" w:rsidRDefault="008064D7" w:rsidP="004E5E9A">
      <w:pPr>
        <w:pStyle w:val="Paragraphedeliste"/>
        <w:spacing w:line="240" w:lineRule="auto"/>
        <w:ind w:left="786"/>
        <w:rPr>
          <w:rFonts w:ascii="Times New Roman" w:hAnsi="Times New Roman"/>
          <w:sz w:val="24"/>
        </w:rPr>
      </w:pPr>
      <w:r>
        <w:rPr>
          <w:rFonts w:ascii="Times New Roman" w:hAnsi="Times New Roman"/>
          <w:sz w:val="24"/>
        </w:rPr>
        <w:t>Cette valeur dépend aussi du cadre procédural : Le débiteur qui veut vendre des actifs sans attendre</w:t>
      </w:r>
      <w:r w:rsidR="00D46BC0">
        <w:rPr>
          <w:rFonts w:ascii="Times New Roman" w:hAnsi="Times New Roman"/>
          <w:sz w:val="24"/>
        </w:rPr>
        <w:t xml:space="preserve"> la réussite du</w:t>
      </w:r>
      <w:r>
        <w:rPr>
          <w:rFonts w:ascii="Times New Roman" w:hAnsi="Times New Roman"/>
          <w:sz w:val="24"/>
        </w:rPr>
        <w:t xml:space="preserve"> plan et pendant la procédure peut demander au juge de la faillite une motion l’y autorisa</w:t>
      </w:r>
      <w:r w:rsidR="00D46BC0">
        <w:rPr>
          <w:rFonts w:ascii="Times New Roman" w:hAnsi="Times New Roman"/>
          <w:sz w:val="24"/>
        </w:rPr>
        <w:t>nt sur base de la section 363 (</w:t>
      </w:r>
      <w:r>
        <w:rPr>
          <w:rFonts w:ascii="Times New Roman" w:hAnsi="Times New Roman"/>
          <w:sz w:val="24"/>
        </w:rPr>
        <w:t xml:space="preserve">à défaut de réaliser cette cession dans le cadre du plan de réorganisation lui-même sur la section 1123 (a) (5), ce qu’a fait, par exemple, Pain Quotidien après la PRJ belge pour les actifs US). </w:t>
      </w:r>
      <w:r w:rsidRPr="004E5E9A">
        <w:rPr>
          <w:rFonts w:ascii="Times New Roman" w:hAnsi="Times New Roman"/>
          <w:sz w:val="24"/>
        </w:rPr>
        <w:t xml:space="preserve">Le test </w:t>
      </w:r>
      <w:r>
        <w:rPr>
          <w:rFonts w:ascii="Times New Roman" w:hAnsi="Times New Roman"/>
          <w:sz w:val="24"/>
        </w:rPr>
        <w:t xml:space="preserve">alors </w:t>
      </w:r>
      <w:r w:rsidRPr="004E5E9A">
        <w:rPr>
          <w:rFonts w:ascii="Times New Roman" w:hAnsi="Times New Roman"/>
          <w:sz w:val="24"/>
        </w:rPr>
        <w:t>utilisé est celui du « </w:t>
      </w:r>
      <w:r w:rsidRPr="004E5E9A">
        <w:rPr>
          <w:rFonts w:ascii="Times New Roman" w:hAnsi="Times New Roman"/>
          <w:i/>
          <w:sz w:val="24"/>
        </w:rPr>
        <w:t>Sound business purpose</w:t>
      </w:r>
      <w:r>
        <w:rPr>
          <w:rFonts w:ascii="Times New Roman" w:hAnsi="Times New Roman"/>
          <w:sz w:val="24"/>
        </w:rPr>
        <w:t> » établit</w:t>
      </w:r>
      <w:r w:rsidRPr="004E5E9A">
        <w:rPr>
          <w:rFonts w:ascii="Times New Roman" w:hAnsi="Times New Roman"/>
          <w:sz w:val="24"/>
        </w:rPr>
        <w:t xml:space="preserve"> par la Cour d’appel du 2</w:t>
      </w:r>
      <w:r w:rsidRPr="004E5E9A">
        <w:rPr>
          <w:rFonts w:ascii="Times New Roman" w:hAnsi="Times New Roman"/>
          <w:sz w:val="24"/>
          <w:vertAlign w:val="superscript"/>
        </w:rPr>
        <w:t>ème</w:t>
      </w:r>
      <w:r w:rsidRPr="004E5E9A">
        <w:rPr>
          <w:rFonts w:ascii="Times New Roman" w:hAnsi="Times New Roman"/>
          <w:sz w:val="24"/>
        </w:rPr>
        <w:t xml:space="preserve"> circuit</w:t>
      </w:r>
      <w:r>
        <w:rPr>
          <w:rStyle w:val="Appelnotedebasdep"/>
          <w:rFonts w:ascii="Times New Roman" w:hAnsi="Times New Roman"/>
          <w:sz w:val="24"/>
        </w:rPr>
        <w:footnoteReference w:id="77"/>
      </w:r>
      <w:r w:rsidRPr="004E5E9A">
        <w:rPr>
          <w:rFonts w:ascii="Times New Roman" w:hAnsi="Times New Roman"/>
          <w:sz w:val="24"/>
        </w:rPr>
        <w:t>. Ce test inclut la vérification de l’intérêt des créanciers dans la perspective de la continuité des activités du débiteur, le moment de l</w:t>
      </w:r>
      <w:r>
        <w:rPr>
          <w:rFonts w:ascii="Times New Roman" w:hAnsi="Times New Roman"/>
          <w:sz w:val="24"/>
        </w:rPr>
        <w:t>a</w:t>
      </w:r>
      <w:r w:rsidRPr="004E5E9A">
        <w:rPr>
          <w:rFonts w:ascii="Times New Roman" w:hAnsi="Times New Roman"/>
          <w:sz w:val="24"/>
        </w:rPr>
        <w:t xml:space="preserve"> </w:t>
      </w:r>
      <w:r>
        <w:rPr>
          <w:rFonts w:ascii="Times New Roman" w:hAnsi="Times New Roman"/>
          <w:sz w:val="24"/>
        </w:rPr>
        <w:t>v</w:t>
      </w:r>
      <w:r w:rsidRPr="004E5E9A">
        <w:rPr>
          <w:rFonts w:ascii="Times New Roman" w:hAnsi="Times New Roman"/>
          <w:sz w:val="24"/>
        </w:rPr>
        <w:t>ente et les facteurs qui augmenteraient ou diminueraient la valeur de cet actif pour conclure ou non que le prix de vente satisfait à l’intérêt fiduciaire des créanciers et dans la perspective d’un plan global. La Cour peut aussi considérer que le désintéressement de créanciers sécurisés par cette vente satisfait à la poursuite du plan.</w:t>
      </w:r>
    </w:p>
    <w:p w:rsidR="008064D7" w:rsidRDefault="008064D7" w:rsidP="00DD2C17">
      <w:pPr>
        <w:pStyle w:val="Paragraphedeliste"/>
        <w:spacing w:line="240" w:lineRule="auto"/>
        <w:ind w:left="786"/>
        <w:rPr>
          <w:rFonts w:ascii="Times New Roman" w:hAnsi="Times New Roman"/>
          <w:sz w:val="24"/>
        </w:rPr>
      </w:pPr>
    </w:p>
    <w:p w:rsidR="008064D7" w:rsidRPr="006403C9" w:rsidRDefault="008064D7" w:rsidP="006403C9">
      <w:pPr>
        <w:pStyle w:val="Paragraphedeliste"/>
        <w:spacing w:line="240" w:lineRule="auto"/>
        <w:ind w:left="786"/>
        <w:rPr>
          <w:rFonts w:ascii="Times New Roman" w:hAnsi="Times New Roman"/>
          <w:sz w:val="24"/>
        </w:rPr>
      </w:pPr>
      <w:r>
        <w:rPr>
          <w:rFonts w:ascii="Times New Roman" w:hAnsi="Times New Roman"/>
          <w:sz w:val="24"/>
        </w:rPr>
        <w:t>Ce test est plus précis encore si la vente intervient dans le cadre du plan et notamment inclut cette fois le test cynique : est-ce qu’il existe un risque en n’autorisant pas la vente que « </w:t>
      </w:r>
      <w:r>
        <w:rPr>
          <w:rFonts w:ascii="Times New Roman" w:hAnsi="Times New Roman"/>
          <w:i/>
          <w:sz w:val="24"/>
        </w:rPr>
        <w:t>le patient meurt sur la table »</w:t>
      </w:r>
      <w:r>
        <w:rPr>
          <w:rFonts w:ascii="Times New Roman" w:hAnsi="Times New Roman"/>
          <w:sz w:val="24"/>
        </w:rPr>
        <w:t>, c’est-à-dire, es</w:t>
      </w:r>
      <w:r w:rsidR="00D46BC0">
        <w:rPr>
          <w:rFonts w:ascii="Times New Roman" w:hAnsi="Times New Roman"/>
          <w:sz w:val="24"/>
        </w:rPr>
        <w:t>t-ce</w:t>
      </w:r>
      <w:r>
        <w:rPr>
          <w:rFonts w:ascii="Times New Roman" w:hAnsi="Times New Roman"/>
          <w:sz w:val="24"/>
        </w:rPr>
        <w:t xml:space="preserve"> que la valeur obtenue en </w:t>
      </w:r>
      <w:r w:rsidRPr="007C17D3">
        <w:rPr>
          <w:rFonts w:ascii="Times New Roman" w:hAnsi="Times New Roman"/>
          <w:i/>
          <w:sz w:val="24"/>
        </w:rPr>
        <w:t>Chapter 7</w:t>
      </w:r>
      <w:r>
        <w:rPr>
          <w:rFonts w:ascii="Times New Roman" w:hAnsi="Times New Roman"/>
          <w:sz w:val="24"/>
        </w:rPr>
        <w:t xml:space="preserve"> serait inférieure</w:t>
      </w:r>
      <w:r>
        <w:rPr>
          <w:rStyle w:val="Appelnotedebasdep"/>
          <w:rFonts w:ascii="Times New Roman" w:hAnsi="Times New Roman"/>
          <w:sz w:val="24"/>
        </w:rPr>
        <w:footnoteReference w:id="78"/>
      </w:r>
      <w:r>
        <w:rPr>
          <w:rFonts w:ascii="Times New Roman" w:hAnsi="Times New Roman"/>
          <w:sz w:val="24"/>
        </w:rPr>
        <w:t xml:space="preserve">.  </w:t>
      </w:r>
      <w:r w:rsidRPr="006403C9">
        <w:rPr>
          <w:rFonts w:ascii="Times New Roman" w:hAnsi="Times New Roman"/>
          <w:sz w:val="24"/>
        </w:rPr>
        <w:t>Il faut donc équilibrer la vitesse de réalisation et donc la valeur obtenue avec la nécessité ou l’utilité de production de preuve qui permettrait d’approuver un plan complet.</w:t>
      </w:r>
    </w:p>
    <w:p w:rsidR="008064D7" w:rsidRDefault="008064D7" w:rsidP="00DD2C17">
      <w:pPr>
        <w:pStyle w:val="Paragraphedeliste"/>
        <w:spacing w:line="240" w:lineRule="auto"/>
        <w:ind w:left="786"/>
        <w:rPr>
          <w:rFonts w:ascii="Times New Roman" w:hAnsi="Times New Roman"/>
          <w:sz w:val="24"/>
        </w:rPr>
      </w:pPr>
    </w:p>
    <w:p w:rsidR="008064D7" w:rsidRDefault="008064D7" w:rsidP="00DD2C17">
      <w:pPr>
        <w:pStyle w:val="Paragraphedeliste"/>
        <w:spacing w:line="240" w:lineRule="auto"/>
        <w:ind w:left="786"/>
        <w:rPr>
          <w:rFonts w:ascii="Times New Roman" w:hAnsi="Times New Roman"/>
          <w:sz w:val="24"/>
        </w:rPr>
      </w:pPr>
      <w:r>
        <w:rPr>
          <w:rFonts w:ascii="Times New Roman" w:hAnsi="Times New Roman"/>
          <w:sz w:val="24"/>
        </w:rPr>
        <w:lastRenderedPageBreak/>
        <w:t>La valeur est fixée au jour du jugement en cause</w:t>
      </w:r>
      <w:r>
        <w:rPr>
          <w:rStyle w:val="Appelnotedebasdep"/>
          <w:rFonts w:ascii="Times New Roman" w:hAnsi="Times New Roman"/>
          <w:sz w:val="24"/>
        </w:rPr>
        <w:footnoteReference w:id="79"/>
      </w:r>
      <w:r>
        <w:rPr>
          <w:rFonts w:ascii="Times New Roman" w:hAnsi="Times New Roman"/>
          <w:sz w:val="24"/>
        </w:rPr>
        <w:t>.</w:t>
      </w:r>
    </w:p>
    <w:p w:rsidR="008064D7" w:rsidRDefault="008064D7" w:rsidP="00DD2C17">
      <w:pPr>
        <w:pStyle w:val="Paragraphedeliste"/>
        <w:spacing w:line="240" w:lineRule="auto"/>
        <w:ind w:left="786"/>
        <w:rPr>
          <w:rFonts w:ascii="Times New Roman" w:hAnsi="Times New Roman"/>
          <w:sz w:val="24"/>
        </w:rPr>
      </w:pPr>
    </w:p>
    <w:p w:rsidR="008064D7" w:rsidRDefault="008064D7" w:rsidP="00DD2C17">
      <w:pPr>
        <w:pStyle w:val="Paragraphedeliste"/>
        <w:spacing w:line="240" w:lineRule="auto"/>
        <w:ind w:left="786"/>
        <w:rPr>
          <w:rFonts w:ascii="Times New Roman" w:hAnsi="Times New Roman"/>
          <w:sz w:val="24"/>
        </w:rPr>
      </w:pPr>
      <w:r>
        <w:rPr>
          <w:rFonts w:ascii="Times New Roman" w:hAnsi="Times New Roman"/>
          <w:sz w:val="24"/>
        </w:rPr>
        <w:t xml:space="preserve">Une des </w:t>
      </w:r>
      <w:r w:rsidR="00D46BC0">
        <w:rPr>
          <w:rFonts w:ascii="Times New Roman" w:hAnsi="Times New Roman"/>
          <w:sz w:val="24"/>
        </w:rPr>
        <w:t>questions,</w:t>
      </w:r>
      <w:r>
        <w:rPr>
          <w:rFonts w:ascii="Times New Roman" w:hAnsi="Times New Roman"/>
          <w:sz w:val="24"/>
        </w:rPr>
        <w:t xml:space="preserve"> en lien avec la valeur et examinées par la jurisprudence</w:t>
      </w:r>
      <w:r w:rsidR="00D46BC0">
        <w:rPr>
          <w:rFonts w:ascii="Times New Roman" w:hAnsi="Times New Roman"/>
          <w:sz w:val="24"/>
        </w:rPr>
        <w:t>,</w:t>
      </w:r>
      <w:r>
        <w:rPr>
          <w:rFonts w:ascii="Times New Roman" w:hAnsi="Times New Roman"/>
          <w:sz w:val="24"/>
        </w:rPr>
        <w:t xml:space="preserve"> est celle de la possibilité de vendre une partie très substantielle des actifs ou la totalité de ceux-ci sans plan. La section 363 (b) autorise</w:t>
      </w:r>
      <w:r w:rsidR="00D46BC0">
        <w:rPr>
          <w:rFonts w:ascii="Times New Roman" w:hAnsi="Times New Roman"/>
          <w:sz w:val="24"/>
        </w:rPr>
        <w:t xml:space="preserve"> en effet</w:t>
      </w:r>
      <w:r>
        <w:rPr>
          <w:rFonts w:ascii="Times New Roman" w:hAnsi="Times New Roman"/>
          <w:sz w:val="24"/>
        </w:rPr>
        <w:t xml:space="preserve"> le juge de la faillite à l’autoriser soit en raison de l’urgence</w:t>
      </w:r>
      <w:r>
        <w:rPr>
          <w:rStyle w:val="Appelnotedebasdep"/>
          <w:rFonts w:ascii="Times New Roman" w:hAnsi="Times New Roman"/>
          <w:sz w:val="24"/>
        </w:rPr>
        <w:footnoteReference w:id="80"/>
      </w:r>
      <w:r w:rsidR="00D46BC0">
        <w:rPr>
          <w:rFonts w:ascii="Times New Roman" w:hAnsi="Times New Roman"/>
          <w:sz w:val="24"/>
        </w:rPr>
        <w:t>,</w:t>
      </w:r>
      <w:r>
        <w:rPr>
          <w:rFonts w:ascii="Times New Roman" w:hAnsi="Times New Roman"/>
          <w:sz w:val="24"/>
        </w:rPr>
        <w:t xml:space="preserve"> ou du risque de dépérissement, ces conditions devant être prouvées plus strictement qu’en cas de vente d’actifs non-substantiels. Le juge possède cependant un pouvoir assez discrétionnaire en pouvant admettre un prix plus bas</w:t>
      </w:r>
      <w:r>
        <w:rPr>
          <w:rStyle w:val="Appelnotedebasdep"/>
          <w:rFonts w:ascii="Times New Roman" w:hAnsi="Times New Roman"/>
          <w:sz w:val="24"/>
        </w:rPr>
        <w:footnoteReference w:id="81"/>
      </w:r>
      <w:r>
        <w:rPr>
          <w:rFonts w:ascii="Times New Roman" w:hAnsi="Times New Roman"/>
          <w:sz w:val="24"/>
        </w:rPr>
        <w:t xml:space="preserve">. Cette autorisation demandée avant la confirmation du plan, c’est-à-dire, sans la disclosure des confirmations, les </w:t>
      </w:r>
      <w:r w:rsidRPr="007C17D3">
        <w:rPr>
          <w:rFonts w:ascii="Times New Roman" w:hAnsi="Times New Roman"/>
          <w:i/>
          <w:sz w:val="24"/>
        </w:rPr>
        <w:t>hearing</w:t>
      </w:r>
      <w:r>
        <w:rPr>
          <w:rFonts w:ascii="Times New Roman" w:hAnsi="Times New Roman"/>
          <w:sz w:val="24"/>
        </w:rPr>
        <w:t xml:space="preserve"> sur la valeur, le vote et la vérification par le juge des valeurs a poussé les juges à fixer des règles : si la vente est indiquée au plan, il faudrait attendre son adoption</w:t>
      </w:r>
      <w:r>
        <w:rPr>
          <w:rStyle w:val="Appelnotedebasdep"/>
          <w:rFonts w:ascii="Times New Roman" w:hAnsi="Times New Roman"/>
          <w:sz w:val="24"/>
        </w:rPr>
        <w:footnoteReference w:id="82"/>
      </w:r>
      <w:r>
        <w:rPr>
          <w:rFonts w:ascii="Times New Roman" w:hAnsi="Times New Roman"/>
          <w:sz w:val="24"/>
        </w:rPr>
        <w:t>. Par contre, si le prix est « </w:t>
      </w:r>
      <w:r>
        <w:rPr>
          <w:rFonts w:ascii="Times New Roman" w:hAnsi="Times New Roman"/>
          <w:i/>
          <w:sz w:val="24"/>
        </w:rPr>
        <w:t>adéquat »</w:t>
      </w:r>
      <w:r>
        <w:rPr>
          <w:rFonts w:ascii="Times New Roman" w:hAnsi="Times New Roman"/>
          <w:sz w:val="24"/>
        </w:rPr>
        <w:t xml:space="preserve"> et la vente faite de bonne foi, cela devrait être possible</w:t>
      </w:r>
      <w:r>
        <w:rPr>
          <w:rStyle w:val="Appelnotedebasdep"/>
          <w:rFonts w:ascii="Times New Roman" w:hAnsi="Times New Roman"/>
          <w:sz w:val="24"/>
        </w:rPr>
        <w:footnoteReference w:id="83"/>
      </w:r>
      <w:r>
        <w:rPr>
          <w:rFonts w:ascii="Times New Roman" w:hAnsi="Times New Roman"/>
          <w:sz w:val="24"/>
        </w:rPr>
        <w:t xml:space="preserve"> à la condition de </w:t>
      </w:r>
      <w:r>
        <w:rPr>
          <w:rFonts w:ascii="Times New Roman" w:hAnsi="Times New Roman"/>
          <w:sz w:val="24"/>
          <w:u w:val="single"/>
        </w:rPr>
        <w:t>maximaliser</w:t>
      </w:r>
      <w:r>
        <w:rPr>
          <w:rFonts w:ascii="Times New Roman" w:hAnsi="Times New Roman"/>
          <w:sz w:val="24"/>
        </w:rPr>
        <w:t xml:space="preserve"> la valeur</w:t>
      </w:r>
      <w:r>
        <w:rPr>
          <w:rStyle w:val="Appelnotedebasdep"/>
          <w:rFonts w:ascii="Times New Roman" w:hAnsi="Times New Roman"/>
          <w:sz w:val="24"/>
        </w:rPr>
        <w:footnoteReference w:id="84"/>
      </w:r>
      <w:r>
        <w:rPr>
          <w:rFonts w:ascii="Times New Roman" w:hAnsi="Times New Roman"/>
          <w:sz w:val="24"/>
        </w:rPr>
        <w:t>.</w:t>
      </w:r>
    </w:p>
    <w:p w:rsidR="008064D7" w:rsidRDefault="008064D7" w:rsidP="00DD2C17">
      <w:pPr>
        <w:pStyle w:val="Paragraphedeliste"/>
        <w:spacing w:line="240" w:lineRule="auto"/>
        <w:ind w:left="786"/>
        <w:rPr>
          <w:rFonts w:ascii="Times New Roman" w:hAnsi="Times New Roman"/>
          <w:sz w:val="24"/>
        </w:rPr>
      </w:pPr>
    </w:p>
    <w:p w:rsidR="008064D7" w:rsidRPr="00601DBE" w:rsidRDefault="008064D7" w:rsidP="004547C3">
      <w:pPr>
        <w:pStyle w:val="Paragraphedeliste"/>
        <w:spacing w:line="240" w:lineRule="auto"/>
        <w:ind w:left="786"/>
        <w:rPr>
          <w:rFonts w:ascii="Times New Roman" w:hAnsi="Times New Roman"/>
          <w:sz w:val="24"/>
        </w:rPr>
      </w:pPr>
      <w:r>
        <w:rPr>
          <w:rFonts w:ascii="Times New Roman" w:hAnsi="Times New Roman"/>
          <w:sz w:val="24"/>
        </w:rPr>
        <w:t>Lorsqu’une cession d’actifs intervient sous la section 363, le juge demandera souvent la mise en œuvre d’une procédure ouverte d’adjudication sur base d’une « </w:t>
      </w:r>
      <w:r>
        <w:rPr>
          <w:rFonts w:ascii="Times New Roman" w:hAnsi="Times New Roman"/>
          <w:i/>
          <w:sz w:val="24"/>
        </w:rPr>
        <w:t>stalking horse »</w:t>
      </w:r>
      <w:r>
        <w:rPr>
          <w:rStyle w:val="Appelnotedebasdep"/>
          <w:rFonts w:ascii="Times New Roman" w:hAnsi="Times New Roman"/>
          <w:i/>
          <w:sz w:val="24"/>
        </w:rPr>
        <w:footnoteReference w:id="85"/>
      </w:r>
      <w:r w:rsidR="00D46BC0">
        <w:rPr>
          <w:rFonts w:ascii="Times New Roman" w:hAnsi="Times New Roman"/>
          <w:i/>
          <w:sz w:val="24"/>
        </w:rPr>
        <w:t>,</w:t>
      </w:r>
      <w:r>
        <w:rPr>
          <w:rFonts w:ascii="Times New Roman" w:hAnsi="Times New Roman"/>
          <w:sz w:val="24"/>
        </w:rPr>
        <w:t xml:space="preserve">  c’est-à-dire, </w:t>
      </w:r>
      <w:r w:rsidR="00D46BC0">
        <w:rPr>
          <w:rFonts w:ascii="Times New Roman" w:hAnsi="Times New Roman"/>
          <w:sz w:val="24"/>
        </w:rPr>
        <w:t xml:space="preserve">ouverte sur d’autres candidats sur base </w:t>
      </w:r>
      <w:r>
        <w:rPr>
          <w:rFonts w:ascii="Times New Roman" w:hAnsi="Times New Roman"/>
          <w:sz w:val="24"/>
        </w:rPr>
        <w:t>d’offres remises par les premiers amateurs qui auront eu plus de temps pour conduire une diligence avec certaines garanties comme le remboursement des frais et un honoraire pour l’offre si, pour finir, ils ne sont pas les plus offrants. Cette méthode donne à l’actif une valeur de marché « </w:t>
      </w:r>
      <w:r>
        <w:rPr>
          <w:rFonts w:ascii="Times New Roman" w:hAnsi="Times New Roman"/>
          <w:i/>
          <w:sz w:val="24"/>
        </w:rPr>
        <w:t>relative »</w:t>
      </w:r>
      <w:r>
        <w:rPr>
          <w:rFonts w:ascii="Times New Roman" w:hAnsi="Times New Roman"/>
          <w:sz w:val="24"/>
        </w:rPr>
        <w:t xml:space="preserve"> </w:t>
      </w:r>
      <w:r>
        <w:rPr>
          <w:rStyle w:val="Appelnotedebasdep"/>
          <w:rFonts w:ascii="Times New Roman" w:hAnsi="Times New Roman"/>
          <w:sz w:val="24"/>
        </w:rPr>
        <w:footnoteReference w:id="86"/>
      </w:r>
      <w:r>
        <w:rPr>
          <w:rFonts w:ascii="Times New Roman" w:hAnsi="Times New Roman"/>
          <w:sz w:val="24"/>
        </w:rPr>
        <w:t xml:space="preserve"> </w:t>
      </w:r>
      <w:r>
        <w:rPr>
          <w:rStyle w:val="Appelnotedebasdep"/>
          <w:rFonts w:ascii="Times New Roman" w:hAnsi="Times New Roman"/>
          <w:sz w:val="24"/>
        </w:rPr>
        <w:footnoteReference w:id="87"/>
      </w:r>
      <w:r>
        <w:rPr>
          <w:rFonts w:ascii="Times New Roman" w:hAnsi="Times New Roman"/>
          <w:sz w:val="24"/>
        </w:rPr>
        <w:t>.</w:t>
      </w:r>
    </w:p>
    <w:p w:rsidR="008064D7" w:rsidRDefault="008064D7" w:rsidP="00DD2C17">
      <w:pPr>
        <w:pStyle w:val="Paragraphedeliste"/>
        <w:spacing w:line="240" w:lineRule="auto"/>
        <w:ind w:left="786"/>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doctrine économique européenne</w:t>
      </w:r>
      <w:r>
        <w:rPr>
          <w:rStyle w:val="Appelnotedebasdep"/>
          <w:rFonts w:ascii="Times New Roman" w:hAnsi="Times New Roman"/>
          <w:sz w:val="24"/>
          <w:u w:val="single"/>
        </w:rPr>
        <w:footnoteReference w:id="88"/>
      </w:r>
      <w:r>
        <w:rPr>
          <w:rFonts w:ascii="Times New Roman" w:hAnsi="Times New Roman"/>
          <w:sz w:val="24"/>
        </w:rPr>
        <w:t xml:space="preserve"> a aussi étudié les différentes approches de la valeur d’un actif immobilier, d’usine ou d’équipement au départ de la différence entre la valeur comptable de ces actifs et la valeur attribuée par les juridictions. </w:t>
      </w:r>
    </w:p>
    <w:p w:rsidR="008064D7" w:rsidRDefault="008064D7" w:rsidP="00A37AC3">
      <w:pPr>
        <w:pStyle w:val="Paragraphedeliste"/>
        <w:spacing w:line="240" w:lineRule="auto"/>
        <w:ind w:left="786"/>
        <w:rPr>
          <w:rFonts w:ascii="Times New Roman" w:hAnsi="Times New Roman"/>
          <w:sz w:val="24"/>
          <w:u w:val="single"/>
        </w:rPr>
      </w:pPr>
    </w:p>
    <w:p w:rsidR="008064D7" w:rsidRPr="00F21760" w:rsidRDefault="008064D7" w:rsidP="00A37AC3">
      <w:pPr>
        <w:pStyle w:val="Paragraphedeliste"/>
        <w:spacing w:line="240" w:lineRule="auto"/>
        <w:ind w:left="786"/>
        <w:rPr>
          <w:rFonts w:ascii="Times New Roman" w:hAnsi="Times New Roman"/>
          <w:sz w:val="24"/>
        </w:rPr>
      </w:pPr>
      <w:r>
        <w:rPr>
          <w:rFonts w:ascii="Times New Roman" w:hAnsi="Times New Roman"/>
          <w:sz w:val="24"/>
        </w:rPr>
        <w:t>Dans peu de cas, la valeur comptable a été considérée comme pertinente, la valeur estimée par les experts a souvent été retenue ou marginalement corrigée par le juge. L’étude met en évidence la nécessité pour les parties de se forger une opinion sur les évaluations ; la gestion du temps et le risque de liquidation ont un impact significatif sur la valeur, ce qui, pour l’auteur, conduit à devoir imposer, au moment de l’ouverture de la procédure, la production de rapport sur cette valeur puisque la valeur des comptes est « </w:t>
      </w:r>
      <w:r>
        <w:rPr>
          <w:rFonts w:ascii="Times New Roman" w:hAnsi="Times New Roman"/>
          <w:i/>
          <w:sz w:val="24"/>
        </w:rPr>
        <w:t>relative</w:t>
      </w:r>
      <w:r>
        <w:rPr>
          <w:rFonts w:ascii="Times New Roman" w:hAnsi="Times New Roman"/>
          <w:sz w:val="24"/>
        </w:rPr>
        <w:t> ».</w:t>
      </w:r>
    </w:p>
    <w:p w:rsidR="008064D7" w:rsidRDefault="008064D7" w:rsidP="00DD2C17">
      <w:pPr>
        <w:pStyle w:val="Paragraphedeliste"/>
        <w:spacing w:line="240" w:lineRule="auto"/>
        <w:ind w:left="786"/>
        <w:rPr>
          <w:rFonts w:ascii="Times New Roman" w:hAnsi="Times New Roman"/>
          <w:sz w:val="24"/>
          <w:u w:val="single"/>
        </w:rPr>
      </w:pPr>
    </w:p>
    <w:p w:rsidR="008064D7" w:rsidRPr="005A5A12" w:rsidRDefault="008064D7" w:rsidP="005A5A12">
      <w:pPr>
        <w:pStyle w:val="Paragraphedeliste"/>
        <w:spacing w:line="240" w:lineRule="auto"/>
        <w:ind w:left="786"/>
        <w:rPr>
          <w:rFonts w:ascii="Times New Roman" w:hAnsi="Times New Roman"/>
          <w:sz w:val="24"/>
        </w:rPr>
      </w:pPr>
      <w:r>
        <w:rPr>
          <w:rFonts w:ascii="Times New Roman" w:hAnsi="Times New Roman"/>
          <w:sz w:val="24"/>
        </w:rPr>
        <w:t xml:space="preserve">Ces valeurs de vente de gré à gré n’existent cependant pas en elles-mêmes indépendamment des contraintes de marché. Elles seront des estimations avec des fourchettes basses et hautes selon les hypothèses retenues (délai de vente, en bloc ou par morceau, …). Il faudra déduire les frais de vente et actualiser la valeur. Il faudra </w:t>
      </w:r>
      <w:r>
        <w:rPr>
          <w:rFonts w:ascii="Times New Roman" w:hAnsi="Times New Roman"/>
          <w:sz w:val="24"/>
        </w:rPr>
        <w:lastRenderedPageBreak/>
        <w:t>retenir la valeur « </w:t>
      </w:r>
      <w:r>
        <w:rPr>
          <w:rFonts w:ascii="Times New Roman" w:hAnsi="Times New Roman"/>
          <w:i/>
          <w:sz w:val="24"/>
        </w:rPr>
        <w:t>raisonnable</w:t>
      </w:r>
      <w:r>
        <w:rPr>
          <w:rFonts w:ascii="Times New Roman" w:hAnsi="Times New Roman"/>
          <w:sz w:val="24"/>
        </w:rPr>
        <w:t> », ce qui résultera d’une opinion. Reste à savoir s’il faut déduire l’impôt latent que devra payer le débiteur sur une éventuelle plus-</w:t>
      </w:r>
      <w:r w:rsidRPr="007C17D3">
        <w:rPr>
          <w:rFonts w:ascii="Times New Roman" w:hAnsi="Times New Roman"/>
          <w:i/>
          <w:sz w:val="24"/>
        </w:rPr>
        <w:t>value</w:t>
      </w:r>
      <w:r>
        <w:rPr>
          <w:rFonts w:ascii="Times New Roman" w:hAnsi="Times New Roman"/>
          <w:sz w:val="24"/>
        </w:rPr>
        <w:t xml:space="preserve"> et qui, à défaut de déduction, deviendrait un nouveau passif à charge des autres créanciers ou de l’actif du débiteur. </w:t>
      </w:r>
      <w:r w:rsidRPr="005A5A12">
        <w:rPr>
          <w:rFonts w:ascii="Times New Roman" w:hAnsi="Times New Roman"/>
          <w:sz w:val="24"/>
        </w:rPr>
        <w:t xml:space="preserve">À travers ce cas simple d’un actif corporel, on voit donc que l’évaluation est un exercice d’opinion fondé sur des hypothèses raisonnables et donc contrôlables fixant des minimas et des maximas rationnels laissés </w:t>
      </w:r>
      <w:r w:rsidRPr="005A5A12">
        <w:rPr>
          <w:rFonts w:ascii="Times New Roman" w:hAnsi="Times New Roman"/>
          <w:i/>
          <w:sz w:val="24"/>
        </w:rPr>
        <w:t>in fine</w:t>
      </w:r>
      <w:r w:rsidRPr="005A5A12">
        <w:rPr>
          <w:rFonts w:ascii="Times New Roman" w:hAnsi="Times New Roman"/>
          <w:sz w:val="24"/>
        </w:rPr>
        <w:t xml:space="preserve"> à l’appréciation du juge, du moins à défaut pour les parties de s’entendre sur ces valeurs.</w:t>
      </w:r>
    </w:p>
    <w:p w:rsidR="008064D7" w:rsidRDefault="008064D7" w:rsidP="00E204F5">
      <w:pPr>
        <w:pStyle w:val="Paragraphedeliste"/>
        <w:spacing w:line="240" w:lineRule="auto"/>
        <w:ind w:left="786"/>
        <w:rPr>
          <w:rFonts w:ascii="Times New Roman" w:hAnsi="Times New Roman"/>
          <w:sz w:val="24"/>
          <w:u w:val="single"/>
        </w:rPr>
      </w:pPr>
    </w:p>
    <w:p w:rsidR="008064D7" w:rsidRPr="006466A1" w:rsidRDefault="005518C8" w:rsidP="0030531D">
      <w:pPr>
        <w:pStyle w:val="Titre2"/>
        <w:numPr>
          <w:ilvl w:val="0"/>
          <w:numId w:val="40"/>
        </w:numPr>
        <w:rPr>
          <w:rFonts w:ascii="Times New Roman" w:hAnsi="Times New Roman" w:cs="Times New Roman"/>
        </w:rPr>
      </w:pPr>
      <w:bookmarkStart w:id="9" w:name="_Toc55407455"/>
      <w:r>
        <w:rPr>
          <w:rFonts w:ascii="Times New Roman" w:hAnsi="Times New Roman" w:cs="Times New Roman"/>
        </w:rPr>
        <w:t xml:space="preserve">La valeur des </w:t>
      </w:r>
      <w:r w:rsidR="008064D7" w:rsidRPr="006466A1">
        <w:rPr>
          <w:rFonts w:ascii="Times New Roman" w:hAnsi="Times New Roman" w:cs="Times New Roman"/>
        </w:rPr>
        <w:t xml:space="preserve">actifs </w:t>
      </w:r>
      <w:r w:rsidR="008064D7">
        <w:rPr>
          <w:rFonts w:ascii="Times New Roman" w:hAnsi="Times New Roman" w:cs="Times New Roman"/>
        </w:rPr>
        <w:t>incorporels</w:t>
      </w:r>
      <w:bookmarkEnd w:id="9"/>
    </w:p>
    <w:p w:rsidR="008064D7" w:rsidRPr="00A37AC3" w:rsidRDefault="008064D7" w:rsidP="00A37AC3">
      <w:pPr>
        <w:spacing w:line="240" w:lineRule="auto"/>
        <w:rPr>
          <w:rFonts w:ascii="Times New Roman" w:hAnsi="Times New Roman"/>
          <w:sz w:val="24"/>
          <w:u w:val="single"/>
        </w:rPr>
      </w:pPr>
    </w:p>
    <w:p w:rsidR="005518C8" w:rsidRDefault="005518C8" w:rsidP="007565AA">
      <w:pPr>
        <w:pStyle w:val="Paragraphedeliste"/>
        <w:numPr>
          <w:ilvl w:val="0"/>
          <w:numId w:val="2"/>
        </w:numPr>
        <w:spacing w:line="240" w:lineRule="auto"/>
        <w:rPr>
          <w:rFonts w:ascii="Times New Roman" w:hAnsi="Times New Roman"/>
          <w:sz w:val="24"/>
        </w:rPr>
      </w:pPr>
      <w:r w:rsidRPr="00C7567B">
        <w:rPr>
          <w:rFonts w:ascii="Times New Roman" w:hAnsi="Times New Roman"/>
          <w:sz w:val="24"/>
          <w:u w:val="single"/>
        </w:rPr>
        <w:t>Créances</w:t>
      </w:r>
      <w:r w:rsidR="008064D7">
        <w:rPr>
          <w:rFonts w:ascii="Times New Roman" w:hAnsi="Times New Roman"/>
          <w:sz w:val="24"/>
          <w:u w:val="single"/>
        </w:rPr>
        <w:t>.</w:t>
      </w:r>
      <w:r w:rsidR="008064D7">
        <w:rPr>
          <w:rFonts w:ascii="Times New Roman" w:hAnsi="Times New Roman"/>
          <w:sz w:val="24"/>
        </w:rPr>
        <w:t xml:space="preserve"> S’agissant de l’évaluation des créances sur des sociétés liées, elles-mêmes en procédure de restructuration, il ne semble pas raisonnable de soutenir que l’évaluation </w:t>
      </w:r>
      <w:r w:rsidR="008064D7" w:rsidRPr="007C17D3">
        <w:rPr>
          <w:rFonts w:ascii="Times New Roman" w:hAnsi="Times New Roman"/>
          <w:i/>
          <w:sz w:val="24"/>
        </w:rPr>
        <w:t>Going-concern</w:t>
      </w:r>
      <w:r w:rsidR="008064D7" w:rsidRPr="006D0F3D">
        <w:rPr>
          <w:rFonts w:ascii="Times New Roman" w:hAnsi="Times New Roman"/>
          <w:i/>
          <w:sz w:val="24"/>
        </w:rPr>
        <w:t xml:space="preserve"> </w:t>
      </w:r>
      <w:r w:rsidR="008064D7">
        <w:rPr>
          <w:rFonts w:ascii="Times New Roman" w:hAnsi="Times New Roman"/>
          <w:sz w:val="24"/>
        </w:rPr>
        <w:t>se ferait seulement sur base de la valeur nominale basée sur l’hypothèse que la société débitrice poursuivrait sa vie « </w:t>
      </w:r>
      <w:r w:rsidR="008064D7">
        <w:rPr>
          <w:rFonts w:ascii="Times New Roman" w:hAnsi="Times New Roman"/>
          <w:i/>
          <w:sz w:val="24"/>
        </w:rPr>
        <w:t>normalement »</w:t>
      </w:r>
      <w:r w:rsidR="008064D7">
        <w:rPr>
          <w:rFonts w:ascii="Times New Roman" w:hAnsi="Times New Roman"/>
          <w:sz w:val="24"/>
        </w:rPr>
        <w:t xml:space="preserve">.  </w:t>
      </w:r>
    </w:p>
    <w:p w:rsidR="005518C8" w:rsidRDefault="005518C8" w:rsidP="005518C8">
      <w:pPr>
        <w:pStyle w:val="Paragraphedeliste"/>
        <w:spacing w:line="240" w:lineRule="auto"/>
        <w:ind w:left="786"/>
        <w:rPr>
          <w:rFonts w:ascii="Times New Roman" w:hAnsi="Times New Roman"/>
          <w:sz w:val="24"/>
          <w:u w:val="single"/>
        </w:rPr>
      </w:pPr>
    </w:p>
    <w:p w:rsidR="008064D7" w:rsidRDefault="008064D7" w:rsidP="005518C8">
      <w:pPr>
        <w:pStyle w:val="Paragraphedeliste"/>
        <w:spacing w:line="240" w:lineRule="auto"/>
        <w:ind w:left="786"/>
        <w:rPr>
          <w:rFonts w:ascii="Times New Roman" w:hAnsi="Times New Roman"/>
          <w:sz w:val="24"/>
        </w:rPr>
      </w:pPr>
      <w:r w:rsidRPr="00C7567B">
        <w:rPr>
          <w:rFonts w:ascii="Times New Roman" w:hAnsi="Times New Roman"/>
          <w:sz w:val="24"/>
        </w:rPr>
        <w:t>Il faudrait donc, dans ce cas, présenter et é</w:t>
      </w:r>
      <w:r w:rsidRPr="007C17D3">
        <w:rPr>
          <w:rFonts w:ascii="Times New Roman" w:hAnsi="Times New Roman"/>
          <w:i/>
          <w:sz w:val="24"/>
        </w:rPr>
        <w:t>value</w:t>
      </w:r>
      <w:r w:rsidRPr="00C7567B">
        <w:rPr>
          <w:rFonts w:ascii="Times New Roman" w:hAnsi="Times New Roman"/>
          <w:sz w:val="24"/>
        </w:rPr>
        <w:t>r les scénarios qui vont être mis en œuvre dans la procédure de restructuration, tant sur le plan économique que financier</w:t>
      </w:r>
      <w:r>
        <w:rPr>
          <w:rFonts w:ascii="Times New Roman" w:hAnsi="Times New Roman"/>
          <w:sz w:val="24"/>
        </w:rPr>
        <w:t xml:space="preserve"> du débiteur, pour apprécier si, </w:t>
      </w:r>
      <w:r w:rsidRPr="00C7567B">
        <w:rPr>
          <w:rFonts w:ascii="Times New Roman" w:hAnsi="Times New Roman"/>
          <w:sz w:val="24"/>
        </w:rPr>
        <w:t>dans le meilleur scénario possible, cette créance resterait recouvrable</w:t>
      </w:r>
      <w:r>
        <w:rPr>
          <w:rFonts w:ascii="Times New Roman" w:hAnsi="Times New Roman"/>
          <w:sz w:val="24"/>
        </w:rPr>
        <w:t xml:space="preserve"> et si oui, à </w:t>
      </w:r>
      <w:r w:rsidRPr="00EE1371">
        <w:rPr>
          <w:rFonts w:ascii="Times New Roman" w:hAnsi="Times New Roman"/>
          <w:sz w:val="24"/>
        </w:rPr>
        <w:t>hauteur de quel pourcentage. Cette évaluation prêtera le flanc à la critique dès lors que le débiteur redevable de cette</w:t>
      </w:r>
      <w:r w:rsidRPr="00C7567B">
        <w:rPr>
          <w:rFonts w:ascii="Times New Roman" w:hAnsi="Times New Roman"/>
          <w:sz w:val="24"/>
        </w:rPr>
        <w:t xml:space="preserve"> créance risque </w:t>
      </w:r>
      <w:r>
        <w:rPr>
          <w:rFonts w:ascii="Times New Roman" w:hAnsi="Times New Roman"/>
          <w:sz w:val="24"/>
        </w:rPr>
        <w:t>de présenter des scénarios qui seront eux-mêmes à é</w:t>
      </w:r>
      <w:r w:rsidRPr="007C17D3">
        <w:rPr>
          <w:rFonts w:ascii="Times New Roman" w:hAnsi="Times New Roman"/>
          <w:i/>
          <w:sz w:val="24"/>
        </w:rPr>
        <w:t>value</w:t>
      </w:r>
      <w:r>
        <w:rPr>
          <w:rFonts w:ascii="Times New Roman" w:hAnsi="Times New Roman"/>
          <w:sz w:val="24"/>
        </w:rPr>
        <w:t>r</w:t>
      </w:r>
      <w:r w:rsidRPr="00C7567B">
        <w:rPr>
          <w:rFonts w:ascii="Times New Roman" w:hAnsi="Times New Roman"/>
          <w:sz w:val="24"/>
        </w:rPr>
        <w:t>.</w:t>
      </w:r>
    </w:p>
    <w:p w:rsidR="008064D7" w:rsidRPr="00C7567B" w:rsidRDefault="008064D7" w:rsidP="00C7567B">
      <w:pPr>
        <w:pStyle w:val="Paragraphedeliste"/>
        <w:rPr>
          <w:rFonts w:ascii="Times New Roman" w:hAnsi="Times New Roman"/>
          <w:sz w:val="24"/>
        </w:rPr>
      </w:pPr>
    </w:p>
    <w:p w:rsidR="008064D7" w:rsidRDefault="008064D7" w:rsidP="005518C8">
      <w:pPr>
        <w:pStyle w:val="Paragraphedeliste"/>
        <w:spacing w:line="240" w:lineRule="auto"/>
        <w:ind w:left="786"/>
        <w:rPr>
          <w:rFonts w:ascii="Times New Roman" w:hAnsi="Times New Roman"/>
          <w:sz w:val="24"/>
        </w:rPr>
      </w:pPr>
      <w:r>
        <w:rPr>
          <w:rFonts w:ascii="Times New Roman" w:hAnsi="Times New Roman"/>
          <w:sz w:val="24"/>
        </w:rPr>
        <w:t xml:space="preserve">S’agissant de créances contre des tiers ou contre des sociétés liées, elles devront être évaluées sur base du risque concret de non-paiement. </w:t>
      </w:r>
      <w:r w:rsidRPr="005518C8">
        <w:rPr>
          <w:rFonts w:ascii="Times New Roman" w:hAnsi="Times New Roman"/>
          <w:sz w:val="24"/>
        </w:rPr>
        <w:t>Cette évaluation prendra en compte des ratios, des statistiques, des hypothèses et se fondera sur une opinion. Il faudra appréhender tous les éléments qui sont susceptibles d’affecter cette valeur : la compensation. La créance est-elle légalement compensable avec une dette comme c’est le cas en matière de TVA ou avec des dettes étatiques, des garanties attachées – réserve de propriété, gage sur créance spécifique, … - des couvertures - factoring, assurance-crédit, la valeur des garanties s</w:t>
      </w:r>
      <w:r w:rsidR="005518C8">
        <w:rPr>
          <w:rFonts w:ascii="Times New Roman" w:hAnsi="Times New Roman"/>
          <w:sz w:val="24"/>
        </w:rPr>
        <w:t>péciales attachées aux créances</w:t>
      </w:r>
      <w:r w:rsidRPr="005518C8">
        <w:rPr>
          <w:rFonts w:ascii="Times New Roman" w:hAnsi="Times New Roman"/>
          <w:sz w:val="24"/>
        </w:rPr>
        <w:t>.</w:t>
      </w:r>
    </w:p>
    <w:p w:rsidR="005518C8" w:rsidRPr="005518C8" w:rsidRDefault="005518C8" w:rsidP="005518C8">
      <w:pPr>
        <w:pStyle w:val="Paragraphedeliste"/>
        <w:spacing w:line="240" w:lineRule="auto"/>
        <w:ind w:left="786"/>
        <w:rPr>
          <w:rFonts w:ascii="Times New Roman" w:hAnsi="Times New Roman"/>
          <w:sz w:val="24"/>
        </w:rPr>
      </w:pPr>
    </w:p>
    <w:p w:rsidR="008064D7" w:rsidRPr="006466A1" w:rsidRDefault="008064D7" w:rsidP="0030531D">
      <w:pPr>
        <w:pStyle w:val="Titre2"/>
        <w:numPr>
          <w:ilvl w:val="0"/>
          <w:numId w:val="40"/>
        </w:numPr>
        <w:rPr>
          <w:rFonts w:ascii="Times New Roman" w:hAnsi="Times New Roman" w:cs="Times New Roman"/>
        </w:rPr>
      </w:pPr>
      <w:bookmarkStart w:id="10" w:name="_Toc55407456"/>
      <w:r>
        <w:rPr>
          <w:rFonts w:ascii="Times New Roman" w:hAnsi="Times New Roman" w:cs="Times New Roman"/>
        </w:rPr>
        <w:t>Propriété intellectuelle</w:t>
      </w:r>
      <w:bookmarkEnd w:id="10"/>
    </w:p>
    <w:p w:rsidR="008064D7" w:rsidRDefault="008064D7" w:rsidP="009F3D77">
      <w:pPr>
        <w:spacing w:line="240" w:lineRule="auto"/>
        <w:ind w:left="426"/>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Position de la question.</w:t>
      </w:r>
      <w:r>
        <w:rPr>
          <w:rFonts w:ascii="Times New Roman" w:hAnsi="Times New Roman"/>
          <w:sz w:val="24"/>
        </w:rPr>
        <w:t xml:space="preserve"> Lorsqu’il s’agit de droits encore immatériels comme la propriété intellectuelle, la valeur de réalisation dépendra d’abord de la valeur du titre qui protège ces droits (droit d’auteur, droit au brevet, dépôt de marque), notamment en cas de faillite ou dans les procédures d’insolvabilité concernée ou de l’effectivité de leur protection concrète, de leur caractère dissociable ou indissociable, du savoir-</w:t>
      </w:r>
      <w:r w:rsidRPr="007C17D3">
        <w:rPr>
          <w:rFonts w:ascii="Times New Roman" w:hAnsi="Times New Roman"/>
          <w:i/>
          <w:sz w:val="24"/>
        </w:rPr>
        <w:t>Fair</w:t>
      </w:r>
      <w:r>
        <w:rPr>
          <w:rFonts w:ascii="Times New Roman" w:hAnsi="Times New Roman"/>
          <w:sz w:val="24"/>
        </w:rPr>
        <w:t xml:space="preserve">e détenu par les personnels qui mettaient en œuvre ces droits (à peine ceci serait-il engagé par des tiers que même la propriété intellectuelle existante n’aurait pour finir qu’une valeur relative), de la cessibilité des contrats – souvent </w:t>
      </w:r>
      <w:r w:rsidRPr="006D0F3D">
        <w:rPr>
          <w:rFonts w:ascii="Times New Roman" w:hAnsi="Times New Roman"/>
          <w:i/>
          <w:sz w:val="24"/>
        </w:rPr>
        <w:t>intuitu personae</w:t>
      </w:r>
      <w:r>
        <w:rPr>
          <w:rFonts w:ascii="Times New Roman" w:hAnsi="Times New Roman"/>
          <w:sz w:val="24"/>
        </w:rPr>
        <w:t xml:space="preserve">- des risques de contrefaçon. </w:t>
      </w:r>
    </w:p>
    <w:p w:rsidR="008064D7" w:rsidRDefault="008064D7" w:rsidP="00B750C3">
      <w:pPr>
        <w:pStyle w:val="Paragraphedeliste"/>
        <w:spacing w:line="240" w:lineRule="auto"/>
        <w:ind w:left="786"/>
        <w:rPr>
          <w:rFonts w:ascii="Times New Roman" w:hAnsi="Times New Roman"/>
          <w:sz w:val="24"/>
          <w:u w:val="single"/>
        </w:rPr>
      </w:pPr>
    </w:p>
    <w:p w:rsidR="008064D7" w:rsidRDefault="008064D7" w:rsidP="0065586B">
      <w:pPr>
        <w:pStyle w:val="Paragraphedeliste"/>
        <w:numPr>
          <w:ilvl w:val="0"/>
          <w:numId w:val="2"/>
        </w:numPr>
        <w:spacing w:line="240" w:lineRule="auto"/>
        <w:rPr>
          <w:rFonts w:ascii="Times New Roman" w:hAnsi="Times New Roman"/>
          <w:sz w:val="24"/>
        </w:rPr>
      </w:pPr>
      <w:r w:rsidRPr="004300DF">
        <w:rPr>
          <w:rFonts w:ascii="Times New Roman" w:hAnsi="Times New Roman"/>
          <w:sz w:val="24"/>
          <w:u w:val="single"/>
        </w:rPr>
        <w:t>En droit Français,</w:t>
      </w:r>
      <w:r w:rsidRPr="004300DF">
        <w:rPr>
          <w:rFonts w:ascii="Times New Roman" w:hAnsi="Times New Roman"/>
          <w:sz w:val="24"/>
        </w:rPr>
        <w:t xml:space="preserve"> on se réfèrera utilement à l’ouvrage très pertinent sur la valorisation de la propriété intellectuelle dans une entreprise en difficulté</w:t>
      </w:r>
      <w:r>
        <w:rPr>
          <w:rStyle w:val="Appelnotedebasdep"/>
          <w:rFonts w:ascii="Times New Roman" w:hAnsi="Times New Roman"/>
          <w:sz w:val="24"/>
        </w:rPr>
        <w:footnoteReference w:id="89"/>
      </w:r>
      <w:r w:rsidRPr="004300DF">
        <w:rPr>
          <w:rFonts w:ascii="Times New Roman" w:hAnsi="Times New Roman"/>
          <w:sz w:val="24"/>
        </w:rPr>
        <w:t xml:space="preserve"> car le développement de cette matière dépasse le cadre de la présente contribution. </w:t>
      </w:r>
    </w:p>
    <w:p w:rsidR="008064D7" w:rsidRPr="004300DF" w:rsidRDefault="008064D7" w:rsidP="004300DF">
      <w:pPr>
        <w:spacing w:line="240" w:lineRule="auto"/>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sidRPr="005A5A12">
        <w:rPr>
          <w:rFonts w:ascii="Times New Roman" w:hAnsi="Times New Roman"/>
          <w:sz w:val="24"/>
          <w:u w:val="single"/>
        </w:rPr>
        <w:t>En droit Américain</w:t>
      </w:r>
      <w:r>
        <w:rPr>
          <w:rFonts w:ascii="Times New Roman" w:hAnsi="Times New Roman"/>
          <w:sz w:val="24"/>
        </w:rPr>
        <w:t>, l’évaluation de ces actifs non tangibles est décrite comme complexe</w:t>
      </w:r>
      <w:r>
        <w:rPr>
          <w:rStyle w:val="Appelnotedebasdep"/>
          <w:rFonts w:ascii="Times New Roman" w:hAnsi="Times New Roman"/>
          <w:sz w:val="24"/>
        </w:rPr>
        <w:footnoteReference w:id="90"/>
      </w:r>
      <w:r>
        <w:rPr>
          <w:rFonts w:ascii="Times New Roman" w:hAnsi="Times New Roman"/>
          <w:sz w:val="24"/>
        </w:rPr>
        <w:t>. Le cas de Nortel avec près de 6000 brevets est forcément intéressant puisque la vente de celles-ci à 750.000 $</w:t>
      </w:r>
      <w:r w:rsidR="005518C8">
        <w:rPr>
          <w:rFonts w:ascii="Times New Roman" w:hAnsi="Times New Roman"/>
          <w:sz w:val="24"/>
        </w:rPr>
        <w:t>,</w:t>
      </w:r>
      <w:r>
        <w:rPr>
          <w:rFonts w:ascii="Times New Roman" w:hAnsi="Times New Roman"/>
          <w:sz w:val="24"/>
        </w:rPr>
        <w:t xml:space="preserve"> chacun a rapporté 4.5 milliards</w:t>
      </w:r>
      <w:r w:rsidR="005518C8">
        <w:rPr>
          <w:rFonts w:ascii="Times New Roman" w:hAnsi="Times New Roman"/>
          <w:sz w:val="24"/>
        </w:rPr>
        <w:t>,</w:t>
      </w:r>
      <w:r>
        <w:rPr>
          <w:rFonts w:ascii="Times New Roman" w:hAnsi="Times New Roman"/>
          <w:sz w:val="24"/>
        </w:rPr>
        <w:t xml:space="preserve"> soit bien plus que l’offre originaire de Google qui offrait 950 millions de $.  Kodak ne percevait avant le </w:t>
      </w:r>
      <w:r w:rsidRPr="007C17D3">
        <w:rPr>
          <w:rFonts w:ascii="Times New Roman" w:hAnsi="Times New Roman"/>
          <w:i/>
          <w:sz w:val="24"/>
        </w:rPr>
        <w:t>Chapter 11</w:t>
      </w:r>
      <w:r>
        <w:rPr>
          <w:rFonts w:ascii="Times New Roman" w:hAnsi="Times New Roman"/>
          <w:sz w:val="24"/>
        </w:rPr>
        <w:t xml:space="preserve"> que 100 millions $ de royalties</w:t>
      </w:r>
      <w:r w:rsidR="005518C8">
        <w:rPr>
          <w:rFonts w:ascii="Times New Roman" w:hAnsi="Times New Roman"/>
          <w:sz w:val="24"/>
        </w:rPr>
        <w:t>,</w:t>
      </w:r>
      <w:r>
        <w:rPr>
          <w:rFonts w:ascii="Times New Roman" w:hAnsi="Times New Roman"/>
          <w:sz w:val="24"/>
        </w:rPr>
        <w:t xml:space="preserve"> ce qui conduisait à é</w:t>
      </w:r>
      <w:r w:rsidRPr="007C17D3">
        <w:rPr>
          <w:rFonts w:ascii="Times New Roman" w:hAnsi="Times New Roman"/>
          <w:i/>
          <w:sz w:val="24"/>
        </w:rPr>
        <w:t>value</w:t>
      </w:r>
      <w:r>
        <w:rPr>
          <w:rFonts w:ascii="Times New Roman" w:hAnsi="Times New Roman"/>
          <w:sz w:val="24"/>
        </w:rPr>
        <w:t xml:space="preserve">r son portefeuille entre 2.2 et 2.6 milliards. C’est sur base de cette valeur </w:t>
      </w:r>
      <w:r w:rsidR="005518C8">
        <w:rPr>
          <w:rFonts w:ascii="Times New Roman" w:hAnsi="Times New Roman"/>
          <w:sz w:val="24"/>
        </w:rPr>
        <w:t>réévaluée</w:t>
      </w:r>
      <w:r>
        <w:rPr>
          <w:rFonts w:ascii="Times New Roman" w:hAnsi="Times New Roman"/>
          <w:sz w:val="24"/>
        </w:rPr>
        <w:t xml:space="preserve"> après </w:t>
      </w:r>
      <w:r w:rsidRPr="007C17D3">
        <w:rPr>
          <w:rFonts w:ascii="Times New Roman" w:hAnsi="Times New Roman"/>
          <w:i/>
          <w:sz w:val="24"/>
        </w:rPr>
        <w:t>Chapter 11</w:t>
      </w:r>
      <w:r>
        <w:rPr>
          <w:rFonts w:ascii="Times New Roman" w:hAnsi="Times New Roman"/>
          <w:sz w:val="24"/>
        </w:rPr>
        <w:t xml:space="preserve"> à 3 milliards que Kodak a obtenu un </w:t>
      </w:r>
      <w:r w:rsidRPr="007C17D3">
        <w:rPr>
          <w:rFonts w:ascii="Times New Roman" w:hAnsi="Times New Roman"/>
          <w:i/>
          <w:sz w:val="24"/>
        </w:rPr>
        <w:t>DIP</w:t>
      </w:r>
      <w:r>
        <w:rPr>
          <w:rFonts w:ascii="Times New Roman" w:hAnsi="Times New Roman"/>
          <w:sz w:val="24"/>
        </w:rPr>
        <w:t xml:space="preserve"> </w:t>
      </w:r>
      <w:r w:rsidRPr="007C17D3">
        <w:rPr>
          <w:rFonts w:ascii="Times New Roman" w:hAnsi="Times New Roman"/>
          <w:i/>
          <w:sz w:val="24"/>
        </w:rPr>
        <w:t>financing</w:t>
      </w:r>
      <w:r>
        <w:rPr>
          <w:rFonts w:ascii="Times New Roman" w:hAnsi="Times New Roman"/>
          <w:sz w:val="24"/>
        </w:rPr>
        <w:t xml:space="preserve"> et a pu réussir sa procédure</w:t>
      </w:r>
      <w:r w:rsidR="005518C8">
        <w:rPr>
          <w:rFonts w:ascii="Times New Roman" w:hAnsi="Times New Roman"/>
          <w:sz w:val="24"/>
        </w:rPr>
        <w:t>.</w:t>
      </w:r>
    </w:p>
    <w:p w:rsidR="008064D7" w:rsidRPr="00E85DF7" w:rsidRDefault="008064D7" w:rsidP="00E85DF7">
      <w:pPr>
        <w:pStyle w:val="Paragraphedeliste"/>
        <w:rPr>
          <w:rFonts w:ascii="Times New Roman" w:hAnsi="Times New Roman"/>
          <w:sz w:val="24"/>
        </w:rPr>
      </w:pPr>
    </w:p>
    <w:p w:rsidR="008064D7" w:rsidRDefault="008064D7" w:rsidP="004300DF">
      <w:pPr>
        <w:pStyle w:val="Paragraphedeliste"/>
        <w:spacing w:line="240" w:lineRule="auto"/>
        <w:ind w:left="786"/>
        <w:rPr>
          <w:rFonts w:ascii="Times New Roman" w:hAnsi="Times New Roman"/>
          <w:sz w:val="24"/>
        </w:rPr>
      </w:pPr>
      <w:r>
        <w:rPr>
          <w:rFonts w:ascii="Times New Roman" w:hAnsi="Times New Roman"/>
          <w:sz w:val="24"/>
        </w:rPr>
        <w:t>Des méthodes particulières telles que l’</w:t>
      </w:r>
      <w:r w:rsidRPr="006D0F3D">
        <w:rPr>
          <w:rFonts w:ascii="Times New Roman" w:hAnsi="Times New Roman"/>
          <w:i/>
          <w:sz w:val="24"/>
        </w:rPr>
        <w:t>income approach</w:t>
      </w:r>
      <w:r>
        <w:rPr>
          <w:rFonts w:ascii="Times New Roman" w:hAnsi="Times New Roman"/>
          <w:i/>
          <w:sz w:val="24"/>
        </w:rPr>
        <w:t xml:space="preserve"> ( basée sur les revenus que va générer le droit)</w:t>
      </w:r>
      <w:r>
        <w:rPr>
          <w:rFonts w:ascii="Times New Roman" w:hAnsi="Times New Roman"/>
          <w:sz w:val="24"/>
        </w:rPr>
        <w:t>, l’</w:t>
      </w:r>
      <w:r w:rsidRPr="006D0F3D">
        <w:rPr>
          <w:rFonts w:ascii="Times New Roman" w:hAnsi="Times New Roman"/>
          <w:i/>
          <w:sz w:val="24"/>
        </w:rPr>
        <w:t>asset coast approach</w:t>
      </w:r>
      <w:r>
        <w:rPr>
          <w:rFonts w:ascii="Times New Roman" w:hAnsi="Times New Roman"/>
          <w:i/>
          <w:sz w:val="24"/>
        </w:rPr>
        <w:t>( basée sur le cout à exposer pour disposer des même droits)</w:t>
      </w:r>
      <w:r>
        <w:rPr>
          <w:rFonts w:ascii="Times New Roman" w:hAnsi="Times New Roman"/>
          <w:sz w:val="24"/>
        </w:rPr>
        <w:t xml:space="preserve">, la </w:t>
      </w:r>
      <w:r w:rsidRPr="007C17D3">
        <w:rPr>
          <w:rFonts w:ascii="Times New Roman" w:hAnsi="Times New Roman"/>
          <w:i/>
          <w:sz w:val="24"/>
        </w:rPr>
        <w:t>market</w:t>
      </w:r>
      <w:r w:rsidRPr="006D0F3D">
        <w:rPr>
          <w:rFonts w:ascii="Times New Roman" w:hAnsi="Times New Roman"/>
          <w:i/>
          <w:sz w:val="24"/>
        </w:rPr>
        <w:t xml:space="preserve"> approach</w:t>
      </w:r>
      <w:r>
        <w:rPr>
          <w:rFonts w:ascii="Times New Roman" w:hAnsi="Times New Roman"/>
          <w:sz w:val="24"/>
        </w:rPr>
        <w:t xml:space="preserve"> ( méthode des comparables) sont décrites en droit américain </w:t>
      </w:r>
      <w:r>
        <w:rPr>
          <w:rStyle w:val="Appelnotedebasdep"/>
          <w:rFonts w:ascii="Times New Roman" w:hAnsi="Times New Roman"/>
          <w:sz w:val="24"/>
        </w:rPr>
        <w:footnoteReference w:id="91"/>
      </w:r>
      <w:r>
        <w:rPr>
          <w:rFonts w:ascii="Times New Roman" w:hAnsi="Times New Roman"/>
          <w:sz w:val="24"/>
        </w:rPr>
        <w:t xml:space="preserve">selon le type d’actifs et servent de base aux décisions du juge. </w:t>
      </w:r>
    </w:p>
    <w:p w:rsidR="008064D7" w:rsidRDefault="008064D7" w:rsidP="004300DF">
      <w:pPr>
        <w:pStyle w:val="Paragraphedeliste"/>
        <w:spacing w:line="240" w:lineRule="auto"/>
        <w:ind w:left="786"/>
        <w:rPr>
          <w:rFonts w:ascii="Times New Roman" w:hAnsi="Times New Roman"/>
          <w:sz w:val="24"/>
        </w:rPr>
      </w:pPr>
    </w:p>
    <w:p w:rsidR="008064D7" w:rsidRDefault="008064D7" w:rsidP="004300DF">
      <w:pPr>
        <w:pStyle w:val="Paragraphedeliste"/>
        <w:spacing w:line="240" w:lineRule="auto"/>
        <w:ind w:left="786"/>
        <w:rPr>
          <w:rFonts w:ascii="Times New Roman" w:hAnsi="Times New Roman"/>
          <w:sz w:val="24"/>
        </w:rPr>
      </w:pPr>
      <w:r>
        <w:rPr>
          <w:rFonts w:ascii="Times New Roman" w:hAnsi="Times New Roman"/>
          <w:sz w:val="24"/>
        </w:rPr>
        <w:t xml:space="preserve">La valeur de liquidation est calculée sur une décote entre 30 et 90 </w:t>
      </w:r>
      <w:r w:rsidR="005518C8">
        <w:rPr>
          <w:rFonts w:ascii="Times New Roman" w:hAnsi="Times New Roman"/>
          <w:sz w:val="24"/>
        </w:rPr>
        <w:t>%. L</w:t>
      </w:r>
      <w:r>
        <w:rPr>
          <w:rFonts w:ascii="Times New Roman" w:hAnsi="Times New Roman"/>
          <w:sz w:val="24"/>
        </w:rPr>
        <w:t>a valeur de ce genre d’</w:t>
      </w:r>
      <w:r w:rsidR="005518C8" w:rsidRPr="007C17D3">
        <w:rPr>
          <w:rFonts w:ascii="Times New Roman" w:hAnsi="Times New Roman"/>
          <w:i/>
          <w:sz w:val="24"/>
        </w:rPr>
        <w:t>assets</w:t>
      </w:r>
      <w:r w:rsidRPr="007C17D3">
        <w:rPr>
          <w:rFonts w:ascii="Times New Roman" w:hAnsi="Times New Roman"/>
          <w:i/>
          <w:sz w:val="24"/>
        </w:rPr>
        <w:t xml:space="preserve"> </w:t>
      </w:r>
      <w:r>
        <w:rPr>
          <w:rFonts w:ascii="Times New Roman" w:hAnsi="Times New Roman"/>
          <w:sz w:val="24"/>
        </w:rPr>
        <w:t>est selon la doctrine à décoter entre 2% et 5% par mois d’inutilisation.</w:t>
      </w:r>
    </w:p>
    <w:p w:rsidR="008064D7" w:rsidRDefault="008064D7" w:rsidP="00B750C3">
      <w:pPr>
        <w:pStyle w:val="Paragraphedeliste"/>
        <w:spacing w:line="240" w:lineRule="auto"/>
        <w:ind w:left="786"/>
        <w:rPr>
          <w:rFonts w:ascii="Times New Roman" w:hAnsi="Times New Roman"/>
          <w:sz w:val="24"/>
        </w:rPr>
      </w:pPr>
    </w:p>
    <w:p w:rsidR="008064D7" w:rsidRDefault="008064D7" w:rsidP="00B750C3">
      <w:pPr>
        <w:pStyle w:val="Paragraphedeliste"/>
        <w:spacing w:line="240" w:lineRule="auto"/>
        <w:ind w:left="786"/>
        <w:rPr>
          <w:rFonts w:ascii="Times New Roman" w:hAnsi="Times New Roman"/>
          <w:sz w:val="24"/>
        </w:rPr>
      </w:pPr>
      <w:r>
        <w:rPr>
          <w:rFonts w:ascii="Times New Roman" w:hAnsi="Times New Roman"/>
          <w:sz w:val="24"/>
        </w:rPr>
        <w:t xml:space="preserve">Des exemple illustre la différence entre ces deux valeurs : City stores a </w:t>
      </w:r>
      <w:r w:rsidR="005518C8">
        <w:rPr>
          <w:rFonts w:ascii="Times New Roman" w:hAnsi="Times New Roman"/>
          <w:sz w:val="24"/>
        </w:rPr>
        <w:t>dû</w:t>
      </w:r>
      <w:r>
        <w:rPr>
          <w:rFonts w:ascii="Times New Roman" w:hAnsi="Times New Roman"/>
          <w:sz w:val="24"/>
        </w:rPr>
        <w:t xml:space="preserve"> transformer son </w:t>
      </w:r>
      <w:r w:rsidRPr="007C17D3">
        <w:rPr>
          <w:rFonts w:ascii="Times New Roman" w:hAnsi="Times New Roman"/>
          <w:i/>
          <w:sz w:val="24"/>
        </w:rPr>
        <w:t>Chapter 11</w:t>
      </w:r>
      <w:r>
        <w:rPr>
          <w:rFonts w:ascii="Times New Roman" w:hAnsi="Times New Roman"/>
          <w:sz w:val="24"/>
        </w:rPr>
        <w:t xml:space="preserve"> en </w:t>
      </w:r>
      <w:r w:rsidRPr="007C17D3">
        <w:rPr>
          <w:rFonts w:ascii="Times New Roman" w:hAnsi="Times New Roman"/>
          <w:i/>
          <w:sz w:val="24"/>
        </w:rPr>
        <w:t>Chapter 7</w:t>
      </w:r>
      <w:r>
        <w:rPr>
          <w:rFonts w:ascii="Times New Roman" w:hAnsi="Times New Roman"/>
          <w:sz w:val="24"/>
        </w:rPr>
        <w:t xml:space="preserve"> et Systemax a acquis ses droits intellectuels pour 14 millions $ ce qui lui a permis de réaliser en 2008 67 millions $ de </w:t>
      </w:r>
      <w:r w:rsidR="005518C8">
        <w:rPr>
          <w:rFonts w:ascii="Times New Roman" w:hAnsi="Times New Roman"/>
          <w:sz w:val="24"/>
        </w:rPr>
        <w:t>vente.</w:t>
      </w:r>
      <w:r>
        <w:rPr>
          <w:rFonts w:ascii="Times New Roman" w:hAnsi="Times New Roman"/>
          <w:sz w:val="24"/>
        </w:rPr>
        <w:t xml:space="preserve"> </w:t>
      </w:r>
    </w:p>
    <w:p w:rsidR="008064D7" w:rsidRDefault="008064D7" w:rsidP="00B750C3">
      <w:pPr>
        <w:pStyle w:val="Paragraphedeliste"/>
        <w:spacing w:line="240" w:lineRule="auto"/>
        <w:ind w:left="786"/>
        <w:rPr>
          <w:rFonts w:ascii="Times New Roman" w:hAnsi="Times New Roman"/>
          <w:sz w:val="24"/>
        </w:rPr>
      </w:pPr>
    </w:p>
    <w:p w:rsidR="008064D7" w:rsidRDefault="008064D7" w:rsidP="00B750C3">
      <w:pPr>
        <w:pStyle w:val="Paragraphedeliste"/>
        <w:spacing w:line="240" w:lineRule="auto"/>
        <w:ind w:left="786"/>
        <w:rPr>
          <w:rFonts w:ascii="Times New Roman" w:hAnsi="Times New Roman"/>
          <w:sz w:val="24"/>
        </w:rPr>
      </w:pPr>
      <w:r>
        <w:rPr>
          <w:rFonts w:ascii="Times New Roman" w:hAnsi="Times New Roman"/>
          <w:sz w:val="24"/>
        </w:rPr>
        <w:t xml:space="preserve">La valorisation d’un droit intellectuel opposable et transférable, en cas de procédure d’insolvabilité, peut se calculer sur des comparables lorsque c’est possible (mais cela l’est rarement) ou sur la valeur de rendement que ces droits permettent de générer en affectant un pourcentage plus ou moins grand, selon les cas d’espèces, à la propriété intellectuelle ou aux autres facteurs de production. La valeur de rendement peut se calculer comme la valeur d’entreprise sur base de l’actualisation des flux financier futurs mais en intégrant une prime de risque liée à l’obsolescence inventive, à la contrefaçon, à l’existence d’autres procédés aboutissant au même résultat, à l’absence de protection des droits ou au caractère restreint du marché de l’achat de droits intellectuels. </w:t>
      </w:r>
    </w:p>
    <w:p w:rsidR="008064D7" w:rsidRDefault="008064D7" w:rsidP="00B750C3">
      <w:pPr>
        <w:pStyle w:val="Paragraphedeliste"/>
        <w:spacing w:line="240" w:lineRule="auto"/>
        <w:ind w:left="786"/>
        <w:rPr>
          <w:rFonts w:ascii="Times New Roman" w:hAnsi="Times New Roman"/>
          <w:sz w:val="24"/>
        </w:rPr>
      </w:pPr>
    </w:p>
    <w:p w:rsidR="008064D7" w:rsidRDefault="008064D7" w:rsidP="00B750C3">
      <w:pPr>
        <w:pStyle w:val="Paragraphedeliste"/>
        <w:spacing w:line="240" w:lineRule="auto"/>
        <w:ind w:left="786"/>
        <w:rPr>
          <w:rFonts w:ascii="Times New Roman" w:hAnsi="Times New Roman"/>
          <w:sz w:val="24"/>
        </w:rPr>
      </w:pPr>
      <w:r>
        <w:rPr>
          <w:rFonts w:ascii="Times New Roman" w:hAnsi="Times New Roman"/>
          <w:sz w:val="24"/>
        </w:rPr>
        <w:t>La 1</w:t>
      </w:r>
      <w:r w:rsidRPr="00B54BA4">
        <w:rPr>
          <w:rFonts w:ascii="Times New Roman" w:hAnsi="Times New Roman"/>
          <w:sz w:val="24"/>
          <w:vertAlign w:val="superscript"/>
        </w:rPr>
        <w:t>ère</w:t>
      </w:r>
      <w:r>
        <w:rPr>
          <w:rFonts w:ascii="Times New Roman" w:hAnsi="Times New Roman"/>
          <w:sz w:val="24"/>
        </w:rPr>
        <w:t xml:space="preserve"> question à laquelle est soumis le juge est l’appréciation juridique des effets des droits sécurisés des parties et des effets de la loi sur l’insolvabilité sur chaque actif de cette nature puisque les règles spécifiques régissant chaque type de droit sont différentes</w:t>
      </w:r>
      <w:r>
        <w:rPr>
          <w:rStyle w:val="Appelnotedebasdep"/>
          <w:rFonts w:ascii="Times New Roman" w:hAnsi="Times New Roman"/>
          <w:sz w:val="24"/>
        </w:rPr>
        <w:footnoteReference w:id="92"/>
      </w:r>
      <w:r>
        <w:rPr>
          <w:rFonts w:ascii="Times New Roman" w:hAnsi="Times New Roman"/>
          <w:sz w:val="24"/>
        </w:rPr>
        <w:t>. La méthode d’évaluation de ces droits « </w:t>
      </w:r>
      <w:r>
        <w:rPr>
          <w:rFonts w:ascii="Times New Roman" w:hAnsi="Times New Roman"/>
          <w:i/>
          <w:sz w:val="24"/>
        </w:rPr>
        <w:t>incertains</w:t>
      </w:r>
      <w:r>
        <w:rPr>
          <w:rFonts w:ascii="Times New Roman" w:hAnsi="Times New Roman"/>
          <w:sz w:val="24"/>
        </w:rPr>
        <w:t> » se base donc sur une valeur de marché diminuée d’une décote d’incertitude comparée à la valeur de comparable. La valeur de remplacement est utilisée comme référence. Il faut cependant impacter cette valeur d’une décote ou surcote « </w:t>
      </w:r>
      <w:r>
        <w:rPr>
          <w:rFonts w:ascii="Times New Roman" w:hAnsi="Times New Roman"/>
          <w:i/>
          <w:sz w:val="24"/>
        </w:rPr>
        <w:t>technologique »</w:t>
      </w:r>
      <w:r>
        <w:rPr>
          <w:rFonts w:ascii="Times New Roman" w:hAnsi="Times New Roman"/>
          <w:sz w:val="24"/>
        </w:rPr>
        <w:t xml:space="preserve"> en fonction de l’intérêt compétitif que peut avoir ce que recouvre ce droit</w:t>
      </w:r>
      <w:r>
        <w:rPr>
          <w:rStyle w:val="Appelnotedebasdep"/>
          <w:rFonts w:ascii="Times New Roman" w:hAnsi="Times New Roman"/>
          <w:sz w:val="24"/>
        </w:rPr>
        <w:footnoteReference w:id="93"/>
      </w:r>
      <w:r>
        <w:rPr>
          <w:rFonts w:ascii="Times New Roman" w:hAnsi="Times New Roman"/>
          <w:sz w:val="24"/>
        </w:rPr>
        <w:t>. Reste à é</w:t>
      </w:r>
      <w:r w:rsidRPr="007C17D3">
        <w:rPr>
          <w:rFonts w:ascii="Times New Roman" w:hAnsi="Times New Roman"/>
          <w:i/>
          <w:sz w:val="24"/>
        </w:rPr>
        <w:t>value</w:t>
      </w:r>
      <w:r>
        <w:rPr>
          <w:rFonts w:ascii="Times New Roman" w:hAnsi="Times New Roman"/>
          <w:sz w:val="24"/>
        </w:rPr>
        <w:t>r les effets que le temps a sur la valeur du droit, par exemple, en matière de marque</w:t>
      </w:r>
      <w:r>
        <w:rPr>
          <w:rStyle w:val="Appelnotedebasdep"/>
          <w:rFonts w:ascii="Times New Roman" w:hAnsi="Times New Roman"/>
          <w:sz w:val="24"/>
        </w:rPr>
        <w:footnoteReference w:id="94"/>
      </w:r>
      <w:r>
        <w:rPr>
          <w:rFonts w:ascii="Times New Roman" w:hAnsi="Times New Roman"/>
          <w:sz w:val="24"/>
        </w:rPr>
        <w:t>, la valeur de liquidation implique des décotes entre 30 et 90%.</w:t>
      </w:r>
    </w:p>
    <w:p w:rsidR="008064D7" w:rsidRDefault="008064D7" w:rsidP="00B750C3">
      <w:pPr>
        <w:pStyle w:val="Paragraphedeliste"/>
        <w:spacing w:line="240" w:lineRule="auto"/>
        <w:ind w:left="786"/>
        <w:rPr>
          <w:rFonts w:ascii="Times New Roman" w:hAnsi="Times New Roman"/>
          <w:sz w:val="24"/>
        </w:rPr>
      </w:pPr>
    </w:p>
    <w:p w:rsidR="008064D7" w:rsidRPr="00251370" w:rsidRDefault="008064D7" w:rsidP="00B750C3">
      <w:pPr>
        <w:pStyle w:val="Paragraphedeliste"/>
        <w:spacing w:line="240" w:lineRule="auto"/>
        <w:ind w:left="786"/>
        <w:rPr>
          <w:rFonts w:ascii="Times New Roman" w:hAnsi="Times New Roman"/>
          <w:sz w:val="24"/>
        </w:rPr>
      </w:pPr>
      <w:r>
        <w:rPr>
          <w:rFonts w:ascii="Times New Roman" w:hAnsi="Times New Roman"/>
          <w:sz w:val="24"/>
        </w:rPr>
        <w:t xml:space="preserve">Cette évaluation a souvent lieu au début de la procédure ou pour établir la valeur de créances sécurisées pour fonder un </w:t>
      </w:r>
      <w:r w:rsidRPr="007C17D3">
        <w:rPr>
          <w:rFonts w:ascii="Times New Roman" w:hAnsi="Times New Roman"/>
          <w:i/>
          <w:sz w:val="24"/>
        </w:rPr>
        <w:t>DIP</w:t>
      </w:r>
      <w:r>
        <w:rPr>
          <w:rFonts w:ascii="Times New Roman" w:hAnsi="Times New Roman"/>
          <w:sz w:val="24"/>
        </w:rPr>
        <w:t xml:space="preserve"> </w:t>
      </w:r>
      <w:r w:rsidRPr="007C17D3">
        <w:rPr>
          <w:rFonts w:ascii="Times New Roman" w:hAnsi="Times New Roman"/>
          <w:i/>
          <w:sz w:val="24"/>
        </w:rPr>
        <w:t>financing</w:t>
      </w:r>
      <w:r>
        <w:rPr>
          <w:rFonts w:ascii="Times New Roman" w:hAnsi="Times New Roman"/>
          <w:sz w:val="24"/>
        </w:rPr>
        <w:t xml:space="preserve"> ou un examen de la protection des droits sur base d’une « </w:t>
      </w:r>
      <w:r>
        <w:rPr>
          <w:rFonts w:ascii="Times New Roman" w:hAnsi="Times New Roman"/>
          <w:i/>
          <w:sz w:val="24"/>
        </w:rPr>
        <w:t>monétisation</w:t>
      </w:r>
      <w:r>
        <w:rPr>
          <w:rFonts w:ascii="Times New Roman" w:hAnsi="Times New Roman"/>
          <w:sz w:val="24"/>
        </w:rPr>
        <w:t xml:space="preserve"> » de ces actifs. Ces actifs sont appréciés par les </w:t>
      </w:r>
      <w:r w:rsidRPr="007C17D3">
        <w:rPr>
          <w:rFonts w:ascii="Times New Roman" w:hAnsi="Times New Roman"/>
          <w:i/>
          <w:sz w:val="24"/>
        </w:rPr>
        <w:t>DIP</w:t>
      </w:r>
      <w:r>
        <w:rPr>
          <w:rFonts w:ascii="Times New Roman" w:hAnsi="Times New Roman"/>
          <w:sz w:val="24"/>
        </w:rPr>
        <w:t xml:space="preserve"> </w:t>
      </w:r>
      <w:r w:rsidRPr="007C17D3">
        <w:rPr>
          <w:rFonts w:ascii="Times New Roman" w:hAnsi="Times New Roman"/>
          <w:i/>
          <w:sz w:val="24"/>
        </w:rPr>
        <w:t>financing</w:t>
      </w:r>
      <w:r>
        <w:rPr>
          <w:rStyle w:val="Appelnotedebasdep"/>
          <w:rFonts w:ascii="Times New Roman" w:hAnsi="Times New Roman"/>
          <w:sz w:val="24"/>
        </w:rPr>
        <w:footnoteReference w:id="95"/>
      </w:r>
      <w:r>
        <w:rPr>
          <w:rFonts w:ascii="Times New Roman" w:hAnsi="Times New Roman"/>
          <w:sz w:val="24"/>
        </w:rPr>
        <w:t>.</w:t>
      </w:r>
    </w:p>
    <w:p w:rsidR="008064D7" w:rsidRDefault="008064D7" w:rsidP="009F3D77">
      <w:pPr>
        <w:spacing w:line="240" w:lineRule="auto"/>
        <w:ind w:left="708"/>
        <w:rPr>
          <w:rFonts w:ascii="Times New Roman" w:hAnsi="Times New Roman"/>
          <w:sz w:val="24"/>
        </w:rPr>
      </w:pPr>
    </w:p>
    <w:p w:rsidR="008064D7" w:rsidRPr="008E6BF1" w:rsidRDefault="005518C8" w:rsidP="0030531D">
      <w:pPr>
        <w:pStyle w:val="Titre2"/>
        <w:numPr>
          <w:ilvl w:val="0"/>
          <w:numId w:val="40"/>
        </w:numPr>
        <w:rPr>
          <w:rFonts w:ascii="Times New Roman" w:hAnsi="Times New Roman" w:cs="Times New Roman"/>
        </w:rPr>
      </w:pPr>
      <w:bookmarkStart w:id="11" w:name="_Toc55407457"/>
      <w:r>
        <w:rPr>
          <w:rFonts w:ascii="Times New Roman" w:hAnsi="Times New Roman" w:cs="Times New Roman"/>
        </w:rPr>
        <w:t>La valeur des</w:t>
      </w:r>
      <w:r w:rsidR="008064D7" w:rsidRPr="006466A1">
        <w:rPr>
          <w:rFonts w:ascii="Times New Roman" w:hAnsi="Times New Roman" w:cs="Times New Roman"/>
        </w:rPr>
        <w:t xml:space="preserve"> actions des sociétés cotées</w:t>
      </w:r>
      <w:bookmarkEnd w:id="11"/>
      <w:r w:rsidR="008064D7" w:rsidRPr="006466A1">
        <w:rPr>
          <w:rFonts w:ascii="Times New Roman" w:hAnsi="Times New Roman" w:cs="Times New Roman"/>
        </w:rPr>
        <w:t xml:space="preserve"> </w:t>
      </w:r>
    </w:p>
    <w:p w:rsidR="008064D7" w:rsidRDefault="008064D7" w:rsidP="009F3D77">
      <w:pPr>
        <w:pStyle w:val="Paragraphedeliste"/>
        <w:spacing w:line="240" w:lineRule="auto"/>
        <w:ind w:left="786"/>
        <w:rPr>
          <w:rFonts w:ascii="Times New Roman" w:hAnsi="Times New Roman"/>
          <w:sz w:val="24"/>
        </w:rPr>
      </w:pPr>
    </w:p>
    <w:p w:rsidR="008064D7" w:rsidRPr="005518C8" w:rsidRDefault="008064D7" w:rsidP="00AC6D36">
      <w:pPr>
        <w:pStyle w:val="Paragraphedeliste"/>
        <w:numPr>
          <w:ilvl w:val="0"/>
          <w:numId w:val="2"/>
        </w:numPr>
        <w:spacing w:line="240" w:lineRule="auto"/>
        <w:rPr>
          <w:rFonts w:ascii="Times New Roman" w:hAnsi="Times New Roman"/>
          <w:sz w:val="24"/>
        </w:rPr>
      </w:pPr>
      <w:r w:rsidRPr="005518C8">
        <w:rPr>
          <w:rFonts w:ascii="Times New Roman" w:hAnsi="Times New Roman"/>
          <w:sz w:val="24"/>
          <w:u w:val="single"/>
        </w:rPr>
        <w:t xml:space="preserve">Position de la </w:t>
      </w:r>
      <w:r w:rsidR="005518C8" w:rsidRPr="005518C8">
        <w:rPr>
          <w:rFonts w:ascii="Times New Roman" w:hAnsi="Times New Roman"/>
          <w:sz w:val="24"/>
          <w:u w:val="single"/>
        </w:rPr>
        <w:t xml:space="preserve">question </w:t>
      </w:r>
      <w:r w:rsidR="005518C8" w:rsidRPr="005518C8">
        <w:rPr>
          <w:rFonts w:ascii="Times New Roman" w:hAnsi="Times New Roman"/>
          <w:sz w:val="24"/>
        </w:rPr>
        <w:t>:</w:t>
      </w:r>
      <w:r w:rsidRPr="005518C8">
        <w:rPr>
          <w:rFonts w:ascii="Times New Roman" w:hAnsi="Times New Roman"/>
          <w:sz w:val="24"/>
        </w:rPr>
        <w:t xml:space="preserve"> Dans la situation où une société est cotée sur un marché boursier liquide et actif et que les opérations sur son titre sont </w:t>
      </w:r>
      <w:r w:rsidR="0030531D" w:rsidRPr="005518C8">
        <w:rPr>
          <w:rFonts w:ascii="Times New Roman" w:hAnsi="Times New Roman"/>
          <w:sz w:val="24"/>
        </w:rPr>
        <w:t>normales,</w:t>
      </w:r>
      <w:r w:rsidRPr="005518C8">
        <w:rPr>
          <w:rFonts w:ascii="Times New Roman" w:hAnsi="Times New Roman"/>
          <w:sz w:val="24"/>
        </w:rPr>
        <w:t xml:space="preserve"> on peut penser que le cours de ses actions qui s’apprécie au départ d’un cours moyen pondéré , éventuellement décoté en raison de la difficulté de vendre en un bloc toutes les actions de l’entreprise , représente , à travers la capitalisation boursière, la valeur de l’entreprise.  C’est le référentiel utilisé pour des opérations de recapitalisation. C’est en tout cas, pour des actions la valeur actuelle de </w:t>
      </w:r>
      <w:r w:rsidR="005518C8" w:rsidRPr="005518C8">
        <w:rPr>
          <w:rFonts w:ascii="Times New Roman" w:hAnsi="Times New Roman"/>
          <w:sz w:val="24"/>
        </w:rPr>
        <w:t>remplacement.</w:t>
      </w:r>
      <w:r w:rsidRPr="005518C8">
        <w:rPr>
          <w:rFonts w:ascii="Times New Roman" w:hAnsi="Times New Roman"/>
          <w:sz w:val="24"/>
        </w:rPr>
        <w:t xml:space="preserve"> C’est aussi la valeur sur le marché. </w:t>
      </w:r>
    </w:p>
    <w:p w:rsidR="008064D7" w:rsidRDefault="008064D7" w:rsidP="00AD7227">
      <w:pPr>
        <w:pStyle w:val="Paragraphedeliste"/>
        <w:spacing w:line="240" w:lineRule="auto"/>
        <w:ind w:left="786"/>
        <w:rPr>
          <w:rFonts w:ascii="Times New Roman" w:hAnsi="Times New Roman"/>
          <w:sz w:val="24"/>
        </w:rPr>
      </w:pPr>
    </w:p>
    <w:p w:rsidR="008064D7" w:rsidRDefault="008064D7" w:rsidP="008E6BF1">
      <w:pPr>
        <w:pStyle w:val="Paragraphedeliste"/>
        <w:spacing w:line="240" w:lineRule="auto"/>
        <w:ind w:left="786"/>
        <w:rPr>
          <w:rFonts w:ascii="Times New Roman" w:hAnsi="Times New Roman"/>
          <w:sz w:val="24"/>
        </w:rPr>
      </w:pPr>
      <w:r>
        <w:rPr>
          <w:rFonts w:ascii="Times New Roman" w:hAnsi="Times New Roman"/>
          <w:sz w:val="24"/>
        </w:rPr>
        <w:t xml:space="preserve">Lorsque l’entreprise cotée rencontre des difficultés son </w:t>
      </w:r>
      <w:r w:rsidRPr="00D73F70">
        <w:rPr>
          <w:rFonts w:ascii="Times New Roman" w:hAnsi="Times New Roman"/>
          <w:sz w:val="24"/>
        </w:rPr>
        <w:t>cours baisse parfois bi</w:t>
      </w:r>
      <w:r>
        <w:rPr>
          <w:rFonts w:ascii="Times New Roman" w:hAnsi="Times New Roman"/>
          <w:sz w:val="24"/>
        </w:rPr>
        <w:t>en plus vite que la réalité de s</w:t>
      </w:r>
      <w:r w:rsidRPr="00D73F70">
        <w:rPr>
          <w:rFonts w:ascii="Times New Roman" w:hAnsi="Times New Roman"/>
          <w:sz w:val="24"/>
        </w:rPr>
        <w:t xml:space="preserve">es difficultés ou de ses résultats. </w:t>
      </w:r>
      <w:r>
        <w:rPr>
          <w:rFonts w:ascii="Times New Roman" w:hAnsi="Times New Roman"/>
          <w:sz w:val="24"/>
        </w:rPr>
        <w:t xml:space="preserve">Ce cours est alors le reflet de l’émotion créé par ses difficultés dans la psychologie des acheteurs et des vendeurs laquelle intègre le contexte global, l’histoire de l’entreprise, la communication antérieure qu’elle a faite, la confiance très subjective dans le </w:t>
      </w:r>
      <w:r w:rsidR="0030531D">
        <w:rPr>
          <w:rFonts w:ascii="Times New Roman" w:hAnsi="Times New Roman"/>
          <w:sz w:val="24"/>
        </w:rPr>
        <w:t>management, …</w:t>
      </w:r>
    </w:p>
    <w:p w:rsidR="008064D7" w:rsidRDefault="008064D7" w:rsidP="008E6BF1">
      <w:pPr>
        <w:pStyle w:val="Paragraphedeliste"/>
        <w:spacing w:line="240" w:lineRule="auto"/>
        <w:ind w:left="786"/>
        <w:rPr>
          <w:rFonts w:ascii="Times New Roman" w:hAnsi="Times New Roman"/>
          <w:sz w:val="24"/>
        </w:rPr>
      </w:pPr>
    </w:p>
    <w:p w:rsidR="008064D7" w:rsidRDefault="008064D7" w:rsidP="008E6BF1">
      <w:pPr>
        <w:pStyle w:val="Paragraphedeliste"/>
        <w:spacing w:line="240" w:lineRule="auto"/>
        <w:ind w:left="786"/>
        <w:rPr>
          <w:rFonts w:ascii="Times New Roman" w:hAnsi="Times New Roman"/>
          <w:sz w:val="24"/>
        </w:rPr>
      </w:pPr>
      <w:r w:rsidRPr="00D73F70">
        <w:rPr>
          <w:rFonts w:ascii="Times New Roman" w:hAnsi="Times New Roman"/>
          <w:sz w:val="24"/>
        </w:rPr>
        <w:t>Reste le dernier cas, le plus intéressant pour ce qui sui</w:t>
      </w:r>
      <w:r>
        <w:rPr>
          <w:rFonts w:ascii="Times New Roman" w:hAnsi="Times New Roman"/>
          <w:sz w:val="24"/>
        </w:rPr>
        <w:t xml:space="preserve">t, à savoir le </w:t>
      </w:r>
      <w:r w:rsidR="005518C8">
        <w:rPr>
          <w:rFonts w:ascii="Times New Roman" w:hAnsi="Times New Roman"/>
          <w:sz w:val="24"/>
        </w:rPr>
        <w:t>cas où</w:t>
      </w:r>
      <w:r>
        <w:rPr>
          <w:rFonts w:ascii="Times New Roman" w:hAnsi="Times New Roman"/>
          <w:sz w:val="24"/>
        </w:rPr>
        <w:t xml:space="preserve"> l’entreprise cotée recourt</w:t>
      </w:r>
      <w:r w:rsidRPr="00D73F70">
        <w:rPr>
          <w:rFonts w:ascii="Times New Roman" w:hAnsi="Times New Roman"/>
          <w:sz w:val="24"/>
        </w:rPr>
        <w:t xml:space="preserve"> à une procédure d’insolvabili</w:t>
      </w:r>
      <w:r>
        <w:rPr>
          <w:rFonts w:ascii="Times New Roman" w:hAnsi="Times New Roman"/>
          <w:sz w:val="24"/>
        </w:rPr>
        <w:t xml:space="preserve">té ou de </w:t>
      </w:r>
      <w:r w:rsidRPr="007C17D3">
        <w:rPr>
          <w:rFonts w:ascii="Times New Roman" w:hAnsi="Times New Roman"/>
          <w:i/>
          <w:sz w:val="24"/>
        </w:rPr>
        <w:t>Pre-</w:t>
      </w:r>
      <w:r w:rsidR="0030531D" w:rsidRPr="00242A1C">
        <w:rPr>
          <w:rFonts w:ascii="Times New Roman" w:hAnsi="Times New Roman"/>
          <w:i/>
          <w:sz w:val="24"/>
        </w:rPr>
        <w:t>Insolvency</w:t>
      </w:r>
      <w:r w:rsidR="0030531D">
        <w:rPr>
          <w:rFonts w:ascii="Times New Roman" w:hAnsi="Times New Roman"/>
          <w:sz w:val="24"/>
        </w:rPr>
        <w:t xml:space="preserve"> parfois</w:t>
      </w:r>
      <w:r>
        <w:rPr>
          <w:rFonts w:ascii="Times New Roman" w:hAnsi="Times New Roman"/>
          <w:sz w:val="24"/>
        </w:rPr>
        <w:t xml:space="preserve"> très légère comme un</w:t>
      </w:r>
      <w:r w:rsidRPr="00D73F70">
        <w:rPr>
          <w:rFonts w:ascii="Times New Roman" w:hAnsi="Times New Roman"/>
          <w:sz w:val="24"/>
        </w:rPr>
        <w:t xml:space="preserve"> </w:t>
      </w:r>
      <w:r w:rsidRPr="00B56894">
        <w:rPr>
          <w:rFonts w:ascii="Times New Roman" w:hAnsi="Times New Roman"/>
          <w:i/>
          <w:sz w:val="24"/>
        </w:rPr>
        <w:t>Schème</w:t>
      </w:r>
      <w:r>
        <w:rPr>
          <w:rFonts w:ascii="Times New Roman" w:hAnsi="Times New Roman"/>
          <w:i/>
          <w:sz w:val="24"/>
        </w:rPr>
        <w:t xml:space="preserve"> ou une conciliation </w:t>
      </w:r>
      <w:r w:rsidRPr="00D73F70">
        <w:rPr>
          <w:rFonts w:ascii="Times New Roman" w:hAnsi="Times New Roman"/>
          <w:sz w:val="24"/>
        </w:rPr>
        <w:t xml:space="preserve">, parfois </w:t>
      </w:r>
      <w:r>
        <w:rPr>
          <w:rFonts w:ascii="Times New Roman" w:hAnsi="Times New Roman"/>
          <w:sz w:val="24"/>
        </w:rPr>
        <w:t xml:space="preserve">secrète parfois </w:t>
      </w:r>
      <w:r w:rsidRPr="00D73F70">
        <w:rPr>
          <w:rFonts w:ascii="Times New Roman" w:hAnsi="Times New Roman"/>
          <w:sz w:val="24"/>
        </w:rPr>
        <w:t>publique comme une sauvegarde en France ou une PRJ en Belgique, parfois plus forte</w:t>
      </w:r>
      <w:r>
        <w:rPr>
          <w:rFonts w:ascii="Times New Roman" w:hAnsi="Times New Roman"/>
          <w:sz w:val="24"/>
        </w:rPr>
        <w:t xml:space="preserve"> notamment parce que dépendante</w:t>
      </w:r>
      <w:r w:rsidRPr="00D73F70">
        <w:rPr>
          <w:rFonts w:ascii="Times New Roman" w:hAnsi="Times New Roman"/>
          <w:sz w:val="24"/>
        </w:rPr>
        <w:t xml:space="preserve"> d’actifs et d’activités à l’étranger dépendant éventuellement de procédure étrangères </w:t>
      </w:r>
      <w:r>
        <w:rPr>
          <w:rFonts w:ascii="Times New Roman" w:hAnsi="Times New Roman"/>
          <w:sz w:val="24"/>
        </w:rPr>
        <w:t xml:space="preserve">( règlement 2015/848 ou </w:t>
      </w:r>
      <w:r>
        <w:rPr>
          <w:rFonts w:ascii="Times New Roman" w:hAnsi="Times New Roman"/>
          <w:i/>
          <w:sz w:val="24"/>
        </w:rPr>
        <w:t>Chapter 15</w:t>
      </w:r>
      <w:r w:rsidR="005518C8">
        <w:rPr>
          <w:rFonts w:ascii="Times New Roman" w:hAnsi="Times New Roman"/>
          <w:sz w:val="24"/>
        </w:rPr>
        <w:t xml:space="preserve"> ou loi Uncitral)</w:t>
      </w:r>
      <w:r>
        <w:rPr>
          <w:rFonts w:ascii="Times New Roman" w:hAnsi="Times New Roman"/>
          <w:sz w:val="24"/>
        </w:rPr>
        <w:t xml:space="preserve">. </w:t>
      </w:r>
      <w:r w:rsidR="005518C8">
        <w:rPr>
          <w:rFonts w:ascii="Times New Roman" w:hAnsi="Times New Roman"/>
          <w:sz w:val="24"/>
        </w:rPr>
        <w:t>Dans</w:t>
      </w:r>
      <w:r>
        <w:rPr>
          <w:rFonts w:ascii="Times New Roman" w:hAnsi="Times New Roman"/>
          <w:sz w:val="24"/>
        </w:rPr>
        <w:t xml:space="preserve"> ce cas, le cour</w:t>
      </w:r>
      <w:r w:rsidR="0030531D">
        <w:rPr>
          <w:rFonts w:ascii="Times New Roman" w:hAnsi="Times New Roman"/>
          <w:sz w:val="24"/>
        </w:rPr>
        <w:t>s</w:t>
      </w:r>
      <w:r>
        <w:rPr>
          <w:rFonts w:ascii="Times New Roman" w:hAnsi="Times New Roman"/>
          <w:sz w:val="24"/>
        </w:rPr>
        <w:t xml:space="preserve"> peut être suspendu ou la valeur retirée de la cote même si elle peut encore </w:t>
      </w:r>
      <w:r w:rsidRPr="007C17D3">
        <w:rPr>
          <w:rFonts w:ascii="Times New Roman" w:hAnsi="Times New Roman"/>
          <w:i/>
          <w:sz w:val="24"/>
        </w:rPr>
        <w:t>Fair</w:t>
      </w:r>
      <w:r>
        <w:rPr>
          <w:rFonts w:ascii="Times New Roman" w:hAnsi="Times New Roman"/>
          <w:sz w:val="24"/>
        </w:rPr>
        <w:t>e l’objet de transactions. Dans ce cas, le prix d’achat des titres représente plus la spéculation des acheteurs et des vendeurs sur le devenir de cette procédure et en particulier et souvent sur leurs droits d’actionnaires</w:t>
      </w:r>
      <w:r w:rsidR="005518C8">
        <w:rPr>
          <w:rFonts w:ascii="Times New Roman" w:hAnsi="Times New Roman"/>
          <w:sz w:val="24"/>
        </w:rPr>
        <w:t>.</w:t>
      </w:r>
    </w:p>
    <w:p w:rsidR="008064D7" w:rsidRDefault="008064D7" w:rsidP="008E6BF1">
      <w:pPr>
        <w:pStyle w:val="Paragraphedeliste"/>
        <w:spacing w:line="240" w:lineRule="auto"/>
        <w:ind w:left="786"/>
        <w:rPr>
          <w:rFonts w:ascii="Times New Roman" w:hAnsi="Times New Roman"/>
          <w:sz w:val="24"/>
        </w:rPr>
      </w:pPr>
    </w:p>
    <w:p w:rsidR="008064D7" w:rsidRPr="005518C8" w:rsidRDefault="008064D7" w:rsidP="005518C8">
      <w:pPr>
        <w:pStyle w:val="Paragraphedeliste"/>
        <w:numPr>
          <w:ilvl w:val="0"/>
          <w:numId w:val="2"/>
        </w:numPr>
        <w:spacing w:line="240" w:lineRule="auto"/>
        <w:rPr>
          <w:rFonts w:ascii="Times New Roman" w:hAnsi="Times New Roman"/>
          <w:sz w:val="24"/>
          <w:u w:val="single"/>
        </w:rPr>
      </w:pPr>
      <w:r>
        <w:rPr>
          <w:rFonts w:ascii="Times New Roman" w:hAnsi="Times New Roman"/>
          <w:sz w:val="24"/>
          <w:u w:val="single"/>
        </w:rPr>
        <w:t>Nous avons réalisé une étude imitée et non scientifique au départ d’entreprises Française et belges.</w:t>
      </w:r>
      <w:r>
        <w:rPr>
          <w:rFonts w:ascii="Times New Roman" w:hAnsi="Times New Roman"/>
          <w:sz w:val="24"/>
        </w:rPr>
        <w:t xml:space="preserve"> Notre but </w:t>
      </w:r>
      <w:r w:rsidR="005518C8">
        <w:rPr>
          <w:rFonts w:ascii="Times New Roman" w:hAnsi="Times New Roman"/>
          <w:sz w:val="24"/>
        </w:rPr>
        <w:t>était</w:t>
      </w:r>
      <w:r>
        <w:rPr>
          <w:rFonts w:ascii="Times New Roman" w:hAnsi="Times New Roman"/>
          <w:sz w:val="24"/>
        </w:rPr>
        <w:t xml:space="preserve"> </w:t>
      </w:r>
      <w:r w:rsidRPr="005518C8">
        <w:rPr>
          <w:rFonts w:ascii="Times New Roman" w:hAnsi="Times New Roman"/>
          <w:sz w:val="24"/>
        </w:rPr>
        <w:t>de</w:t>
      </w:r>
      <w:r>
        <w:rPr>
          <w:rFonts w:ascii="Times New Roman" w:hAnsi="Times New Roman"/>
          <w:sz w:val="24"/>
        </w:rPr>
        <w:t xml:space="preserve"> vérifier dans un panel d’entreprises qui sont passées par des restructurations publiques alors qu’elles étaient et sont toujours cotée si la valeur de l’entreprise cotée peut se déduire de son cours et si le cours est un comparable utile lors de l’évaluation d’une entreprise. Ce travail devrait être fait par des chercheurs en économie</w:t>
      </w:r>
      <w:r w:rsidR="008278BC">
        <w:rPr>
          <w:rFonts w:ascii="Times New Roman" w:hAnsi="Times New Roman"/>
          <w:sz w:val="24"/>
        </w:rPr>
        <w:t xml:space="preserve"> et économétrie statistique </w:t>
      </w:r>
      <w:r>
        <w:rPr>
          <w:rFonts w:ascii="Times New Roman" w:hAnsi="Times New Roman"/>
          <w:sz w:val="24"/>
        </w:rPr>
        <w:t>sur une base de donnée plus large et sur d</w:t>
      </w:r>
      <w:r w:rsidR="008278BC">
        <w:rPr>
          <w:rFonts w:ascii="Times New Roman" w:hAnsi="Times New Roman"/>
          <w:sz w:val="24"/>
        </w:rPr>
        <w:t xml:space="preserve">es critères plus nombreux </w:t>
      </w:r>
      <w:r w:rsidR="005518C8">
        <w:rPr>
          <w:rFonts w:ascii="Times New Roman" w:hAnsi="Times New Roman"/>
          <w:sz w:val="24"/>
        </w:rPr>
        <w:t>mais cette</w:t>
      </w:r>
      <w:r>
        <w:rPr>
          <w:rFonts w:ascii="Times New Roman" w:hAnsi="Times New Roman"/>
          <w:sz w:val="24"/>
        </w:rPr>
        <w:t xml:space="preserve"> ébauche peut aider à l’analyse.</w:t>
      </w:r>
      <w:r w:rsidR="005518C8">
        <w:rPr>
          <w:rFonts w:ascii="Times New Roman" w:hAnsi="Times New Roman"/>
          <w:sz w:val="24"/>
        </w:rPr>
        <w:t xml:space="preserve"> </w:t>
      </w:r>
      <w:r w:rsidRPr="005518C8">
        <w:rPr>
          <w:rFonts w:ascii="Times New Roman" w:hAnsi="Times New Roman"/>
          <w:sz w:val="24"/>
        </w:rPr>
        <w:t xml:space="preserve">La base de donnée étudiée </w:t>
      </w:r>
      <w:r w:rsidR="005518C8" w:rsidRPr="005518C8">
        <w:rPr>
          <w:rFonts w:ascii="Times New Roman" w:hAnsi="Times New Roman"/>
          <w:sz w:val="24"/>
        </w:rPr>
        <w:t>comprenait</w:t>
      </w:r>
      <w:r w:rsidRPr="005518C8">
        <w:rPr>
          <w:rFonts w:ascii="Times New Roman" w:hAnsi="Times New Roman"/>
          <w:sz w:val="24"/>
        </w:rPr>
        <w:t xml:space="preserve"> 15 entités cotées</w:t>
      </w:r>
      <w:r w:rsidR="005518C8">
        <w:rPr>
          <w:rFonts w:ascii="Times New Roman" w:hAnsi="Times New Roman"/>
          <w:sz w:val="24"/>
        </w:rPr>
        <w:t>.</w:t>
      </w:r>
      <w:r w:rsidRPr="005518C8">
        <w:rPr>
          <w:rFonts w:ascii="Times New Roman" w:hAnsi="Times New Roman"/>
          <w:sz w:val="24"/>
        </w:rPr>
        <w:t xml:space="preserve"> </w:t>
      </w:r>
    </w:p>
    <w:p w:rsidR="008064D7" w:rsidRPr="008E6BF1" w:rsidRDefault="008064D7" w:rsidP="008E6BF1">
      <w:pPr>
        <w:pStyle w:val="Paragraphedeliste"/>
        <w:spacing w:line="240" w:lineRule="auto"/>
        <w:ind w:left="786"/>
        <w:rPr>
          <w:rFonts w:ascii="Times New Roman" w:hAnsi="Times New Roman"/>
          <w:sz w:val="24"/>
        </w:rPr>
      </w:pPr>
    </w:p>
    <w:p w:rsidR="008064D7" w:rsidRPr="00D63590" w:rsidRDefault="008064D7" w:rsidP="008E6BF1">
      <w:pPr>
        <w:pStyle w:val="Paragraphedeliste"/>
        <w:spacing w:line="240" w:lineRule="auto"/>
        <w:ind w:left="786"/>
        <w:rPr>
          <w:rFonts w:ascii="Times New Roman" w:hAnsi="Times New Roman"/>
          <w:sz w:val="24"/>
        </w:rPr>
      </w:pPr>
      <w:r>
        <w:rPr>
          <w:rFonts w:ascii="Times New Roman" w:hAnsi="Times New Roman"/>
          <w:sz w:val="24"/>
          <w:u w:val="single"/>
        </w:rPr>
        <w:t xml:space="preserve">La première </w:t>
      </w:r>
      <w:r w:rsidR="005518C8">
        <w:rPr>
          <w:rFonts w:ascii="Times New Roman" w:hAnsi="Times New Roman"/>
          <w:sz w:val="24"/>
          <w:u w:val="single"/>
        </w:rPr>
        <w:t>était</w:t>
      </w:r>
      <w:r w:rsidRPr="001F6EFE">
        <w:rPr>
          <w:rFonts w:ascii="Times New Roman" w:hAnsi="Times New Roman"/>
          <w:sz w:val="24"/>
          <w:u w:val="single"/>
        </w:rPr>
        <w:t xml:space="preserve"> CGG</w:t>
      </w:r>
      <w:r>
        <w:rPr>
          <w:rStyle w:val="Appelnotedebasdep"/>
          <w:rFonts w:ascii="Times New Roman" w:hAnsi="Times New Roman"/>
          <w:sz w:val="24"/>
        </w:rPr>
        <w:footnoteReference w:id="96"/>
      </w:r>
      <w:r>
        <w:rPr>
          <w:rFonts w:ascii="Times New Roman" w:hAnsi="Times New Roman"/>
          <w:sz w:val="24"/>
        </w:rPr>
        <w:t xml:space="preserve">. </w:t>
      </w:r>
      <w:r w:rsidR="005518C8">
        <w:rPr>
          <w:rFonts w:ascii="Times New Roman" w:hAnsi="Times New Roman"/>
          <w:sz w:val="24"/>
        </w:rPr>
        <w:t>CGG</w:t>
      </w:r>
      <w:r>
        <w:rPr>
          <w:rFonts w:ascii="Times New Roman" w:hAnsi="Times New Roman"/>
          <w:sz w:val="24"/>
        </w:rPr>
        <w:t xml:space="preserve"> f</w:t>
      </w:r>
      <w:r w:rsidRPr="00D63590">
        <w:rPr>
          <w:rFonts w:ascii="Times New Roman" w:hAnsi="Times New Roman"/>
          <w:sz w:val="24"/>
        </w:rPr>
        <w:t xml:space="preserve">igure parmi les </w:t>
      </w:r>
      <w:r>
        <w:rPr>
          <w:rFonts w:ascii="Times New Roman" w:hAnsi="Times New Roman"/>
          <w:sz w:val="24"/>
        </w:rPr>
        <w:t>premiers</w:t>
      </w:r>
      <w:r w:rsidRPr="00D63590">
        <w:rPr>
          <w:rFonts w:ascii="Times New Roman" w:hAnsi="Times New Roman"/>
          <w:sz w:val="24"/>
        </w:rPr>
        <w:t xml:space="preserve"> fournisseurs mondiaux de services </w:t>
      </w:r>
      <w:r>
        <w:rPr>
          <w:rFonts w:ascii="Times New Roman" w:hAnsi="Times New Roman"/>
          <w:sz w:val="24"/>
        </w:rPr>
        <w:t xml:space="preserve">et </w:t>
      </w:r>
      <w:r w:rsidRPr="00D63590">
        <w:rPr>
          <w:rFonts w:ascii="Times New Roman" w:hAnsi="Times New Roman"/>
          <w:sz w:val="24"/>
        </w:rPr>
        <w:t xml:space="preserve">produits géophysiques destinés aux compagnies pétrolières et gazières. Le </w:t>
      </w:r>
      <w:r w:rsidRPr="00D63590">
        <w:rPr>
          <w:rFonts w:ascii="Times New Roman" w:hAnsi="Times New Roman"/>
          <w:sz w:val="24"/>
        </w:rPr>
        <w:lastRenderedPageBreak/>
        <w:t>CA par activité se répartit comme suit : - prestations de services géophysiques (68,5%) : prestations d'enregistrement, de traitement et d'interprétation de données sismiques terrestres et marines ;</w:t>
      </w:r>
      <w:r>
        <w:rPr>
          <w:rFonts w:ascii="Times New Roman" w:hAnsi="Times New Roman"/>
          <w:sz w:val="24"/>
        </w:rPr>
        <w:t xml:space="preserve"> </w:t>
      </w:r>
      <w:r w:rsidRPr="00D63590">
        <w:rPr>
          <w:rFonts w:ascii="Times New Roman" w:hAnsi="Times New Roman"/>
          <w:sz w:val="24"/>
        </w:rPr>
        <w:t>- fabrication d'équipements sismiques (31,5%) : notamment appareils d'enregistrement et de transmission, vibrateurs d'acquisition de données sismiques, logiciels de traitement et d'interprétation des données, etc. La répartition géographique du CA est la suivante : Europe-Afrique-Moyen Orient (36,1%), Amérique du Nord (27,7%), Asie-Pacifique (22,9%) et Amérique latine (13,3%).</w:t>
      </w:r>
      <w:r>
        <w:rPr>
          <w:rFonts w:ascii="Times New Roman" w:hAnsi="Times New Roman"/>
          <w:sz w:val="24"/>
        </w:rPr>
        <w:t xml:space="preserve"> Suite à un endettement résultant de pertes conjecturelles depuis 2013, une procédure de sauvegarde a été ouverte à Paris et un </w:t>
      </w:r>
      <w:r w:rsidRPr="007C17D3">
        <w:rPr>
          <w:rFonts w:ascii="Times New Roman" w:hAnsi="Times New Roman"/>
          <w:i/>
          <w:sz w:val="24"/>
        </w:rPr>
        <w:t>Chapter 11</w:t>
      </w:r>
      <w:r>
        <w:rPr>
          <w:rFonts w:ascii="Times New Roman" w:hAnsi="Times New Roman"/>
          <w:sz w:val="24"/>
        </w:rPr>
        <w:t xml:space="preserve"> et </w:t>
      </w:r>
      <w:r w:rsidRPr="00B56894">
        <w:rPr>
          <w:rFonts w:ascii="Times New Roman" w:hAnsi="Times New Roman"/>
          <w:i/>
          <w:sz w:val="24"/>
        </w:rPr>
        <w:t>15</w:t>
      </w:r>
      <w:r>
        <w:rPr>
          <w:rFonts w:ascii="Times New Roman" w:hAnsi="Times New Roman"/>
          <w:sz w:val="24"/>
        </w:rPr>
        <w:t xml:space="preserve"> aux Etats-Unis pour les quinze sociétés d’un périmètre défini sur la totalité du groupe en septembre 2017 après qu’une procédure de mandat </w:t>
      </w:r>
      <w:r w:rsidRPr="00B56894">
        <w:rPr>
          <w:rFonts w:ascii="Times New Roman" w:hAnsi="Times New Roman"/>
          <w:i/>
          <w:sz w:val="24"/>
        </w:rPr>
        <w:t>ad hoc</w:t>
      </w:r>
      <w:r>
        <w:rPr>
          <w:rFonts w:ascii="Times New Roman" w:hAnsi="Times New Roman"/>
          <w:sz w:val="24"/>
        </w:rPr>
        <w:t xml:space="preserve"> ait été menée en secret </w:t>
      </w:r>
      <w:r>
        <w:rPr>
          <w:rStyle w:val="Appelnotedebasdep"/>
          <w:rFonts w:ascii="Times New Roman" w:hAnsi="Times New Roman"/>
          <w:sz w:val="24"/>
        </w:rPr>
        <w:footnoteReference w:id="97"/>
      </w:r>
      <w:r>
        <w:rPr>
          <w:rFonts w:ascii="Times New Roman" w:hAnsi="Times New Roman"/>
          <w:sz w:val="24"/>
        </w:rPr>
        <w:t>.</w:t>
      </w:r>
    </w:p>
    <w:p w:rsidR="008064D7" w:rsidRDefault="008064D7" w:rsidP="00D63590">
      <w:pPr>
        <w:spacing w:line="240" w:lineRule="auto"/>
        <w:rPr>
          <w:rFonts w:ascii="Times New Roman" w:hAnsi="Times New Roman"/>
          <w:sz w:val="24"/>
        </w:rPr>
      </w:pPr>
    </w:p>
    <w:p w:rsidR="008064D7" w:rsidRDefault="008064D7" w:rsidP="00D63590">
      <w:pPr>
        <w:spacing w:line="240" w:lineRule="auto"/>
        <w:ind w:left="708"/>
        <w:rPr>
          <w:rFonts w:ascii="Times New Roman" w:hAnsi="Times New Roman"/>
          <w:sz w:val="24"/>
        </w:rPr>
      </w:pPr>
      <w:r>
        <w:rPr>
          <w:rFonts w:ascii="Times New Roman" w:hAnsi="Times New Roman"/>
          <w:sz w:val="24"/>
        </w:rPr>
        <w:t>S</w:t>
      </w:r>
      <w:r w:rsidRPr="00D63590">
        <w:rPr>
          <w:rFonts w:ascii="Times New Roman" w:hAnsi="Times New Roman"/>
          <w:sz w:val="24"/>
        </w:rPr>
        <w:t>on cours d’introd</w:t>
      </w:r>
      <w:r>
        <w:rPr>
          <w:rFonts w:ascii="Times New Roman" w:hAnsi="Times New Roman"/>
          <w:sz w:val="24"/>
        </w:rPr>
        <w:t>uction en 1992 était de 100 EUR, montant en aout 2007 à 2</w:t>
      </w:r>
      <w:r w:rsidRPr="00D63590">
        <w:rPr>
          <w:rFonts w:ascii="Times New Roman" w:hAnsi="Times New Roman"/>
          <w:sz w:val="24"/>
        </w:rPr>
        <w:t xml:space="preserve">01 euros, tombé à 16.99 EUR au </w:t>
      </w:r>
      <w:r>
        <w:rPr>
          <w:rFonts w:ascii="Times New Roman" w:hAnsi="Times New Roman"/>
          <w:sz w:val="24"/>
        </w:rPr>
        <w:t>31 décembre 2015</w:t>
      </w:r>
      <w:r w:rsidRPr="00D63590">
        <w:rPr>
          <w:rFonts w:ascii="Times New Roman" w:hAnsi="Times New Roman"/>
          <w:sz w:val="24"/>
        </w:rPr>
        <w:t xml:space="preserve">, à 5.51 EUR au </w:t>
      </w:r>
      <w:r>
        <w:rPr>
          <w:rFonts w:ascii="Times New Roman" w:hAnsi="Times New Roman"/>
          <w:sz w:val="24"/>
        </w:rPr>
        <w:t>31 décembre 2016</w:t>
      </w:r>
      <w:r w:rsidRPr="00D63590">
        <w:rPr>
          <w:rFonts w:ascii="Times New Roman" w:hAnsi="Times New Roman"/>
          <w:sz w:val="24"/>
        </w:rPr>
        <w:t xml:space="preserve"> et à 1.81 EUR le 14 juin 2017 date de l’ouverture de la sauvegarde, </w:t>
      </w:r>
      <w:r>
        <w:rPr>
          <w:rFonts w:ascii="Times New Roman" w:hAnsi="Times New Roman"/>
          <w:sz w:val="24"/>
        </w:rPr>
        <w:t xml:space="preserve">Il était encore de </w:t>
      </w:r>
      <w:r w:rsidRPr="00D63590">
        <w:rPr>
          <w:rFonts w:ascii="Times New Roman" w:hAnsi="Times New Roman"/>
          <w:sz w:val="24"/>
        </w:rPr>
        <w:t>1.53 en décembre 2017 date de l’augmentation de capital</w:t>
      </w:r>
      <w:r>
        <w:rPr>
          <w:rFonts w:ascii="Times New Roman" w:hAnsi="Times New Roman"/>
          <w:sz w:val="24"/>
        </w:rPr>
        <w:t xml:space="preserve"> dont question ci-après devenu </w:t>
      </w:r>
      <w:r w:rsidRPr="00D63590">
        <w:rPr>
          <w:rFonts w:ascii="Times New Roman" w:hAnsi="Times New Roman"/>
          <w:sz w:val="24"/>
        </w:rPr>
        <w:t xml:space="preserve">2.95 en février 2020. </w:t>
      </w:r>
    </w:p>
    <w:p w:rsidR="008064D7" w:rsidRDefault="008064D7" w:rsidP="00D63590">
      <w:pPr>
        <w:spacing w:line="240" w:lineRule="auto"/>
        <w:ind w:left="708"/>
        <w:rPr>
          <w:rFonts w:ascii="Times New Roman" w:hAnsi="Times New Roman"/>
          <w:sz w:val="24"/>
        </w:rPr>
      </w:pPr>
    </w:p>
    <w:p w:rsidR="008064D7" w:rsidRDefault="008064D7" w:rsidP="00D63590">
      <w:pPr>
        <w:spacing w:line="240" w:lineRule="auto"/>
        <w:ind w:left="708"/>
        <w:rPr>
          <w:rFonts w:ascii="Times New Roman" w:hAnsi="Times New Roman"/>
          <w:sz w:val="24"/>
        </w:rPr>
      </w:pPr>
      <w:r>
        <w:rPr>
          <w:rFonts w:ascii="Times New Roman" w:hAnsi="Times New Roman"/>
          <w:sz w:val="24"/>
        </w:rPr>
        <w:t>D</w:t>
      </w:r>
      <w:r w:rsidRPr="00D63590">
        <w:rPr>
          <w:rFonts w:ascii="Times New Roman" w:hAnsi="Times New Roman"/>
          <w:sz w:val="24"/>
        </w:rPr>
        <w:t>ans le cadre de la restructuration en décembre 2017, le prix de souscription d’une augmentation de capital en numéraire a été fixé à 1.56 mais avec un prix de conversion pour les Seniors</w:t>
      </w:r>
      <w:r>
        <w:rPr>
          <w:rFonts w:ascii="Times New Roman" w:hAnsi="Times New Roman"/>
          <w:sz w:val="24"/>
        </w:rPr>
        <w:t xml:space="preserve"> notes</w:t>
      </w:r>
      <w:r w:rsidRPr="00D63590">
        <w:rPr>
          <w:rFonts w:ascii="Times New Roman" w:hAnsi="Times New Roman"/>
          <w:sz w:val="24"/>
        </w:rPr>
        <w:t xml:space="preserve"> de 3.12, les obligations de 10.26 </w:t>
      </w:r>
      <w:r>
        <w:rPr>
          <w:rFonts w:ascii="Times New Roman" w:hAnsi="Times New Roman"/>
          <w:sz w:val="24"/>
        </w:rPr>
        <w:t xml:space="preserve">€ </w:t>
      </w:r>
      <w:r w:rsidRPr="00D63590">
        <w:rPr>
          <w:rFonts w:ascii="Times New Roman" w:hAnsi="Times New Roman"/>
          <w:sz w:val="24"/>
        </w:rPr>
        <w:t xml:space="preserve">avec émissions de bons de souscriptions d’actions pour les apports en numéraires et la conversion de la senior note sur base d’une valeur d’entreprise fixée à 2 milliards d’Euros post restructuration.  </w:t>
      </w:r>
      <w:r>
        <w:rPr>
          <w:rFonts w:ascii="Times New Roman" w:hAnsi="Times New Roman"/>
          <w:sz w:val="24"/>
        </w:rPr>
        <w:t xml:space="preserve">Ont été converties en actions une dette de 1.5 milliards $ de </w:t>
      </w:r>
      <w:r w:rsidRPr="00B56894">
        <w:rPr>
          <w:rFonts w:ascii="Times New Roman" w:hAnsi="Times New Roman"/>
          <w:i/>
          <w:sz w:val="24"/>
        </w:rPr>
        <w:t>Yield</w:t>
      </w:r>
      <w:r>
        <w:rPr>
          <w:rFonts w:ascii="Times New Roman" w:hAnsi="Times New Roman"/>
          <w:sz w:val="24"/>
        </w:rPr>
        <w:t xml:space="preserve">, 360 millions d’EUR d’obligations dans le cadre du maintien et de l’extension de maturité d’une dette de 800 millions $ et d’une augmentation de capital en numéraire de 126 millions $, du paiement d’intérêts en cash pour 5 millions $ avec une clause de retour à meilleure fortune ce qui apportait au groupe 500 millions $ de cash et une réduction de dette de l’ordre de 2 milliard $. Un rapport d’expert indépendant s’est prononcé sur le caractère équitable de la restructuration, l’échec du plan provoquant quasi certainement le démantèlement du groupe dans les procédures de redressement judiciaires ou de liquidation ou </w:t>
      </w:r>
      <w:r w:rsidRPr="007C17D3">
        <w:rPr>
          <w:rFonts w:ascii="Times New Roman" w:hAnsi="Times New Roman"/>
          <w:i/>
          <w:sz w:val="24"/>
        </w:rPr>
        <w:t>Chapter 7</w:t>
      </w:r>
      <w:r>
        <w:rPr>
          <w:rFonts w:ascii="Times New Roman" w:hAnsi="Times New Roman"/>
          <w:sz w:val="24"/>
        </w:rPr>
        <w:t xml:space="preserve"> ce qui entrainait la perte de toute valeur pour les actionnaires et les créanciers non sécurisé et une perte pour les sécurisé. La dette convertie représentant 20 fois la capitalisation boursière du moment. Les actionnaires ont dû subir une dilution qui ramenait leurs droits à 3.1% ou à 21.9% selon leur attitude. Les créanciers opérationnels ont pu être payés.</w:t>
      </w:r>
    </w:p>
    <w:p w:rsidR="008064D7" w:rsidRDefault="008064D7" w:rsidP="00D63590">
      <w:pPr>
        <w:spacing w:line="240" w:lineRule="auto"/>
        <w:ind w:left="708"/>
        <w:rPr>
          <w:rFonts w:ascii="Times New Roman" w:hAnsi="Times New Roman"/>
          <w:sz w:val="24"/>
        </w:rPr>
      </w:pPr>
    </w:p>
    <w:p w:rsidR="008064D7" w:rsidRPr="00D63590" w:rsidRDefault="008064D7" w:rsidP="00251370">
      <w:pPr>
        <w:spacing w:line="240" w:lineRule="auto"/>
        <w:ind w:left="708"/>
        <w:rPr>
          <w:rFonts w:ascii="Times New Roman" w:hAnsi="Times New Roman"/>
          <w:sz w:val="24"/>
        </w:rPr>
      </w:pPr>
      <w:r w:rsidRPr="00D63590">
        <w:rPr>
          <w:rFonts w:ascii="Times New Roman" w:hAnsi="Times New Roman"/>
          <w:sz w:val="24"/>
        </w:rPr>
        <w:t xml:space="preserve">Elle était cotée le </w:t>
      </w:r>
      <w:r>
        <w:rPr>
          <w:rFonts w:ascii="Times New Roman" w:hAnsi="Times New Roman"/>
          <w:sz w:val="24"/>
        </w:rPr>
        <w:t>17 février 2020 à</w:t>
      </w:r>
      <w:r w:rsidRPr="00D63590">
        <w:rPr>
          <w:rFonts w:ascii="Times New Roman" w:hAnsi="Times New Roman"/>
          <w:sz w:val="24"/>
        </w:rPr>
        <w:t xml:space="preserve"> 3 EUR pour une valeur d’entreprise de plus de 3 milliards</w:t>
      </w:r>
      <w:r>
        <w:rPr>
          <w:rFonts w:ascii="Times New Roman" w:hAnsi="Times New Roman"/>
          <w:sz w:val="24"/>
        </w:rPr>
        <w:t>.</w:t>
      </w:r>
      <w:r w:rsidRPr="00D63590">
        <w:rPr>
          <w:rFonts w:ascii="Times New Roman" w:hAnsi="Times New Roman"/>
          <w:sz w:val="24"/>
        </w:rPr>
        <w:t xml:space="preserve">  A ce jour, frappée </w:t>
      </w:r>
      <w:r>
        <w:rPr>
          <w:rFonts w:ascii="Times New Roman" w:hAnsi="Times New Roman"/>
          <w:sz w:val="24"/>
        </w:rPr>
        <w:t>par</w:t>
      </w:r>
      <w:r w:rsidRPr="00D63590">
        <w:rPr>
          <w:rFonts w:ascii="Times New Roman" w:hAnsi="Times New Roman"/>
          <w:sz w:val="24"/>
        </w:rPr>
        <w:t xml:space="preserve"> la crise, son cours est de 0.56</w:t>
      </w:r>
      <w:r>
        <w:rPr>
          <w:rFonts w:ascii="Times New Roman" w:hAnsi="Times New Roman"/>
          <w:sz w:val="24"/>
        </w:rPr>
        <w:t xml:space="preserve">€ </w:t>
      </w:r>
      <w:r w:rsidRPr="00D63590">
        <w:rPr>
          <w:rFonts w:ascii="Times New Roman" w:hAnsi="Times New Roman"/>
          <w:sz w:val="24"/>
        </w:rPr>
        <w:t xml:space="preserve">pour une valorisation de 400 millions. </w:t>
      </w:r>
    </w:p>
    <w:p w:rsidR="008064D7" w:rsidRDefault="008064D7" w:rsidP="009F3D77">
      <w:pPr>
        <w:pStyle w:val="Paragraphedeliste"/>
        <w:spacing w:line="240" w:lineRule="auto"/>
        <w:ind w:left="786"/>
        <w:rPr>
          <w:rFonts w:ascii="Times New Roman" w:hAnsi="Times New Roman"/>
          <w:sz w:val="24"/>
        </w:rPr>
      </w:pPr>
    </w:p>
    <w:p w:rsidR="008064D7" w:rsidRDefault="008064D7" w:rsidP="00AC0598">
      <w:pPr>
        <w:spacing w:line="240" w:lineRule="auto"/>
        <w:ind w:left="708"/>
        <w:rPr>
          <w:rFonts w:ascii="Times New Roman" w:hAnsi="Times New Roman"/>
          <w:sz w:val="24"/>
        </w:rPr>
      </w:pPr>
      <w:r>
        <w:rPr>
          <w:rFonts w:ascii="Times New Roman" w:hAnsi="Times New Roman"/>
          <w:sz w:val="24"/>
          <w:u w:val="single"/>
        </w:rPr>
        <w:t xml:space="preserve">Les seconde et troisième </w:t>
      </w:r>
      <w:r w:rsidR="00945364">
        <w:rPr>
          <w:rFonts w:ascii="Times New Roman" w:hAnsi="Times New Roman"/>
          <w:sz w:val="24"/>
          <w:u w:val="single"/>
        </w:rPr>
        <w:t xml:space="preserve">sont </w:t>
      </w:r>
      <w:r w:rsidR="00945364" w:rsidRPr="00CA5537">
        <w:rPr>
          <w:rFonts w:ascii="Times New Roman" w:hAnsi="Times New Roman"/>
          <w:sz w:val="24"/>
          <w:u w:val="single"/>
        </w:rPr>
        <w:t>Casino</w:t>
      </w:r>
      <w:r w:rsidRPr="00CA5537">
        <w:rPr>
          <w:rFonts w:ascii="Times New Roman" w:hAnsi="Times New Roman"/>
          <w:sz w:val="24"/>
          <w:u w:val="single"/>
        </w:rPr>
        <w:t>, chaîne de grands magasins et sa maison mère Rallye placée en sauvegarde.</w:t>
      </w:r>
      <w:r>
        <w:rPr>
          <w:rFonts w:ascii="Times New Roman" w:hAnsi="Times New Roman"/>
          <w:sz w:val="24"/>
        </w:rPr>
        <w:t xml:space="preserve"> Pour développer son activité, l’actionnaire a utilisé une cascade de sociétés jouant sur l’effet levier à base d’endettements en bourse et d’endettements obligataires en mettant en garantie les actions de Casino et de deux autres filiales d’exploitation de grands magasins (Go sport et une autre). Dès que la société cible connait une baisse de croissance, les revenus distribuables ne suffisent plus </w:t>
      </w:r>
      <w:r>
        <w:rPr>
          <w:rFonts w:ascii="Times New Roman" w:hAnsi="Times New Roman"/>
          <w:sz w:val="24"/>
        </w:rPr>
        <w:lastRenderedPageBreak/>
        <w:t>à payer la dette ou oblige à exagérer les dividendes distribués en mettant en difficulté les sociétés opérationnelles en se mettant alors à la limite de l’abus de bien social.</w:t>
      </w:r>
    </w:p>
    <w:p w:rsidR="008064D7" w:rsidRDefault="008064D7" w:rsidP="009F3D77">
      <w:pPr>
        <w:pStyle w:val="Paragraphedeliste"/>
        <w:spacing w:line="240" w:lineRule="auto"/>
        <w:ind w:left="786"/>
        <w:rPr>
          <w:rFonts w:ascii="Times New Roman" w:hAnsi="Times New Roman"/>
          <w:sz w:val="24"/>
        </w:rPr>
      </w:pPr>
    </w:p>
    <w:p w:rsidR="008064D7" w:rsidRDefault="008064D7" w:rsidP="00AC0598">
      <w:pPr>
        <w:spacing w:line="240" w:lineRule="auto"/>
        <w:ind w:left="708"/>
        <w:rPr>
          <w:rFonts w:ascii="Times New Roman" w:hAnsi="Times New Roman"/>
          <w:sz w:val="24"/>
        </w:rPr>
      </w:pPr>
      <w:r>
        <w:rPr>
          <w:rFonts w:ascii="Times New Roman" w:hAnsi="Times New Roman"/>
          <w:sz w:val="24"/>
        </w:rPr>
        <w:t>Fin 2018, Rallye (holding) avait vu sa dette de 2,9 milliards et les holdings supérieures de 400 millions qui n’étaient plus « </w:t>
      </w:r>
      <w:r>
        <w:rPr>
          <w:rFonts w:ascii="Times New Roman" w:hAnsi="Times New Roman"/>
          <w:i/>
          <w:sz w:val="24"/>
        </w:rPr>
        <w:t>couvertes</w:t>
      </w:r>
      <w:r>
        <w:rPr>
          <w:rFonts w:ascii="Times New Roman" w:hAnsi="Times New Roman"/>
          <w:sz w:val="24"/>
        </w:rPr>
        <w:t> » par la valeur des actions casino qui avaient baissé de cours en 5 ans passant de 58€ à 23€. Le chiffre d’</w:t>
      </w:r>
      <w:r w:rsidRPr="007C17D3">
        <w:rPr>
          <w:rFonts w:ascii="Times New Roman" w:hAnsi="Times New Roman"/>
          <w:sz w:val="24"/>
        </w:rPr>
        <w:t>affaire</w:t>
      </w:r>
      <w:r>
        <w:rPr>
          <w:rFonts w:ascii="Times New Roman" w:hAnsi="Times New Roman"/>
          <w:sz w:val="24"/>
        </w:rPr>
        <w:t xml:space="preserve"> avait baissé de 5% et le bénéfice de 26% en raison de difficultés conjoncturelles et de l’implantation au brésil. La sauvegarde a suspendu le paiement de la dette appelée « </w:t>
      </w:r>
      <w:r>
        <w:rPr>
          <w:rFonts w:ascii="Times New Roman" w:hAnsi="Times New Roman"/>
          <w:i/>
          <w:sz w:val="24"/>
        </w:rPr>
        <w:t>appel de marge</w:t>
      </w:r>
      <w:r>
        <w:rPr>
          <w:rFonts w:ascii="Times New Roman" w:hAnsi="Times New Roman"/>
          <w:sz w:val="24"/>
        </w:rPr>
        <w:t> ».</w:t>
      </w:r>
    </w:p>
    <w:p w:rsidR="008064D7" w:rsidRDefault="008064D7" w:rsidP="009F3D77">
      <w:pPr>
        <w:pStyle w:val="Paragraphedeliste"/>
        <w:spacing w:line="240" w:lineRule="auto"/>
        <w:ind w:left="786"/>
        <w:rPr>
          <w:rFonts w:ascii="Times New Roman" w:hAnsi="Times New Roman"/>
          <w:sz w:val="24"/>
        </w:rPr>
      </w:pPr>
    </w:p>
    <w:p w:rsidR="008064D7" w:rsidRDefault="008064D7" w:rsidP="00AC0598">
      <w:pPr>
        <w:spacing w:line="240" w:lineRule="auto"/>
        <w:ind w:left="708"/>
        <w:rPr>
          <w:rFonts w:ascii="Times New Roman" w:hAnsi="Times New Roman"/>
          <w:sz w:val="24"/>
        </w:rPr>
      </w:pPr>
      <w:r>
        <w:rPr>
          <w:rFonts w:ascii="Times New Roman" w:hAnsi="Times New Roman"/>
          <w:sz w:val="24"/>
        </w:rPr>
        <w:t>Le plan a été approuvé le 28 février 2020. Le document déposé à l’AMF établit un vote à 71% de tous les créanciers, dont 100% des créanciers sécurisés (1.357 millions) et 46% des créanciers non-sécurisés (720 millions). Le cours de Rallye au 28/02/2020 était de 5,19. Il est descendu à 4,86 le 13/03 pour remonter à 9,13 le 16/06/2020 avant de redescendre à 3,540 à ce jour. Le cours de Casino était de 35,19 au 28/02/2020 pour être à ce jour de 20,38.</w:t>
      </w:r>
    </w:p>
    <w:p w:rsidR="008064D7" w:rsidRDefault="008064D7" w:rsidP="009F3D77">
      <w:pPr>
        <w:pStyle w:val="Paragraphedeliste"/>
        <w:spacing w:line="240" w:lineRule="auto"/>
        <w:ind w:left="786"/>
        <w:rPr>
          <w:rFonts w:ascii="Times New Roman" w:hAnsi="Times New Roman"/>
          <w:sz w:val="24"/>
        </w:rPr>
      </w:pPr>
    </w:p>
    <w:p w:rsidR="008064D7" w:rsidRDefault="008064D7" w:rsidP="00AC0598">
      <w:pPr>
        <w:spacing w:line="240" w:lineRule="auto"/>
        <w:ind w:left="708"/>
        <w:rPr>
          <w:rFonts w:ascii="Times New Roman" w:hAnsi="Times New Roman"/>
          <w:sz w:val="24"/>
        </w:rPr>
      </w:pPr>
      <w:r>
        <w:rPr>
          <w:rFonts w:ascii="Times New Roman" w:hAnsi="Times New Roman"/>
          <w:sz w:val="24"/>
        </w:rPr>
        <w:t>Ainsi, ces sociétés avaient un cours peu de temps avant la sauvegarde dont les causes étaient assez anciennes et assez haut (Casino 05/03/2019 : 45,6, Rallye 05/03/2019 : 8,32) et ont conservé durant toute la procédure un cours qui s’est plutôt redressé.</w:t>
      </w:r>
    </w:p>
    <w:p w:rsidR="008064D7" w:rsidRDefault="008064D7" w:rsidP="009F3D77">
      <w:pPr>
        <w:pStyle w:val="Paragraphedeliste"/>
        <w:spacing w:line="240" w:lineRule="auto"/>
        <w:ind w:left="786"/>
        <w:rPr>
          <w:rFonts w:ascii="Times New Roman" w:hAnsi="Times New Roman"/>
          <w:sz w:val="24"/>
        </w:rPr>
      </w:pPr>
    </w:p>
    <w:p w:rsidR="008064D7" w:rsidRPr="00CA5537" w:rsidRDefault="008064D7" w:rsidP="00AC0598">
      <w:pPr>
        <w:spacing w:line="240" w:lineRule="auto"/>
        <w:ind w:left="708"/>
        <w:rPr>
          <w:rFonts w:ascii="Times New Roman" w:hAnsi="Times New Roman"/>
          <w:sz w:val="24"/>
        </w:rPr>
      </w:pPr>
      <w:r>
        <w:rPr>
          <w:rFonts w:ascii="Times New Roman" w:hAnsi="Times New Roman"/>
          <w:sz w:val="24"/>
          <w:u w:val="single"/>
        </w:rPr>
        <w:t xml:space="preserve">Les </w:t>
      </w:r>
      <w:r w:rsidR="008278BC">
        <w:rPr>
          <w:rFonts w:ascii="Times New Roman" w:hAnsi="Times New Roman"/>
          <w:sz w:val="24"/>
          <w:u w:val="single"/>
        </w:rPr>
        <w:t xml:space="preserve">sociétés </w:t>
      </w:r>
      <w:r>
        <w:rPr>
          <w:rFonts w:ascii="Times New Roman" w:hAnsi="Times New Roman"/>
          <w:sz w:val="24"/>
          <w:u w:val="single"/>
        </w:rPr>
        <w:t xml:space="preserve">suivantes </w:t>
      </w:r>
      <w:r w:rsidR="00945364">
        <w:rPr>
          <w:rFonts w:ascii="Times New Roman" w:hAnsi="Times New Roman"/>
          <w:sz w:val="24"/>
          <w:u w:val="single"/>
        </w:rPr>
        <w:t xml:space="preserve">sont </w:t>
      </w:r>
      <w:r w:rsidR="00945364">
        <w:rPr>
          <w:rFonts w:ascii="Times New Roman" w:hAnsi="Times New Roman"/>
          <w:sz w:val="24"/>
        </w:rPr>
        <w:t>Alpha</w:t>
      </w:r>
      <w:r>
        <w:rPr>
          <w:rFonts w:ascii="Times New Roman" w:hAnsi="Times New Roman"/>
          <w:sz w:val="24"/>
        </w:rPr>
        <w:t xml:space="preserve"> MOS, Avenir Telecom, Enensys, Europlasma, PArtouche, Kalray, Neavacs, Solocal, Spineguard , Acadomia qui ont tenu des procédures de PRJ ou RJ, sauveagrde ou conciliation et qui ont continuées à être cotée </w:t>
      </w:r>
    </w:p>
    <w:p w:rsidR="008064D7" w:rsidRDefault="008064D7" w:rsidP="00AC0598">
      <w:pPr>
        <w:spacing w:line="240" w:lineRule="auto"/>
        <w:ind w:left="708"/>
        <w:rPr>
          <w:rFonts w:ascii="Times New Roman" w:hAnsi="Times New Roman"/>
          <w:sz w:val="24"/>
          <w:u w:val="single"/>
        </w:rPr>
      </w:pPr>
    </w:p>
    <w:p w:rsidR="008064D7" w:rsidRDefault="008278BC" w:rsidP="00AC0598">
      <w:pPr>
        <w:spacing w:line="240" w:lineRule="auto"/>
        <w:ind w:left="708"/>
        <w:rPr>
          <w:rFonts w:ascii="Times New Roman" w:hAnsi="Times New Roman"/>
          <w:sz w:val="24"/>
        </w:rPr>
      </w:pPr>
      <w:r>
        <w:rPr>
          <w:rFonts w:ascii="Times New Roman" w:hAnsi="Times New Roman"/>
          <w:sz w:val="24"/>
          <w:u w:val="single"/>
        </w:rPr>
        <w:t xml:space="preserve">Les </w:t>
      </w:r>
      <w:r w:rsidR="008064D7">
        <w:rPr>
          <w:rFonts w:ascii="Times New Roman" w:hAnsi="Times New Roman"/>
          <w:sz w:val="24"/>
          <w:u w:val="single"/>
        </w:rPr>
        <w:t>dernière</w:t>
      </w:r>
      <w:r>
        <w:rPr>
          <w:rFonts w:ascii="Times New Roman" w:hAnsi="Times New Roman"/>
          <w:sz w:val="24"/>
          <w:u w:val="single"/>
        </w:rPr>
        <w:t xml:space="preserve">s étaient </w:t>
      </w:r>
      <w:r w:rsidR="008064D7">
        <w:rPr>
          <w:rFonts w:ascii="Times New Roman" w:hAnsi="Times New Roman"/>
          <w:sz w:val="24"/>
          <w:u w:val="single"/>
        </w:rPr>
        <w:t xml:space="preserve">la société Belge </w:t>
      </w:r>
      <w:r w:rsidR="008064D7" w:rsidRPr="00CB062F">
        <w:rPr>
          <w:rFonts w:ascii="Times New Roman" w:hAnsi="Times New Roman"/>
          <w:sz w:val="24"/>
          <w:u w:val="single"/>
        </w:rPr>
        <w:t>Hamon</w:t>
      </w:r>
      <w:r w:rsidR="008064D7">
        <w:rPr>
          <w:rFonts w:ascii="Times New Roman" w:hAnsi="Times New Roman"/>
          <w:sz w:val="24"/>
        </w:rPr>
        <w:t xml:space="preserve"> (cours 26/11/2015 : 2,815, cours 16/09/2019 : 0,213, cours de ce jour : 1,51) et Nyrstar </w:t>
      </w:r>
    </w:p>
    <w:p w:rsidR="008064D7" w:rsidRDefault="008064D7" w:rsidP="00AC0598">
      <w:pPr>
        <w:spacing w:line="240" w:lineRule="auto"/>
        <w:ind w:left="708"/>
        <w:rPr>
          <w:rFonts w:ascii="Times New Roman" w:hAnsi="Times New Roman"/>
          <w:sz w:val="24"/>
        </w:rPr>
      </w:pPr>
    </w:p>
    <w:p w:rsidR="008064D7" w:rsidRDefault="008064D7" w:rsidP="00AC0598">
      <w:pPr>
        <w:spacing w:line="240" w:lineRule="auto"/>
        <w:ind w:left="708"/>
        <w:rPr>
          <w:rFonts w:ascii="Times New Roman" w:hAnsi="Times New Roman"/>
          <w:sz w:val="24"/>
        </w:rPr>
      </w:pPr>
      <w:r>
        <w:rPr>
          <w:rFonts w:ascii="Times New Roman" w:hAnsi="Times New Roman"/>
          <w:sz w:val="24"/>
        </w:rPr>
        <w:t>Plusieurs conclusions sautent aux yeux : Le cours de l’entreprise dans la période parfois assez longue- antérieure à l’annonce de sa procédure a baissé soit rapidement soit progressivement sur base des informations qui sont souvent à la base de la procédure. Le cours dans une période de temps équivalente à la procédure reste bas ou très bas mais des transactions continuent à ce réaliser. Le cours de fin de procédure sert souvent à des opérations de conversion en capital ou de recapitalisation même i parfois ces opérations se font à un prix plus petit que celui du cours « normal » . le cours remonte mais ne parvient souvent pas à remontrer très rapidement et n’atteint plus les niveaux de valorisation antérieures ; Au moindres difficultés, le cours est aff</w:t>
      </w:r>
      <w:r w:rsidR="00945364">
        <w:rPr>
          <w:rFonts w:ascii="Times New Roman" w:hAnsi="Times New Roman"/>
          <w:sz w:val="24"/>
        </w:rPr>
        <w:t>ecté par un manque de confiance.</w:t>
      </w:r>
    </w:p>
    <w:p w:rsidR="008278BC" w:rsidRDefault="008278BC" w:rsidP="00AC0598">
      <w:pPr>
        <w:spacing w:line="240" w:lineRule="auto"/>
        <w:ind w:left="708"/>
        <w:rPr>
          <w:rFonts w:ascii="Times New Roman" w:hAnsi="Times New Roman"/>
          <w:sz w:val="24"/>
        </w:rPr>
      </w:pPr>
    </w:p>
    <w:p w:rsidR="008064D7" w:rsidRDefault="008278BC" w:rsidP="00AC0598">
      <w:pPr>
        <w:spacing w:line="240" w:lineRule="auto"/>
        <w:ind w:left="708"/>
        <w:rPr>
          <w:rFonts w:ascii="Times New Roman" w:hAnsi="Times New Roman"/>
          <w:sz w:val="24"/>
        </w:rPr>
      </w:pPr>
      <w:r>
        <w:rPr>
          <w:rFonts w:ascii="Times New Roman" w:hAnsi="Times New Roman"/>
          <w:sz w:val="24"/>
        </w:rPr>
        <w:t xml:space="preserve">Le cours </w:t>
      </w:r>
      <w:r w:rsidR="00945364">
        <w:rPr>
          <w:rFonts w:ascii="Times New Roman" w:hAnsi="Times New Roman"/>
          <w:sz w:val="24"/>
        </w:rPr>
        <w:t>ne représente donc pas totalement la valeur de l’entreprise, mais son prix dans son contexte et son histoire et sur un marché soumis à l’émotion.</w:t>
      </w:r>
    </w:p>
    <w:p w:rsidR="008064D7" w:rsidRDefault="008064D7" w:rsidP="00AC0598">
      <w:pPr>
        <w:spacing w:line="240" w:lineRule="auto"/>
        <w:ind w:left="708"/>
        <w:rPr>
          <w:rFonts w:ascii="Times New Roman" w:hAnsi="Times New Roman"/>
          <w:sz w:val="24"/>
        </w:rPr>
      </w:pPr>
    </w:p>
    <w:p w:rsidR="008064D7" w:rsidRDefault="008064D7" w:rsidP="000C2F65">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valeur des actions de sociétés cotées aux Etats-Unis</w:t>
      </w:r>
      <w:r w:rsidR="00945364">
        <w:rPr>
          <w:rFonts w:ascii="Times New Roman" w:hAnsi="Times New Roman"/>
          <w:sz w:val="24"/>
          <w:u w:val="single"/>
        </w:rPr>
        <w:t xml:space="preserve"> est intéressante si l’on cherche la valeur de l’entreprise</w:t>
      </w:r>
      <w:r>
        <w:rPr>
          <w:rFonts w:ascii="Times New Roman" w:hAnsi="Times New Roman"/>
          <w:sz w:val="24"/>
          <w:u w:val="single"/>
        </w:rPr>
        <w:t xml:space="preserve"> : </w:t>
      </w:r>
      <w:r w:rsidR="00945364">
        <w:rPr>
          <w:rFonts w:ascii="Times New Roman" w:hAnsi="Times New Roman"/>
          <w:sz w:val="24"/>
          <w:u w:val="single"/>
        </w:rPr>
        <w:t>j</w:t>
      </w:r>
      <w:r>
        <w:rPr>
          <w:rFonts w:ascii="Times New Roman" w:hAnsi="Times New Roman"/>
          <w:sz w:val="24"/>
        </w:rPr>
        <w:t xml:space="preserve">’ai </w:t>
      </w:r>
      <w:r w:rsidR="008278BC">
        <w:rPr>
          <w:rFonts w:ascii="Times New Roman" w:hAnsi="Times New Roman"/>
          <w:sz w:val="24"/>
        </w:rPr>
        <w:t xml:space="preserve">aussi </w:t>
      </w:r>
      <w:r>
        <w:rPr>
          <w:rFonts w:ascii="Times New Roman" w:hAnsi="Times New Roman"/>
          <w:sz w:val="24"/>
        </w:rPr>
        <w:t xml:space="preserve">regardé le cours des actions de Intelsat, JC peney, Chesapeake, Kodak ou Hertz qui ont conduit des </w:t>
      </w:r>
      <w:r w:rsidRPr="007C17D3">
        <w:rPr>
          <w:rFonts w:ascii="Times New Roman" w:hAnsi="Times New Roman"/>
          <w:i/>
          <w:sz w:val="24"/>
        </w:rPr>
        <w:t>Chapter 11</w:t>
      </w:r>
      <w:r w:rsidR="00530B17">
        <w:rPr>
          <w:rFonts w:ascii="Times New Roman" w:hAnsi="Times New Roman"/>
          <w:i/>
          <w:sz w:val="24"/>
        </w:rPr>
        <w:t>.</w:t>
      </w:r>
    </w:p>
    <w:p w:rsidR="008064D7" w:rsidRDefault="008064D7" w:rsidP="000C2F65">
      <w:pPr>
        <w:pStyle w:val="Paragraphedeliste"/>
        <w:spacing w:line="240" w:lineRule="auto"/>
        <w:ind w:left="786"/>
        <w:rPr>
          <w:rFonts w:ascii="Times New Roman" w:hAnsi="Times New Roman"/>
          <w:sz w:val="24"/>
          <w:u w:val="single"/>
        </w:rPr>
      </w:pPr>
    </w:p>
    <w:p w:rsidR="008064D7" w:rsidRPr="000C2F65" w:rsidRDefault="008064D7" w:rsidP="000C2F65">
      <w:pPr>
        <w:pStyle w:val="Paragraphedeliste"/>
        <w:spacing w:line="240" w:lineRule="auto"/>
        <w:ind w:left="786"/>
        <w:rPr>
          <w:rFonts w:ascii="Times New Roman" w:hAnsi="Times New Roman"/>
          <w:sz w:val="24"/>
        </w:rPr>
      </w:pPr>
      <w:r>
        <w:rPr>
          <w:rFonts w:ascii="Times New Roman" w:hAnsi="Times New Roman"/>
          <w:sz w:val="24"/>
        </w:rPr>
        <w:t xml:space="preserve">Un article précise </w:t>
      </w:r>
      <w:r>
        <w:rPr>
          <w:rStyle w:val="Appelnotedebasdep"/>
          <w:rFonts w:ascii="Times New Roman" w:hAnsi="Times New Roman"/>
          <w:sz w:val="24"/>
        </w:rPr>
        <w:footnoteReference w:id="98"/>
      </w:r>
      <w:r>
        <w:rPr>
          <w:rFonts w:ascii="Times New Roman" w:hAnsi="Times New Roman"/>
          <w:sz w:val="24"/>
        </w:rPr>
        <w:t>«  Hertz</w:t>
      </w:r>
      <w:r w:rsidRPr="000C2F65">
        <w:rPr>
          <w:rFonts w:ascii="Times New Roman" w:hAnsi="Times New Roman"/>
          <w:sz w:val="24"/>
        </w:rPr>
        <w:t xml:space="preserve">  </w:t>
      </w:r>
      <w:r>
        <w:rPr>
          <w:rFonts w:ascii="Times New Roman" w:hAnsi="Times New Roman"/>
          <w:sz w:val="24"/>
        </w:rPr>
        <w:t>a cherché</w:t>
      </w:r>
      <w:r w:rsidRPr="000C2F65">
        <w:rPr>
          <w:rFonts w:ascii="Times New Roman" w:hAnsi="Times New Roman"/>
          <w:sz w:val="24"/>
        </w:rPr>
        <w:t xml:space="preserve"> à vendre jusqu’à 1 milliard de dollars en actions dans une démarche sans précédent pour une entreprise dont la solvabilité est mise en </w:t>
      </w:r>
      <w:r w:rsidRPr="000C2F65">
        <w:rPr>
          <w:rFonts w:ascii="Times New Roman" w:hAnsi="Times New Roman"/>
          <w:sz w:val="24"/>
        </w:rPr>
        <w:lastRenderedPageBreak/>
        <w:t>doute.</w:t>
      </w:r>
      <w:r>
        <w:rPr>
          <w:rFonts w:ascii="Times New Roman" w:hAnsi="Times New Roman"/>
          <w:sz w:val="24"/>
        </w:rPr>
        <w:t xml:space="preserve"> Cette trésorerie</w:t>
      </w:r>
      <w:r w:rsidRPr="000C2F65">
        <w:rPr>
          <w:rFonts w:ascii="Times New Roman" w:hAnsi="Times New Roman"/>
          <w:sz w:val="24"/>
        </w:rPr>
        <w:t xml:space="preserve"> aiderait à financer le processus de réorganisation de l’entreprise et remplacerait le prêt senior traditionnel utilisé par la plupart des entreprises dans les procédures </w:t>
      </w:r>
      <w:r>
        <w:rPr>
          <w:rFonts w:ascii="Times New Roman" w:hAnsi="Times New Roman"/>
          <w:sz w:val="24"/>
        </w:rPr>
        <w:t>du chapitre 11</w:t>
      </w:r>
      <w:r w:rsidR="00530B17">
        <w:rPr>
          <w:rFonts w:ascii="Times New Roman" w:hAnsi="Times New Roman"/>
          <w:sz w:val="24"/>
        </w:rPr>
        <w:t>.</w:t>
      </w:r>
      <w:r>
        <w:rPr>
          <w:rFonts w:ascii="Times New Roman" w:hAnsi="Times New Roman"/>
          <w:sz w:val="24"/>
        </w:rPr>
        <w:t xml:space="preserve"> </w:t>
      </w:r>
      <w:r w:rsidRPr="000C2F65">
        <w:rPr>
          <w:rFonts w:ascii="Times New Roman" w:hAnsi="Times New Roman"/>
          <w:sz w:val="24"/>
        </w:rPr>
        <w:t>Les actions de Hertz ont atteint 5,53 $ lundi, ce qui implique une valeur de marché supérieure à 700 millions de dollars, alors même que ses obligations se négociaient à des niveaux très perturbés en dessous de 40 cents sur le dollar. À de tels niveaux, les actionnaires sont généralement anéantis.</w:t>
      </w:r>
      <w:r>
        <w:rPr>
          <w:rFonts w:ascii="Times New Roman" w:hAnsi="Times New Roman"/>
          <w:sz w:val="24"/>
        </w:rPr>
        <w:t xml:space="preserve"> </w:t>
      </w:r>
      <w:r w:rsidRPr="000C2F65">
        <w:rPr>
          <w:rFonts w:ascii="Times New Roman" w:hAnsi="Times New Roman"/>
          <w:sz w:val="24"/>
        </w:rPr>
        <w:t>L’intensification des échanges et la hausse du cours des actions « </w:t>
      </w:r>
      <w:r w:rsidRPr="00530B17">
        <w:rPr>
          <w:rFonts w:ascii="Times New Roman" w:hAnsi="Times New Roman"/>
          <w:i/>
          <w:sz w:val="24"/>
        </w:rPr>
        <w:t>présentent une opportunité unique pour les débiteurs de lever des capitaux à des conditions bien supérieures à tout financement de débiteur en possession</w:t>
      </w:r>
      <w:r w:rsidRPr="000C2F65">
        <w:rPr>
          <w:rFonts w:ascii="Times New Roman" w:hAnsi="Times New Roman"/>
          <w:sz w:val="24"/>
        </w:rPr>
        <w:t> », a écrit la société, notant que les capitaux propres seraient exempts de clauses restrictives qui, généralement, entreprises enchaînées dans le processus du chapitre 11.</w:t>
      </w:r>
      <w:r>
        <w:rPr>
          <w:rFonts w:ascii="Times New Roman" w:hAnsi="Times New Roman"/>
          <w:sz w:val="24"/>
        </w:rPr>
        <w:t xml:space="preserve"> </w:t>
      </w:r>
      <w:r w:rsidRPr="000C2F65">
        <w:rPr>
          <w:rFonts w:ascii="Times New Roman" w:hAnsi="Times New Roman"/>
          <w:sz w:val="24"/>
        </w:rPr>
        <w:t>La société a une dette de 18 milliards de dollars, principalement en obligations garanties contre ses centaines de milliers de véhicules. Une forte baisse des prix des voitures d’occasion l’a obligée à effectuer des paiements supplémentaires aux détenteurs d’obligations au moment même où ses entrées de trésorerie se tarissaient.</w:t>
      </w:r>
      <w:r>
        <w:rPr>
          <w:rFonts w:ascii="Times New Roman" w:hAnsi="Times New Roman"/>
          <w:sz w:val="24"/>
        </w:rPr>
        <w:t xml:space="preserve"> </w:t>
      </w:r>
      <w:r w:rsidRPr="000C2F65">
        <w:rPr>
          <w:rFonts w:ascii="Times New Roman" w:hAnsi="Times New Roman"/>
          <w:sz w:val="24"/>
        </w:rPr>
        <w:t xml:space="preserve">Hertz estime disposer d’environ 250 millions d’actions non émises qu’elle souhaite </w:t>
      </w:r>
      <w:r w:rsidR="00530B17" w:rsidRPr="000C2F65">
        <w:rPr>
          <w:rFonts w:ascii="Times New Roman" w:hAnsi="Times New Roman"/>
          <w:sz w:val="24"/>
        </w:rPr>
        <w:t>commercialiser</w:t>
      </w:r>
      <w:r w:rsidR="00530B17">
        <w:rPr>
          <w:rFonts w:ascii="Times New Roman" w:hAnsi="Times New Roman"/>
          <w:sz w:val="24"/>
        </w:rPr>
        <w:t>.</w:t>
      </w:r>
      <w:r w:rsidR="00530B17" w:rsidRPr="000C2F65">
        <w:rPr>
          <w:rFonts w:ascii="Times New Roman" w:hAnsi="Times New Roman"/>
          <w:sz w:val="24"/>
        </w:rPr>
        <w:t xml:space="preserve"> </w:t>
      </w:r>
      <w:r w:rsidR="00530B17">
        <w:rPr>
          <w:rFonts w:ascii="Times New Roman" w:hAnsi="Times New Roman"/>
          <w:sz w:val="24"/>
        </w:rPr>
        <w:t>Le</w:t>
      </w:r>
      <w:r w:rsidRPr="000C2F65">
        <w:rPr>
          <w:rFonts w:ascii="Times New Roman" w:hAnsi="Times New Roman"/>
          <w:sz w:val="24"/>
        </w:rPr>
        <w:t xml:space="preserve"> tribunal de faillite du Delaware devrait examiner la requête</w:t>
      </w:r>
      <w:r>
        <w:rPr>
          <w:rFonts w:ascii="Times New Roman" w:hAnsi="Times New Roman"/>
          <w:sz w:val="24"/>
        </w:rPr>
        <w:t xml:space="preserve">. </w:t>
      </w:r>
      <w:r w:rsidRPr="000C2F65">
        <w:rPr>
          <w:rFonts w:ascii="Times New Roman" w:hAnsi="Times New Roman"/>
          <w:sz w:val="24"/>
        </w:rPr>
        <w:t>Les actions de Hertz ont perdu les quatre cinquièmes de leur valeur après la mise en faillite du groupe, mais se sont rétablies après une vague d’intérêt de la part des investisseurs particuliers dans le titre baissier. La frénésie d’achat a conduit le titre à gagner plus de 800% lundi par rapport au creux du 26 mai, le premier jour de bourse après son dépôt au chapitre 11. Depuis lors, le titre a fléchi de près des deux tiers et a clôturé jeudi à 2,06 $, bien au-dessus du nadir de 0,56 $ qu’il avait atteint le mois dernier. D’autres sociétés en difficulté, dont JC Penney, Whiting Petroleum et Chesapeake Energy, ont connu une volatilité similaire.</w:t>
      </w:r>
    </w:p>
    <w:p w:rsidR="008064D7" w:rsidRDefault="008064D7" w:rsidP="00CB062F">
      <w:pPr>
        <w:pStyle w:val="Paragraphedeliste"/>
        <w:spacing w:line="240" w:lineRule="auto"/>
        <w:ind w:left="786"/>
        <w:rPr>
          <w:rFonts w:ascii="Times New Roman" w:hAnsi="Times New Roman"/>
          <w:sz w:val="24"/>
          <w:u w:val="single"/>
        </w:rPr>
      </w:pPr>
    </w:p>
    <w:p w:rsidR="008064D7" w:rsidRPr="00FC7384" w:rsidRDefault="008064D7" w:rsidP="00CB062F">
      <w:pPr>
        <w:pStyle w:val="Paragraphedeliste"/>
        <w:spacing w:line="240" w:lineRule="auto"/>
        <w:ind w:left="786"/>
        <w:rPr>
          <w:rFonts w:ascii="Times New Roman" w:hAnsi="Times New Roman"/>
          <w:sz w:val="24"/>
        </w:rPr>
      </w:pPr>
      <w:r w:rsidRPr="00FC7384">
        <w:rPr>
          <w:rFonts w:ascii="Times New Roman" w:hAnsi="Times New Roman"/>
          <w:sz w:val="24"/>
        </w:rPr>
        <w:t xml:space="preserve">Pour JC PENNEY </w:t>
      </w:r>
      <w:r>
        <w:rPr>
          <w:rFonts w:ascii="Times New Roman" w:hAnsi="Times New Roman"/>
          <w:sz w:val="24"/>
        </w:rPr>
        <w:t xml:space="preserve">, l’action n’avait perdu que 29 % avec l’annonce du </w:t>
      </w:r>
      <w:r w:rsidRPr="007C17D3">
        <w:rPr>
          <w:rFonts w:ascii="Times New Roman" w:hAnsi="Times New Roman"/>
          <w:i/>
          <w:sz w:val="24"/>
        </w:rPr>
        <w:t>Chapter 11</w:t>
      </w:r>
      <w:r>
        <w:rPr>
          <w:rFonts w:ascii="Times New Roman" w:hAnsi="Times New Roman"/>
          <w:sz w:val="24"/>
        </w:rPr>
        <w:t xml:space="preserve"> tombant à 1.1123 . Elle était peu de temps avant à 1.1889. Au 10/10, elle était cependant à 0.251 soit une plus-</w:t>
      </w:r>
      <w:r w:rsidRPr="007C17D3">
        <w:rPr>
          <w:rFonts w:ascii="Times New Roman" w:hAnsi="Times New Roman"/>
          <w:i/>
          <w:sz w:val="24"/>
        </w:rPr>
        <w:t>value</w:t>
      </w:r>
      <w:r>
        <w:rPr>
          <w:rFonts w:ascii="Times New Roman" w:hAnsi="Times New Roman"/>
          <w:sz w:val="24"/>
        </w:rPr>
        <w:t xml:space="preserve"> de plus de 100 % depuis la date de la demande de </w:t>
      </w:r>
      <w:r w:rsidRPr="007C17D3">
        <w:rPr>
          <w:rFonts w:ascii="Times New Roman" w:hAnsi="Times New Roman"/>
          <w:i/>
          <w:sz w:val="24"/>
        </w:rPr>
        <w:t>Chapter 11</w:t>
      </w:r>
    </w:p>
    <w:p w:rsidR="008064D7" w:rsidRDefault="008064D7" w:rsidP="00CB062F">
      <w:pPr>
        <w:pStyle w:val="Paragraphedeliste"/>
        <w:spacing w:line="240" w:lineRule="auto"/>
        <w:ind w:left="786"/>
        <w:rPr>
          <w:rFonts w:ascii="Times New Roman" w:hAnsi="Times New Roman"/>
          <w:sz w:val="24"/>
          <w:u w:val="single"/>
        </w:rPr>
      </w:pPr>
    </w:p>
    <w:p w:rsidR="008064D7" w:rsidRPr="00955971" w:rsidRDefault="008064D7" w:rsidP="00CB062F">
      <w:pPr>
        <w:pStyle w:val="Paragraphedeliste"/>
        <w:spacing w:line="240" w:lineRule="auto"/>
        <w:ind w:left="786"/>
        <w:rPr>
          <w:rFonts w:ascii="Times New Roman" w:hAnsi="Times New Roman"/>
          <w:sz w:val="24"/>
        </w:rPr>
      </w:pPr>
      <w:r w:rsidRPr="00955971">
        <w:rPr>
          <w:rFonts w:ascii="Times New Roman" w:hAnsi="Times New Roman"/>
          <w:sz w:val="24"/>
        </w:rPr>
        <w:t xml:space="preserve">L’exemple </w:t>
      </w:r>
      <w:r>
        <w:rPr>
          <w:rFonts w:ascii="Times New Roman" w:hAnsi="Times New Roman"/>
          <w:sz w:val="24"/>
        </w:rPr>
        <w:t xml:space="preserve">de American </w:t>
      </w:r>
      <w:r w:rsidR="00530B17">
        <w:rPr>
          <w:rFonts w:ascii="Times New Roman" w:hAnsi="Times New Roman"/>
          <w:sz w:val="24"/>
        </w:rPr>
        <w:t>Airlines</w:t>
      </w:r>
      <w:r>
        <w:rPr>
          <w:rFonts w:ascii="Times New Roman" w:hAnsi="Times New Roman"/>
          <w:sz w:val="24"/>
        </w:rPr>
        <w:t xml:space="preserve"> est intéressant. Au moment de la demande, une action valait en bourse 0.20 </w:t>
      </w:r>
      <w:r w:rsidR="00530B17">
        <w:rPr>
          <w:rFonts w:ascii="Times New Roman" w:hAnsi="Times New Roman"/>
          <w:sz w:val="24"/>
        </w:rPr>
        <w:t>$.</w:t>
      </w:r>
      <w:r>
        <w:rPr>
          <w:rFonts w:ascii="Times New Roman" w:hAnsi="Times New Roman"/>
          <w:sz w:val="24"/>
        </w:rPr>
        <w:t xml:space="preserve"> Elle valait</w:t>
      </w:r>
      <w:r w:rsidR="00530B17">
        <w:rPr>
          <w:rFonts w:ascii="Times New Roman" w:hAnsi="Times New Roman"/>
          <w:sz w:val="24"/>
        </w:rPr>
        <w:t xml:space="preserve"> juste avant la crise du C</w:t>
      </w:r>
      <w:r>
        <w:rPr>
          <w:rFonts w:ascii="Times New Roman" w:hAnsi="Times New Roman"/>
          <w:sz w:val="24"/>
        </w:rPr>
        <w:t xml:space="preserve">orona près de 28 $. General Grotw Propreties a permis à ses actionnaires qui ont acquis l’action au jour de la demande de </w:t>
      </w:r>
      <w:r w:rsidRPr="007C17D3">
        <w:rPr>
          <w:rFonts w:ascii="Times New Roman" w:hAnsi="Times New Roman"/>
          <w:i/>
          <w:sz w:val="24"/>
        </w:rPr>
        <w:t>Chapter 11</w:t>
      </w:r>
      <w:r>
        <w:rPr>
          <w:rFonts w:ascii="Times New Roman" w:hAnsi="Times New Roman"/>
          <w:sz w:val="24"/>
        </w:rPr>
        <w:t xml:space="preserve"> une plus-</w:t>
      </w:r>
      <w:r w:rsidRPr="007C17D3">
        <w:rPr>
          <w:rFonts w:ascii="Times New Roman" w:hAnsi="Times New Roman"/>
          <w:sz w:val="24"/>
        </w:rPr>
        <w:t>value</w:t>
      </w:r>
      <w:r>
        <w:rPr>
          <w:rFonts w:ascii="Times New Roman" w:hAnsi="Times New Roman"/>
          <w:sz w:val="24"/>
        </w:rPr>
        <w:t xml:space="preserve"> de 256 %</w:t>
      </w:r>
      <w:r w:rsidR="00530B17">
        <w:rPr>
          <w:rFonts w:ascii="Times New Roman" w:hAnsi="Times New Roman"/>
          <w:sz w:val="24"/>
        </w:rPr>
        <w:t>.</w:t>
      </w:r>
      <w:r>
        <w:rPr>
          <w:rFonts w:ascii="Times New Roman" w:hAnsi="Times New Roman"/>
          <w:sz w:val="24"/>
        </w:rPr>
        <w:t xml:space="preserve"> </w:t>
      </w:r>
    </w:p>
    <w:p w:rsidR="008064D7" w:rsidRPr="00AE3545" w:rsidRDefault="008064D7" w:rsidP="00CB062F">
      <w:pPr>
        <w:pStyle w:val="Paragraphedeliste"/>
        <w:spacing w:line="240" w:lineRule="auto"/>
        <w:ind w:left="786"/>
        <w:rPr>
          <w:rFonts w:ascii="Times New Roman" w:hAnsi="Times New Roman"/>
          <w:sz w:val="24"/>
          <w:u w:val="single"/>
        </w:rPr>
      </w:pPr>
    </w:p>
    <w:p w:rsidR="008064D7" w:rsidRDefault="008064D7" w:rsidP="000868F6">
      <w:pPr>
        <w:pStyle w:val="Paragraphedeliste"/>
        <w:spacing w:line="240" w:lineRule="auto"/>
        <w:ind w:left="786"/>
        <w:rPr>
          <w:rFonts w:ascii="Times New Roman" w:hAnsi="Times New Roman"/>
          <w:sz w:val="24"/>
        </w:rPr>
      </w:pPr>
      <w:r>
        <w:rPr>
          <w:rFonts w:ascii="Times New Roman" w:hAnsi="Times New Roman"/>
          <w:sz w:val="24"/>
        </w:rPr>
        <w:t xml:space="preserve">Il faut se souvenir qu’aux Etats-Unis, une société cotée demandant le </w:t>
      </w:r>
      <w:r w:rsidRPr="007C17D3">
        <w:rPr>
          <w:rFonts w:ascii="Times New Roman" w:hAnsi="Times New Roman"/>
          <w:i/>
          <w:sz w:val="24"/>
        </w:rPr>
        <w:t>Chapter 11</w:t>
      </w:r>
      <w:r>
        <w:rPr>
          <w:rFonts w:ascii="Times New Roman" w:hAnsi="Times New Roman"/>
          <w:sz w:val="24"/>
        </w:rPr>
        <w:t xml:space="preserve"> passe de la cote classique au marché des OTC (over-the-couter) qui un marché moins transparent. On ajoute d’ailleurs devant le code de l’action : le code Q. </w:t>
      </w:r>
    </w:p>
    <w:p w:rsidR="008064D7" w:rsidRDefault="008064D7" w:rsidP="000868F6">
      <w:pPr>
        <w:pStyle w:val="Paragraphedeliste"/>
        <w:spacing w:line="240" w:lineRule="auto"/>
        <w:ind w:left="786"/>
        <w:rPr>
          <w:rFonts w:ascii="Times New Roman" w:hAnsi="Times New Roman"/>
          <w:sz w:val="24"/>
        </w:rPr>
      </w:pPr>
    </w:p>
    <w:p w:rsidR="008064D7" w:rsidRPr="000868F6" w:rsidRDefault="008064D7" w:rsidP="000868F6">
      <w:pPr>
        <w:pStyle w:val="Paragraphedeliste"/>
        <w:spacing w:line="240" w:lineRule="auto"/>
        <w:ind w:left="786"/>
        <w:rPr>
          <w:rFonts w:ascii="Times New Roman" w:hAnsi="Times New Roman"/>
          <w:sz w:val="24"/>
        </w:rPr>
      </w:pPr>
      <w:r>
        <w:rPr>
          <w:rFonts w:ascii="Times New Roman" w:hAnsi="Times New Roman"/>
          <w:sz w:val="24"/>
        </w:rPr>
        <w:t>Mais l</w:t>
      </w:r>
      <w:r w:rsidRPr="000868F6">
        <w:rPr>
          <w:rFonts w:ascii="Times New Roman" w:hAnsi="Times New Roman"/>
          <w:sz w:val="24"/>
        </w:rPr>
        <w:t>a valeur des actions ainsi achetée</w:t>
      </w:r>
      <w:r w:rsidR="00530B17">
        <w:rPr>
          <w:rFonts w:ascii="Times New Roman" w:hAnsi="Times New Roman"/>
          <w:sz w:val="24"/>
        </w:rPr>
        <w:t>s</w:t>
      </w:r>
      <w:r w:rsidRPr="000868F6">
        <w:rPr>
          <w:rFonts w:ascii="Times New Roman" w:hAnsi="Times New Roman"/>
          <w:sz w:val="24"/>
        </w:rPr>
        <w:t xml:space="preserve"> – aux Etats-Unis, compte-tenu des règles du </w:t>
      </w:r>
      <w:r w:rsidRPr="007C17D3">
        <w:rPr>
          <w:rFonts w:ascii="Times New Roman" w:hAnsi="Times New Roman"/>
          <w:i/>
          <w:sz w:val="24"/>
        </w:rPr>
        <w:t>Chapter 11</w:t>
      </w:r>
      <w:r w:rsidRPr="000868F6">
        <w:rPr>
          <w:rFonts w:ascii="Times New Roman" w:hAnsi="Times New Roman"/>
          <w:sz w:val="24"/>
        </w:rPr>
        <w:t xml:space="preserve"> qui permet d’écraser l’actionnaire ancien, est en réalité la spéculation de la réussite ou non d’un plan </w:t>
      </w:r>
      <w:r w:rsidRPr="007C17D3">
        <w:rPr>
          <w:rFonts w:ascii="Times New Roman" w:hAnsi="Times New Roman"/>
          <w:i/>
          <w:sz w:val="24"/>
        </w:rPr>
        <w:t>Chapter 11</w:t>
      </w:r>
      <w:r w:rsidRPr="000868F6">
        <w:rPr>
          <w:rFonts w:ascii="Times New Roman" w:hAnsi="Times New Roman"/>
          <w:sz w:val="24"/>
        </w:rPr>
        <w:t xml:space="preserve"> qui laisserait une valeur</w:t>
      </w:r>
      <w:r>
        <w:rPr>
          <w:rStyle w:val="Appelnotedebasdep"/>
          <w:rFonts w:ascii="Times New Roman" w:hAnsi="Times New Roman"/>
          <w:sz w:val="24"/>
        </w:rPr>
        <w:footnoteReference w:id="99"/>
      </w:r>
      <w:r w:rsidRPr="000868F6">
        <w:rPr>
          <w:rFonts w:ascii="Times New Roman" w:hAnsi="Times New Roman"/>
          <w:sz w:val="24"/>
        </w:rPr>
        <w:t>. Ce n’est plus la valeur de l’entreprise que le prix représente mais le prix de la spéculation sans le plan.</w:t>
      </w:r>
    </w:p>
    <w:p w:rsidR="008064D7" w:rsidRDefault="008064D7" w:rsidP="00CB062F">
      <w:pPr>
        <w:pStyle w:val="Paragraphedeliste"/>
        <w:spacing w:line="240" w:lineRule="auto"/>
        <w:ind w:left="786"/>
        <w:rPr>
          <w:rFonts w:ascii="Times New Roman" w:hAnsi="Times New Roman"/>
          <w:sz w:val="24"/>
        </w:rPr>
      </w:pPr>
    </w:p>
    <w:p w:rsidR="008064D7" w:rsidRDefault="008064D7" w:rsidP="00D729DC">
      <w:pPr>
        <w:pStyle w:val="Paragraphedeliste"/>
        <w:spacing w:line="240" w:lineRule="auto"/>
        <w:ind w:left="786"/>
        <w:rPr>
          <w:rFonts w:ascii="Times New Roman" w:hAnsi="Times New Roman"/>
          <w:sz w:val="24"/>
        </w:rPr>
      </w:pPr>
      <w:r>
        <w:rPr>
          <w:rFonts w:ascii="Times New Roman" w:hAnsi="Times New Roman"/>
          <w:sz w:val="24"/>
        </w:rPr>
        <w:t xml:space="preserve">Ceci étant, il a été démontré que le prix des actions d’une société cotée qui n’était pas en </w:t>
      </w:r>
      <w:r w:rsidRPr="007C17D3">
        <w:rPr>
          <w:rFonts w:ascii="Times New Roman" w:hAnsi="Times New Roman"/>
          <w:i/>
          <w:sz w:val="24"/>
        </w:rPr>
        <w:t>Chapter 11</w:t>
      </w:r>
      <w:r>
        <w:rPr>
          <w:rFonts w:ascii="Times New Roman" w:hAnsi="Times New Roman"/>
          <w:sz w:val="24"/>
        </w:rPr>
        <w:t xml:space="preserve"> n’était pas non plus la représentation de la valeur de l’entreprise. </w:t>
      </w:r>
    </w:p>
    <w:p w:rsidR="008064D7" w:rsidRDefault="008064D7" w:rsidP="00D729DC">
      <w:pPr>
        <w:pStyle w:val="Paragraphedeliste"/>
        <w:spacing w:line="240" w:lineRule="auto"/>
        <w:ind w:left="786"/>
        <w:rPr>
          <w:rFonts w:ascii="Times New Roman" w:hAnsi="Times New Roman"/>
          <w:sz w:val="24"/>
        </w:rPr>
      </w:pPr>
    </w:p>
    <w:p w:rsidR="008064D7" w:rsidRPr="00D729DC" w:rsidRDefault="008064D7" w:rsidP="00D729DC">
      <w:pPr>
        <w:pStyle w:val="Paragraphedeliste"/>
        <w:spacing w:line="240" w:lineRule="auto"/>
        <w:ind w:left="786"/>
        <w:rPr>
          <w:rFonts w:ascii="Times New Roman" w:hAnsi="Times New Roman"/>
          <w:sz w:val="24"/>
        </w:rPr>
      </w:pPr>
      <w:r w:rsidRPr="00D729DC">
        <w:rPr>
          <w:rFonts w:ascii="Times New Roman" w:hAnsi="Times New Roman"/>
          <w:sz w:val="24"/>
        </w:rPr>
        <w:t>Des auteurs américains</w:t>
      </w:r>
      <w:r>
        <w:rPr>
          <w:rStyle w:val="Appelnotedebasdep"/>
          <w:rFonts w:ascii="Times New Roman" w:hAnsi="Times New Roman"/>
          <w:sz w:val="24"/>
        </w:rPr>
        <w:footnoteReference w:id="100"/>
      </w:r>
      <w:r w:rsidRPr="00D729DC">
        <w:rPr>
          <w:rFonts w:ascii="Times New Roman" w:hAnsi="Times New Roman"/>
          <w:sz w:val="24"/>
        </w:rPr>
        <w:t xml:space="preserve"> ont étudié avec attention l’évolution du cours des actions cotées y compris lorsqu’elles se négocient sur le OTC, au départ de 602 cas de 1998 à 2006. Cet examen pouvait aussi fonder des critiques envers la règle de priorité absolue s’il était ressort</w:t>
      </w:r>
      <w:r w:rsidR="00530B17">
        <w:rPr>
          <w:rFonts w:ascii="Times New Roman" w:hAnsi="Times New Roman"/>
          <w:sz w:val="24"/>
        </w:rPr>
        <w:t>i</w:t>
      </w:r>
      <w:r w:rsidRPr="00D729DC">
        <w:rPr>
          <w:rFonts w:ascii="Times New Roman" w:hAnsi="Times New Roman"/>
          <w:sz w:val="24"/>
        </w:rPr>
        <w:t xml:space="preserve"> que la valeur de l’entreprise après restructuration se trouvait être très différente que la valeur retenue pour la règle de priorité absolue. Au départ de nombreuses études économique et de la base de données, l’étude constate d’abord que 227 cas ont dû être convertis en </w:t>
      </w:r>
      <w:r w:rsidRPr="007C17D3">
        <w:rPr>
          <w:rFonts w:ascii="Times New Roman" w:hAnsi="Times New Roman"/>
          <w:i/>
          <w:sz w:val="24"/>
        </w:rPr>
        <w:t>Chapter 7</w:t>
      </w:r>
      <w:r w:rsidRPr="00D729DC">
        <w:rPr>
          <w:rFonts w:ascii="Times New Roman" w:hAnsi="Times New Roman"/>
          <w:sz w:val="24"/>
        </w:rPr>
        <w:t>, 260 se sont réorganisées tandis que 64 ont été cédées et 33 ont pu renoncer à leur procédure soit un taux de réussite de près de 60%. Entre 60 et 70% de ces actions restaient traitées en OTC plus de 50 jours après l’ouverture de la procédure. L’auteur examine la valeur de cotation des actions aux différents moments. Il constate bien plus de transactions que ce que l’on peut s’attendre créant une valeur certaine, assez signifiante.</w:t>
      </w:r>
    </w:p>
    <w:p w:rsidR="008064D7" w:rsidRDefault="008064D7" w:rsidP="00E759DA">
      <w:pPr>
        <w:pStyle w:val="Paragraphedeliste"/>
        <w:spacing w:line="240" w:lineRule="auto"/>
        <w:ind w:left="786"/>
        <w:rPr>
          <w:rFonts w:ascii="Times New Roman" w:hAnsi="Times New Roman"/>
          <w:sz w:val="24"/>
          <w:u w:val="single"/>
        </w:rPr>
      </w:pPr>
    </w:p>
    <w:p w:rsidR="008064D7" w:rsidRDefault="008064D7" w:rsidP="006D7E72">
      <w:pPr>
        <w:pStyle w:val="Paragraphedeliste"/>
        <w:spacing w:line="240" w:lineRule="auto"/>
        <w:ind w:left="786"/>
        <w:rPr>
          <w:rFonts w:ascii="Times New Roman" w:hAnsi="Times New Roman"/>
          <w:sz w:val="24"/>
        </w:rPr>
      </w:pPr>
      <w:r>
        <w:rPr>
          <w:rFonts w:ascii="Times New Roman" w:hAnsi="Times New Roman"/>
          <w:sz w:val="24"/>
        </w:rPr>
        <w:t>Un autre auteur</w:t>
      </w:r>
      <w:r>
        <w:rPr>
          <w:rStyle w:val="Appelnotedebasdep"/>
          <w:rFonts w:ascii="Times New Roman" w:hAnsi="Times New Roman"/>
          <w:sz w:val="24"/>
        </w:rPr>
        <w:footnoteReference w:id="101"/>
      </w:r>
      <w:r>
        <w:rPr>
          <w:rFonts w:ascii="Times New Roman" w:hAnsi="Times New Roman"/>
          <w:sz w:val="24"/>
        </w:rPr>
        <w:t xml:space="preserve"> </w:t>
      </w:r>
      <w:r w:rsidRPr="00E759DA">
        <w:rPr>
          <w:rFonts w:ascii="Times New Roman" w:hAnsi="Times New Roman"/>
          <w:sz w:val="24"/>
        </w:rPr>
        <w:t>a recherché la valeur des actions des sociétés qui sortaient de la procédure</w:t>
      </w:r>
      <w:r>
        <w:rPr>
          <w:rFonts w:ascii="Times New Roman" w:hAnsi="Times New Roman"/>
          <w:sz w:val="24"/>
        </w:rPr>
        <w:t>. Ses conclusions sont intéressantes en ce qu’elles confirment à la fois une cohérence de valeur d’entreprise avec celle arbitrée et une évolution du cours et de la valeur ressentie par l’investisseur. Un troisième auteur a examiné à la fois la performance de ce entreprises mais aussi le comportement de l’investisseur intervenant dans ces entreprises</w:t>
      </w:r>
      <w:r>
        <w:rPr>
          <w:rStyle w:val="Appelnotedebasdep"/>
          <w:rFonts w:ascii="Times New Roman" w:hAnsi="Times New Roman"/>
          <w:sz w:val="24"/>
        </w:rPr>
        <w:footnoteReference w:id="102"/>
      </w:r>
      <w:r>
        <w:rPr>
          <w:rFonts w:ascii="Times New Roman" w:hAnsi="Times New Roman"/>
          <w:sz w:val="24"/>
        </w:rPr>
        <w:t>. Il a pu démontrer que la qualité des prévisions faites dans la procédure était en ligne avec les performances post procédure.</w:t>
      </w:r>
    </w:p>
    <w:p w:rsidR="008064D7" w:rsidRPr="001D5886" w:rsidRDefault="008064D7" w:rsidP="00062CBC">
      <w:pPr>
        <w:spacing w:line="240" w:lineRule="auto"/>
        <w:rPr>
          <w:rFonts w:ascii="Times New Roman" w:hAnsi="Times New Roman"/>
          <w:sz w:val="24"/>
        </w:rPr>
      </w:pPr>
    </w:p>
    <w:p w:rsidR="008064D7" w:rsidRPr="00062CBC"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Ceci étant, le cours ne représente pas</w:t>
      </w:r>
      <w:r w:rsidR="00530B17">
        <w:rPr>
          <w:rFonts w:ascii="Times New Roman" w:hAnsi="Times New Roman"/>
          <w:sz w:val="24"/>
          <w:u w:val="single"/>
        </w:rPr>
        <w:t xml:space="preserve"> toujours</w:t>
      </w:r>
      <w:r>
        <w:rPr>
          <w:rFonts w:ascii="Times New Roman" w:hAnsi="Times New Roman"/>
          <w:sz w:val="24"/>
          <w:u w:val="single"/>
        </w:rPr>
        <w:t xml:space="preserve"> la valeur même pour des entreprises qui sont très rentables</w:t>
      </w:r>
      <w:r w:rsidR="00530B17" w:rsidRPr="00530B17">
        <w:rPr>
          <w:rFonts w:ascii="Times New Roman" w:hAnsi="Times New Roman"/>
          <w:sz w:val="24"/>
        </w:rPr>
        <w:t>.</w:t>
      </w:r>
      <w:r w:rsidR="00530B17">
        <w:rPr>
          <w:rFonts w:ascii="Times New Roman" w:hAnsi="Times New Roman"/>
          <w:sz w:val="24"/>
        </w:rPr>
        <w:t xml:space="preserve"> </w:t>
      </w:r>
      <w:r w:rsidRPr="00D729DC">
        <w:rPr>
          <w:rFonts w:ascii="Times New Roman" w:hAnsi="Times New Roman"/>
          <w:sz w:val="24"/>
        </w:rPr>
        <w:t>Une étude très intéressante</w:t>
      </w:r>
      <w:r>
        <w:rPr>
          <w:rStyle w:val="Appelnotedebasdep"/>
          <w:rFonts w:ascii="Times New Roman" w:hAnsi="Times New Roman"/>
          <w:sz w:val="24"/>
        </w:rPr>
        <w:footnoteReference w:id="103"/>
      </w:r>
      <w:r w:rsidRPr="00D729DC">
        <w:rPr>
          <w:rFonts w:ascii="Times New Roman" w:hAnsi="Times New Roman"/>
          <w:sz w:val="24"/>
        </w:rPr>
        <w:t>démontre que la valeur « </w:t>
      </w:r>
      <w:r w:rsidRPr="00D729DC">
        <w:rPr>
          <w:rFonts w:ascii="Times New Roman" w:hAnsi="Times New Roman"/>
          <w:i/>
          <w:sz w:val="24"/>
        </w:rPr>
        <w:t>évaluée »</w:t>
      </w:r>
      <w:r w:rsidRPr="00D729DC">
        <w:rPr>
          <w:rFonts w:ascii="Times New Roman" w:hAnsi="Times New Roman"/>
          <w:sz w:val="24"/>
        </w:rPr>
        <w:t xml:space="preserve"> de l’entreprise High Tech est </w:t>
      </w:r>
      <w:r>
        <w:rPr>
          <w:rFonts w:ascii="Times New Roman" w:hAnsi="Times New Roman"/>
          <w:sz w:val="24"/>
        </w:rPr>
        <w:t xml:space="preserve">presque toujours </w:t>
      </w:r>
      <w:r w:rsidRPr="00D729DC">
        <w:rPr>
          <w:rFonts w:ascii="Times New Roman" w:hAnsi="Times New Roman"/>
          <w:sz w:val="24"/>
        </w:rPr>
        <w:t>inférieure au prix payé en bourse.</w:t>
      </w:r>
      <w:r>
        <w:rPr>
          <w:rFonts w:ascii="Times New Roman" w:hAnsi="Times New Roman"/>
          <w:sz w:val="24"/>
        </w:rPr>
        <w:t xml:space="preserve"> </w:t>
      </w:r>
      <w:r w:rsidRPr="00062CBC">
        <w:rPr>
          <w:rFonts w:ascii="Times New Roman" w:hAnsi="Times New Roman"/>
          <w:sz w:val="24"/>
        </w:rPr>
        <w:t xml:space="preserve">Cette </w:t>
      </w:r>
      <w:r w:rsidR="00530B17" w:rsidRPr="00062CBC">
        <w:rPr>
          <w:rFonts w:ascii="Times New Roman" w:eastAsiaTheme="minorHAnsi" w:hAnsi="Times New Roman"/>
          <w:sz w:val="24"/>
          <w:szCs w:val="22"/>
          <w:lang w:eastAsia="en-US"/>
        </w:rPr>
        <w:t>étude se</w:t>
      </w:r>
      <w:r w:rsidRPr="00062CBC">
        <w:rPr>
          <w:rFonts w:ascii="Times New Roman" w:eastAsiaTheme="minorHAnsi" w:hAnsi="Times New Roman"/>
          <w:sz w:val="24"/>
          <w:szCs w:val="22"/>
          <w:lang w:eastAsia="en-US"/>
        </w:rPr>
        <w:t xml:space="preserve"> base sur les trois méthodes reconnues pour les sociétés cotées (DCF, Multiple, Schwartz &amp; Moon) sur base de la valeur de Facebook introduite sur le Nasdaq en mai 2012 à 38 $ valorisent l’entreprise à 100 milliards de $. L’étude applique les méthodes d’évaluation à Facebook (approche analogique, option réelle) et se base sur une approche de comparable fondée sur accentue, Adobe, EBay, Google, IBM, Intel, Microsoft, Yahoo, Henkel Packaert et Lexmark) en examinant les paramètres de valorisation de celle-ci comme ceci :</w:t>
      </w:r>
    </w:p>
    <w:p w:rsidR="008064D7" w:rsidRPr="00BE52AC" w:rsidRDefault="008064D7" w:rsidP="00D729DC">
      <w:pPr>
        <w:spacing w:line="240" w:lineRule="auto"/>
        <w:jc w:val="left"/>
        <w:rPr>
          <w:rFonts w:ascii="Times New Roman" w:eastAsiaTheme="minorHAnsi" w:hAnsi="Times New Roman"/>
          <w:sz w:val="24"/>
          <w:szCs w:val="22"/>
          <w:lang w:eastAsia="en-US"/>
        </w:rPr>
      </w:pPr>
    </w:p>
    <w:p w:rsidR="008064D7" w:rsidRPr="00BE52AC" w:rsidRDefault="008064D7" w:rsidP="00D729DC">
      <w:pPr>
        <w:spacing w:line="240" w:lineRule="auto"/>
        <w:jc w:val="left"/>
        <w:rPr>
          <w:rFonts w:ascii="Times New Roman" w:eastAsiaTheme="minorHAnsi" w:hAnsi="Times New Roman"/>
          <w:sz w:val="24"/>
          <w:szCs w:val="22"/>
          <w:lang w:eastAsia="en-US"/>
        </w:rPr>
      </w:pPr>
    </w:p>
    <w:tbl>
      <w:tblPr>
        <w:tblStyle w:val="TableauGrille1Clair"/>
        <w:tblW w:w="0" w:type="auto"/>
        <w:jc w:val="center"/>
        <w:tblLook w:val="04A0" w:firstRow="1" w:lastRow="0" w:firstColumn="1" w:lastColumn="0" w:noHBand="0" w:noVBand="1"/>
      </w:tblPr>
      <w:tblGrid>
        <w:gridCol w:w="1176"/>
        <w:gridCol w:w="716"/>
        <w:gridCol w:w="996"/>
        <w:gridCol w:w="1163"/>
        <w:gridCol w:w="876"/>
      </w:tblGrid>
      <w:tr w:rsidR="008064D7" w:rsidRPr="00BE52AC" w:rsidTr="008078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p>
        </w:tc>
        <w:tc>
          <w:tcPr>
            <w:tcW w:w="0" w:type="auto"/>
          </w:tcPr>
          <w:p w:rsidR="008064D7" w:rsidRPr="00BE52AC" w:rsidRDefault="008064D7" w:rsidP="0080783A">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Min.</w:t>
            </w:r>
          </w:p>
        </w:tc>
        <w:tc>
          <w:tcPr>
            <w:tcW w:w="0" w:type="auto"/>
          </w:tcPr>
          <w:p w:rsidR="008064D7" w:rsidRPr="00BE52AC" w:rsidRDefault="008064D7" w:rsidP="0080783A">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Max.</w:t>
            </w:r>
          </w:p>
        </w:tc>
        <w:tc>
          <w:tcPr>
            <w:tcW w:w="0" w:type="auto"/>
          </w:tcPr>
          <w:p w:rsidR="008064D7" w:rsidRPr="00BE52AC" w:rsidRDefault="008064D7" w:rsidP="0080783A">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Moyenne</w:t>
            </w:r>
          </w:p>
        </w:tc>
        <w:tc>
          <w:tcPr>
            <w:tcW w:w="0" w:type="auto"/>
          </w:tcPr>
          <w:p w:rsidR="008064D7" w:rsidRPr="00BE52AC" w:rsidRDefault="008064D7" w:rsidP="0080783A">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Ecart</w:t>
            </w:r>
          </w:p>
        </w:tc>
      </w:tr>
      <w:tr w:rsidR="008064D7" w:rsidRPr="00BE52AC" w:rsidTr="0080783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Prix</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7,63</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691,31</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63</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110,23</w:t>
            </w:r>
          </w:p>
        </w:tc>
      </w:tr>
      <w:tr w:rsidR="008064D7" w:rsidRPr="00BE52AC" w:rsidTr="0080783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Multiple</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1,37</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229,16</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52,32</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55,07</w:t>
            </w:r>
          </w:p>
        </w:tc>
      </w:tr>
      <w:tr w:rsidR="008064D7" w:rsidRPr="00BE52AC" w:rsidTr="0080783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DCF</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-4,32</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1574,26</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97,42</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199,27</w:t>
            </w:r>
          </w:p>
        </w:tc>
      </w:tr>
      <w:tr w:rsidR="008064D7" w:rsidRPr="00BE52AC" w:rsidTr="0080783A">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Schwartz</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0,36</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1993,69</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137,52</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270,56</w:t>
            </w:r>
          </w:p>
        </w:tc>
      </w:tr>
    </w:tbl>
    <w:p w:rsidR="008064D7" w:rsidRPr="00BE52AC" w:rsidRDefault="008064D7" w:rsidP="00D729DC">
      <w:pPr>
        <w:spacing w:line="240" w:lineRule="auto"/>
        <w:jc w:val="left"/>
        <w:rPr>
          <w:rFonts w:ascii="Times New Roman" w:eastAsiaTheme="minorHAnsi" w:hAnsi="Times New Roman"/>
          <w:sz w:val="24"/>
          <w:szCs w:val="22"/>
          <w:lang w:eastAsia="en-US"/>
        </w:rPr>
      </w:pPr>
    </w:p>
    <w:p w:rsidR="008064D7" w:rsidRPr="00BE52AC" w:rsidRDefault="008064D7" w:rsidP="00D729DC">
      <w:pPr>
        <w:spacing w:line="240" w:lineRule="auto"/>
        <w:ind w:left="708"/>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L’étude compare alors la valorisation selon les méthodes avec la valorisation boursière.</w:t>
      </w:r>
    </w:p>
    <w:p w:rsidR="008064D7" w:rsidRPr="00BE52AC" w:rsidRDefault="008064D7" w:rsidP="00D729DC">
      <w:pPr>
        <w:spacing w:line="240" w:lineRule="auto"/>
        <w:jc w:val="left"/>
        <w:rPr>
          <w:rFonts w:ascii="Times New Roman" w:eastAsiaTheme="minorHAnsi" w:hAnsi="Times New Roman"/>
          <w:sz w:val="24"/>
          <w:szCs w:val="22"/>
          <w:lang w:eastAsia="en-US"/>
        </w:rPr>
      </w:pPr>
    </w:p>
    <w:p w:rsidR="008064D7" w:rsidRPr="00BE52AC" w:rsidRDefault="008064D7" w:rsidP="00D729DC">
      <w:pPr>
        <w:spacing w:line="240" w:lineRule="auto"/>
        <w:jc w:val="left"/>
        <w:rPr>
          <w:rFonts w:ascii="Times New Roman" w:eastAsiaTheme="minorHAnsi" w:hAnsi="Times New Roman"/>
          <w:sz w:val="24"/>
          <w:szCs w:val="22"/>
          <w:lang w:eastAsia="en-US"/>
        </w:rPr>
      </w:pPr>
    </w:p>
    <w:tbl>
      <w:tblPr>
        <w:tblStyle w:val="TableauGrille1Clair"/>
        <w:tblW w:w="8173" w:type="dxa"/>
        <w:jc w:val="center"/>
        <w:tblLook w:val="04A0" w:firstRow="1" w:lastRow="0" w:firstColumn="1" w:lastColumn="0" w:noHBand="0" w:noVBand="1"/>
      </w:tblPr>
      <w:tblGrid>
        <w:gridCol w:w="1269"/>
        <w:gridCol w:w="1286"/>
        <w:gridCol w:w="1146"/>
        <w:gridCol w:w="1166"/>
        <w:gridCol w:w="1032"/>
        <w:gridCol w:w="1205"/>
        <w:gridCol w:w="1069"/>
      </w:tblGrid>
      <w:tr w:rsidR="008064D7" w:rsidRPr="00BE52AC" w:rsidTr="00530B17">
        <w:trPr>
          <w:cnfStyle w:val="100000000000" w:firstRow="1" w:lastRow="0" w:firstColumn="0" w:lastColumn="0" w:oddVBand="0" w:evenVBand="0" w:oddHBand="0"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p>
        </w:tc>
        <w:tc>
          <w:tcPr>
            <w:tcW w:w="0" w:type="auto"/>
            <w:gridSpan w:val="2"/>
          </w:tcPr>
          <w:p w:rsidR="008064D7" w:rsidRPr="00BE52AC" w:rsidRDefault="008064D7" w:rsidP="0080783A">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Multiple du chiffre d’</w:t>
            </w:r>
            <w:r w:rsidRPr="007C17D3">
              <w:rPr>
                <w:rFonts w:ascii="Times New Roman" w:eastAsiaTheme="minorHAnsi" w:hAnsi="Times New Roman"/>
                <w:sz w:val="24"/>
                <w:szCs w:val="22"/>
                <w:lang w:eastAsia="en-US"/>
              </w:rPr>
              <w:t>affaire</w:t>
            </w:r>
            <w:r w:rsidRPr="00BE52AC">
              <w:rPr>
                <w:rFonts w:ascii="Times New Roman" w:eastAsiaTheme="minorHAnsi" w:hAnsi="Times New Roman"/>
                <w:sz w:val="24"/>
                <w:szCs w:val="22"/>
                <w:lang w:eastAsia="en-US"/>
              </w:rPr>
              <w:t>s</w:t>
            </w:r>
          </w:p>
        </w:tc>
        <w:tc>
          <w:tcPr>
            <w:tcW w:w="0" w:type="auto"/>
            <w:gridSpan w:val="2"/>
          </w:tcPr>
          <w:p w:rsidR="008064D7" w:rsidRPr="00BE52AC" w:rsidRDefault="008064D7" w:rsidP="0080783A">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Discounted Cash-flow</w:t>
            </w:r>
          </w:p>
        </w:tc>
        <w:tc>
          <w:tcPr>
            <w:tcW w:w="0" w:type="auto"/>
            <w:gridSpan w:val="2"/>
          </w:tcPr>
          <w:p w:rsidR="008064D7" w:rsidRPr="00BE52AC" w:rsidRDefault="008064D7" w:rsidP="0080783A">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Schwartz et Moon (2001</w:t>
            </w:r>
          </w:p>
        </w:tc>
      </w:tr>
      <w:tr w:rsidR="008064D7" w:rsidRPr="00BE52AC" w:rsidTr="00530B17">
        <w:trPr>
          <w:trHeight w:val="351"/>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 xml:space="preserve">Moyenne </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Valeur-p</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Moyenne</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Valeur-p</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Moyenne</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Valeur-p</w:t>
            </w:r>
          </w:p>
        </w:tc>
      </w:tr>
      <w:tr w:rsidR="008064D7" w:rsidRPr="00BE52AC" w:rsidTr="00530B17">
        <w:trPr>
          <w:trHeight w:val="332"/>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Accenture</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57,43%</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91,30%</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66,52%</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81,44%</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161,80%</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86,98%</w:t>
            </w:r>
          </w:p>
        </w:tc>
      </w:tr>
      <w:tr w:rsidR="008064D7" w:rsidRPr="00BE52AC" w:rsidTr="00530B17">
        <w:trPr>
          <w:trHeight w:val="332"/>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Adobe</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-43,61</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87,71%</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30,98%</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57,69%</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-40,11%</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83,07%</w:t>
            </w:r>
          </w:p>
        </w:tc>
      </w:tr>
      <w:tr w:rsidR="008064D7" w:rsidRPr="00BE52AC" w:rsidTr="00530B17">
        <w:trPr>
          <w:trHeight w:val="332"/>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Amazon</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11,31%</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20,35%</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-23,23%</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32,41%</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958,46%</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78,63%</w:t>
            </w:r>
          </w:p>
        </w:tc>
      </w:tr>
      <w:tr w:rsidR="008064D7" w:rsidRPr="00BE52AC" w:rsidTr="00530B17">
        <w:trPr>
          <w:trHeight w:val="332"/>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Apple</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77,17%</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63,54%</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233,58%</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54,81%</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427,18%</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68,42%</w:t>
            </w:r>
          </w:p>
        </w:tc>
      </w:tr>
      <w:tr w:rsidR="008064D7" w:rsidRPr="00BE52AC" w:rsidTr="00530B17">
        <w:trPr>
          <w:trHeight w:val="332"/>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Cisco</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-38,05%</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84,50%</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30,95%</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54,68%</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-48,45%</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83,01%</w:t>
            </w:r>
          </w:p>
        </w:tc>
      </w:tr>
      <w:tr w:rsidR="008064D7" w:rsidRPr="00BE52AC" w:rsidTr="00530B17">
        <w:trPr>
          <w:trHeight w:val="332"/>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Dell</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157,84%</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80,50%</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97,10%</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57,86%</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198,95%</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78,99%</w:t>
            </w:r>
          </w:p>
        </w:tc>
      </w:tr>
      <w:tr w:rsidR="008064D7" w:rsidRPr="00BE52AC" w:rsidTr="00530B17">
        <w:trPr>
          <w:trHeight w:val="332"/>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EBay</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-69,38%</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92,86%</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-3,43%</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0,01%</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-10,89%</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15,79%</w:t>
            </w:r>
          </w:p>
        </w:tc>
      </w:tr>
      <w:tr w:rsidR="008064D7" w:rsidRPr="00BE52AC" w:rsidTr="00530B17">
        <w:trPr>
          <w:trHeight w:val="332"/>
          <w:jc w:val="center"/>
        </w:trPr>
        <w:tc>
          <w:tcPr>
            <w:cnfStyle w:val="001000000000" w:firstRow="0" w:lastRow="0" w:firstColumn="1" w:lastColumn="0" w:oddVBand="0" w:evenVBand="0" w:oddHBand="0" w:evenHBand="0" w:firstRowFirstColumn="0" w:firstRowLastColumn="0" w:lastRowFirstColumn="0" w:lastRowLastColumn="0"/>
            <w:tcW w:w="0" w:type="auto"/>
          </w:tcPr>
          <w:p w:rsidR="008064D7" w:rsidRPr="00BE52AC" w:rsidRDefault="008064D7" w:rsidP="0080783A">
            <w:pPr>
              <w:spacing w:line="240" w:lineRule="auto"/>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Google</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-75,48%</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96,74%</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33,61%</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28,46%</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-13,62%</w:t>
            </w:r>
          </w:p>
        </w:tc>
        <w:tc>
          <w:tcPr>
            <w:tcW w:w="0" w:type="auto"/>
          </w:tcPr>
          <w:p w:rsidR="008064D7" w:rsidRPr="00BE52AC" w:rsidRDefault="008064D7" w:rsidP="0080783A">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26,96%</w:t>
            </w:r>
          </w:p>
        </w:tc>
      </w:tr>
    </w:tbl>
    <w:p w:rsidR="008064D7" w:rsidRPr="00BE52AC" w:rsidRDefault="008064D7" w:rsidP="00D729DC">
      <w:pPr>
        <w:spacing w:line="240" w:lineRule="auto"/>
        <w:jc w:val="left"/>
        <w:rPr>
          <w:rFonts w:ascii="Times New Roman" w:eastAsiaTheme="minorHAnsi" w:hAnsi="Times New Roman"/>
          <w:sz w:val="24"/>
          <w:szCs w:val="22"/>
          <w:lang w:eastAsia="en-US"/>
        </w:rPr>
      </w:pPr>
    </w:p>
    <w:p w:rsidR="008064D7" w:rsidRDefault="008064D7" w:rsidP="00D729DC">
      <w:pPr>
        <w:spacing w:line="240" w:lineRule="auto"/>
        <w:ind w:left="708"/>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 xml:space="preserve">La conclusion est claire pour ce secteur économique. </w:t>
      </w:r>
    </w:p>
    <w:p w:rsidR="008064D7" w:rsidRDefault="008064D7" w:rsidP="00D729DC">
      <w:pPr>
        <w:spacing w:line="240" w:lineRule="auto"/>
        <w:ind w:left="708"/>
        <w:rPr>
          <w:rFonts w:ascii="Times New Roman" w:eastAsiaTheme="minorHAnsi" w:hAnsi="Times New Roman"/>
          <w:sz w:val="24"/>
          <w:szCs w:val="22"/>
          <w:lang w:eastAsia="en-US"/>
        </w:rPr>
      </w:pPr>
    </w:p>
    <w:p w:rsidR="008064D7" w:rsidRPr="00BE52AC" w:rsidRDefault="008064D7" w:rsidP="00D729DC">
      <w:pPr>
        <w:spacing w:line="240" w:lineRule="auto"/>
        <w:ind w:left="708"/>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Le résultat des tests statistiques montre que les modèles théoriques, même complexes, appréhendent mal la valeur de marché des entreprises technologiques. Le marché boursier intègre des facteurs qui dépassent la réalité comptable et les fondamentaux économiques et financiers étudiés. Le Prix/Book moyen de 4,6 montre que la valeur n’est pas dans le bilan mais dans des facteurs externes immatériels (le personnel, l’image de marque, le pouvoir de marché, les bases de données, le trafic, les logiciels).</w:t>
      </w:r>
    </w:p>
    <w:p w:rsidR="008064D7" w:rsidRPr="00BE52AC" w:rsidRDefault="008064D7" w:rsidP="00D729DC">
      <w:pPr>
        <w:spacing w:line="240" w:lineRule="auto"/>
        <w:rPr>
          <w:rFonts w:ascii="Times New Roman" w:eastAsiaTheme="minorHAnsi" w:hAnsi="Times New Roman"/>
          <w:sz w:val="24"/>
          <w:szCs w:val="22"/>
          <w:lang w:eastAsia="en-US"/>
        </w:rPr>
      </w:pPr>
    </w:p>
    <w:p w:rsidR="008064D7" w:rsidRPr="00BE52AC" w:rsidRDefault="008064D7" w:rsidP="00D729DC">
      <w:pPr>
        <w:spacing w:line="240" w:lineRule="auto"/>
        <w:ind w:firstLine="708"/>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L’auteur critique les méthodes :</w:t>
      </w:r>
    </w:p>
    <w:p w:rsidR="008064D7" w:rsidRPr="00BE52AC" w:rsidRDefault="008064D7" w:rsidP="00D729DC">
      <w:pPr>
        <w:spacing w:line="240" w:lineRule="auto"/>
        <w:rPr>
          <w:rFonts w:ascii="Times New Roman" w:eastAsiaTheme="minorHAnsi" w:hAnsi="Times New Roman"/>
          <w:sz w:val="24"/>
          <w:szCs w:val="22"/>
          <w:lang w:eastAsia="en-US"/>
        </w:rPr>
      </w:pPr>
    </w:p>
    <w:p w:rsidR="008064D7" w:rsidRPr="00BE52AC" w:rsidRDefault="008064D7" w:rsidP="007565AA">
      <w:pPr>
        <w:numPr>
          <w:ilvl w:val="0"/>
          <w:numId w:val="25"/>
        </w:numPr>
        <w:spacing w:after="160" w:line="240" w:lineRule="auto"/>
        <w:ind w:left="1068"/>
        <w:contextualSpacing/>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 xml:space="preserve">Celle des </w:t>
      </w:r>
      <w:r w:rsidRPr="00062CBC">
        <w:rPr>
          <w:rFonts w:ascii="Times New Roman" w:eastAsiaTheme="minorHAnsi" w:hAnsi="Times New Roman"/>
          <w:sz w:val="24"/>
          <w:szCs w:val="22"/>
          <w:u w:val="single"/>
          <w:lang w:eastAsia="en-US"/>
        </w:rPr>
        <w:t>multiples</w:t>
      </w:r>
      <w:r w:rsidRPr="00BE52AC">
        <w:rPr>
          <w:rFonts w:ascii="Times New Roman" w:eastAsiaTheme="minorHAnsi" w:hAnsi="Times New Roman"/>
          <w:sz w:val="24"/>
          <w:szCs w:val="22"/>
          <w:lang w:eastAsia="en-US"/>
        </w:rPr>
        <w:t xml:space="preserve"> dépend trop de l’homogénéité de l’entreprise, de l’indice choisi. Le concept de comparable est subjectif puisqu’il faut, en soi et en pratique, établir ce qui est comparable. Or, deux entreprises ne sont pas comparables</w:t>
      </w:r>
      <w:r w:rsidRPr="00BE52AC">
        <w:rPr>
          <w:rFonts w:ascii="Times New Roman" w:eastAsiaTheme="minorHAnsi" w:hAnsi="Times New Roman"/>
          <w:sz w:val="24"/>
          <w:szCs w:val="22"/>
          <w:vertAlign w:val="superscript"/>
          <w:lang w:eastAsia="en-US"/>
        </w:rPr>
        <w:footnoteReference w:id="104"/>
      </w:r>
      <w:r w:rsidRPr="00BE52AC">
        <w:rPr>
          <w:rFonts w:ascii="Times New Roman" w:eastAsiaTheme="minorHAnsi" w:hAnsi="Times New Roman"/>
          <w:sz w:val="24"/>
          <w:szCs w:val="22"/>
          <w:lang w:eastAsia="en-US"/>
        </w:rPr>
        <w:t>. L’écart, par exemple, si on écoute EBay, Boyle et Microsoft est de plus de 10% ;</w:t>
      </w:r>
    </w:p>
    <w:p w:rsidR="008064D7" w:rsidRPr="00BE52AC" w:rsidRDefault="008064D7" w:rsidP="00D729DC">
      <w:pPr>
        <w:spacing w:line="240" w:lineRule="auto"/>
        <w:ind w:left="1068"/>
        <w:contextualSpacing/>
        <w:rPr>
          <w:rFonts w:ascii="Times New Roman" w:eastAsiaTheme="minorHAnsi" w:hAnsi="Times New Roman"/>
          <w:sz w:val="24"/>
          <w:szCs w:val="22"/>
          <w:lang w:eastAsia="en-US"/>
        </w:rPr>
      </w:pPr>
    </w:p>
    <w:p w:rsidR="008064D7" w:rsidRPr="00BE52AC" w:rsidRDefault="008064D7" w:rsidP="007565AA">
      <w:pPr>
        <w:numPr>
          <w:ilvl w:val="0"/>
          <w:numId w:val="25"/>
        </w:numPr>
        <w:spacing w:after="160" w:line="240" w:lineRule="auto"/>
        <w:ind w:left="1068"/>
        <w:contextualSpacing/>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 xml:space="preserve">Celle du </w:t>
      </w:r>
      <w:r w:rsidRPr="00062CBC">
        <w:rPr>
          <w:rFonts w:ascii="Times New Roman" w:eastAsiaTheme="minorHAnsi" w:hAnsi="Times New Roman"/>
          <w:sz w:val="24"/>
          <w:szCs w:val="22"/>
          <w:u w:val="single"/>
          <w:lang w:eastAsia="en-US"/>
        </w:rPr>
        <w:t xml:space="preserve">DCF </w:t>
      </w:r>
      <w:r w:rsidRPr="00BE52AC">
        <w:rPr>
          <w:rFonts w:ascii="Times New Roman" w:eastAsiaTheme="minorHAnsi" w:hAnsi="Times New Roman"/>
          <w:sz w:val="24"/>
          <w:szCs w:val="22"/>
          <w:lang w:eastAsia="en-US"/>
        </w:rPr>
        <w:t>dépend trop de l’analyse financière et stratégique retenue comme support. Ces hypothèses sont aussi subjectives. Si la valorisation n’est pas éloignée, elle peut rester très différente.</w:t>
      </w:r>
    </w:p>
    <w:p w:rsidR="008064D7" w:rsidRPr="00BE52AC" w:rsidRDefault="008064D7" w:rsidP="00D729DC">
      <w:pPr>
        <w:spacing w:line="240" w:lineRule="auto"/>
        <w:ind w:left="1068"/>
        <w:contextualSpacing/>
        <w:rPr>
          <w:rFonts w:ascii="Times New Roman" w:eastAsiaTheme="minorHAnsi" w:hAnsi="Times New Roman"/>
          <w:sz w:val="24"/>
          <w:szCs w:val="22"/>
          <w:lang w:eastAsia="en-US"/>
        </w:rPr>
      </w:pPr>
    </w:p>
    <w:p w:rsidR="008064D7" w:rsidRDefault="008064D7" w:rsidP="00062CBC">
      <w:pPr>
        <w:spacing w:line="240" w:lineRule="auto"/>
        <w:ind w:left="708"/>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Ceci peut provoquer</w:t>
      </w:r>
      <w:r w:rsidRPr="00BE52AC">
        <w:rPr>
          <w:rFonts w:ascii="Times New Roman" w:eastAsiaTheme="minorHAnsi" w:hAnsi="Times New Roman"/>
          <w:sz w:val="24"/>
          <w:szCs w:val="22"/>
          <w:vertAlign w:val="superscript"/>
          <w:lang w:eastAsia="en-US"/>
        </w:rPr>
        <w:footnoteReference w:id="105"/>
      </w:r>
      <w:r w:rsidRPr="00BE52AC">
        <w:rPr>
          <w:rFonts w:ascii="Times New Roman" w:eastAsiaTheme="minorHAnsi" w:hAnsi="Times New Roman"/>
          <w:sz w:val="24"/>
          <w:szCs w:val="22"/>
          <w:lang w:eastAsia="en-US"/>
        </w:rPr>
        <w:t xml:space="preserve"> des surévaluations par excès d’optimisme en spéculant sur l’approche psychologique (finance comportementale)</w:t>
      </w:r>
      <w:r w:rsidRPr="00BE52AC">
        <w:rPr>
          <w:rFonts w:ascii="Times New Roman" w:eastAsiaTheme="minorHAnsi" w:hAnsi="Times New Roman"/>
          <w:sz w:val="24"/>
          <w:szCs w:val="22"/>
          <w:vertAlign w:val="superscript"/>
          <w:lang w:eastAsia="en-US"/>
        </w:rPr>
        <w:footnoteReference w:id="106"/>
      </w:r>
      <w:r w:rsidRPr="00BE52AC">
        <w:rPr>
          <w:rFonts w:ascii="Times New Roman" w:eastAsiaTheme="minorHAnsi" w:hAnsi="Times New Roman"/>
          <w:sz w:val="24"/>
          <w:szCs w:val="22"/>
          <w:lang w:eastAsia="en-US"/>
        </w:rPr>
        <w:t xml:space="preserve"> qui ne prennent pas assez en compte la situation économique ou des sous-évalu</w:t>
      </w:r>
      <w:r>
        <w:rPr>
          <w:rFonts w:ascii="Times New Roman" w:eastAsiaTheme="minorHAnsi" w:hAnsi="Times New Roman"/>
          <w:sz w:val="24"/>
          <w:szCs w:val="22"/>
          <w:lang w:eastAsia="en-US"/>
        </w:rPr>
        <w:t>ations.</w:t>
      </w:r>
      <w:r w:rsidRPr="00BE52AC">
        <w:rPr>
          <w:rFonts w:ascii="Times New Roman" w:eastAsiaTheme="minorHAnsi" w:hAnsi="Times New Roman"/>
          <w:sz w:val="24"/>
          <w:szCs w:val="22"/>
          <w:lang w:eastAsia="en-US"/>
        </w:rPr>
        <w:t xml:space="preserve"> Les auteurs recommandent donc un processus intégrant toutes les méthodes et une approche factuelle sur base rationnelle en fonction du contexte économique. </w:t>
      </w:r>
    </w:p>
    <w:p w:rsidR="008064D7" w:rsidRDefault="008064D7" w:rsidP="00D729DC">
      <w:pPr>
        <w:spacing w:line="240" w:lineRule="auto"/>
        <w:ind w:left="708"/>
        <w:contextualSpacing/>
        <w:rPr>
          <w:rFonts w:ascii="Times New Roman" w:eastAsiaTheme="minorHAnsi" w:hAnsi="Times New Roman"/>
          <w:sz w:val="24"/>
          <w:szCs w:val="22"/>
          <w:lang w:eastAsia="en-US"/>
        </w:rPr>
      </w:pPr>
    </w:p>
    <w:p w:rsidR="008064D7" w:rsidRPr="00BE52AC" w:rsidRDefault="008064D7" w:rsidP="00D729DC">
      <w:pPr>
        <w:spacing w:line="240" w:lineRule="auto"/>
        <w:ind w:left="708"/>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 xml:space="preserve">Aucune méthode ne donne </w:t>
      </w:r>
      <w:r w:rsidR="00530B17">
        <w:rPr>
          <w:rFonts w:ascii="Times New Roman" w:eastAsiaTheme="minorHAnsi" w:hAnsi="Times New Roman"/>
          <w:sz w:val="24"/>
          <w:szCs w:val="22"/>
          <w:lang w:eastAsia="en-US"/>
        </w:rPr>
        <w:t xml:space="preserve">donc </w:t>
      </w:r>
      <w:r w:rsidRPr="00BE52AC">
        <w:rPr>
          <w:rFonts w:ascii="Times New Roman" w:eastAsiaTheme="minorHAnsi" w:hAnsi="Times New Roman"/>
          <w:sz w:val="24"/>
          <w:szCs w:val="22"/>
          <w:lang w:eastAsia="en-US"/>
        </w:rPr>
        <w:t xml:space="preserve">la vraie valeur, c’est-à-dire, le prix des transactions. La valeur de Twitter a augmenté le jour d’introduction de 72,7% par rapport à la valeur </w:t>
      </w:r>
      <w:r w:rsidRPr="00BE52AC">
        <w:rPr>
          <w:rFonts w:ascii="Times New Roman" w:eastAsiaTheme="minorHAnsi" w:hAnsi="Times New Roman"/>
          <w:sz w:val="24"/>
          <w:szCs w:val="22"/>
          <w:lang w:eastAsia="en-US"/>
        </w:rPr>
        <w:lastRenderedPageBreak/>
        <w:t>évaluée de 26$. Celle de Facebook a diminué après un an de 38$ à 17$ pour ne remonter à 38$ qu’un an après. Le prix n’est pas la valeur et la valeur n’est pas le prix.</w:t>
      </w:r>
    </w:p>
    <w:p w:rsidR="008064D7" w:rsidRPr="00BE52AC" w:rsidRDefault="008064D7" w:rsidP="00D729DC">
      <w:pPr>
        <w:spacing w:line="240" w:lineRule="auto"/>
        <w:contextualSpacing/>
        <w:rPr>
          <w:rFonts w:ascii="Times New Roman" w:eastAsiaTheme="minorHAnsi" w:hAnsi="Times New Roman"/>
          <w:sz w:val="24"/>
          <w:szCs w:val="22"/>
          <w:lang w:eastAsia="en-US"/>
        </w:rPr>
      </w:pPr>
    </w:p>
    <w:p w:rsidR="008064D7" w:rsidRDefault="008064D7" w:rsidP="00062CBC">
      <w:pPr>
        <w:spacing w:line="240" w:lineRule="auto"/>
        <w:ind w:left="708"/>
        <w:contextualSpacing/>
        <w:rPr>
          <w:rFonts w:ascii="Times New Roman" w:eastAsiaTheme="minorHAnsi" w:hAnsi="Times New Roman"/>
          <w:sz w:val="24"/>
          <w:szCs w:val="22"/>
          <w:lang w:eastAsia="en-US"/>
        </w:rPr>
      </w:pPr>
      <w:r>
        <w:rPr>
          <w:rFonts w:ascii="Times New Roman" w:eastAsiaTheme="minorHAnsi" w:hAnsi="Times New Roman"/>
          <w:sz w:val="24"/>
          <w:szCs w:val="22"/>
          <w:lang w:eastAsia="en-US"/>
        </w:rPr>
        <w:t xml:space="preserve">Cette étude mentionne les paramètre qu’elle retient pour calculer le WAAC ( voir-ci-après) ce qui peut avoir une importance pour les conclusions à déduire de cette étude et des suivantes :  </w:t>
      </w:r>
      <w:r w:rsidRPr="00BE52AC">
        <w:rPr>
          <w:rFonts w:ascii="Times New Roman" w:eastAsiaTheme="minorHAnsi" w:hAnsi="Times New Roman"/>
          <w:sz w:val="24"/>
          <w:szCs w:val="22"/>
          <w:lang w:eastAsia="en-US"/>
        </w:rPr>
        <w:t>prime de risque de 6,01% (calculée sur la différence entre la moyenne du rendement de l’indice S&amp;P 500 et le taux d’intérêt des bons du trésor, un Beta de 1,17 sur base de Bloomb</w:t>
      </w:r>
      <w:r>
        <w:rPr>
          <w:rFonts w:ascii="Times New Roman" w:eastAsiaTheme="minorHAnsi" w:hAnsi="Times New Roman"/>
          <w:sz w:val="24"/>
          <w:szCs w:val="22"/>
          <w:lang w:eastAsia="en-US"/>
        </w:rPr>
        <w:t xml:space="preserve">erg, taux sans risque de 1,85%. </w:t>
      </w:r>
    </w:p>
    <w:p w:rsidR="008064D7" w:rsidRDefault="008064D7" w:rsidP="00062CBC">
      <w:pPr>
        <w:spacing w:line="240" w:lineRule="auto"/>
        <w:ind w:left="708"/>
        <w:contextualSpacing/>
        <w:rPr>
          <w:rFonts w:ascii="Times New Roman" w:eastAsiaTheme="minorHAnsi" w:hAnsi="Times New Roman"/>
          <w:sz w:val="24"/>
          <w:szCs w:val="22"/>
          <w:lang w:eastAsia="en-US"/>
        </w:rPr>
      </w:pPr>
    </w:p>
    <w:p w:rsidR="008064D7" w:rsidRPr="00BE52AC" w:rsidRDefault="008064D7" w:rsidP="00062CBC">
      <w:pPr>
        <w:spacing w:line="240" w:lineRule="auto"/>
        <w:ind w:left="708"/>
        <w:contextualSpacing/>
        <w:rPr>
          <w:rFonts w:ascii="Times New Roman" w:eastAsiaTheme="minorHAnsi" w:hAnsi="Times New Roman"/>
          <w:sz w:val="24"/>
          <w:szCs w:val="22"/>
          <w:lang w:eastAsia="en-US"/>
        </w:rPr>
      </w:pPr>
      <w:r>
        <w:rPr>
          <w:rFonts w:ascii="Times New Roman" w:eastAsiaTheme="minorHAnsi" w:hAnsi="Times New Roman"/>
          <w:sz w:val="24"/>
          <w:szCs w:val="22"/>
          <w:lang w:eastAsia="en-US"/>
        </w:rPr>
        <w:t>C</w:t>
      </w:r>
      <w:r w:rsidRPr="00BE52AC">
        <w:rPr>
          <w:rFonts w:ascii="Times New Roman" w:eastAsiaTheme="minorHAnsi" w:hAnsi="Times New Roman"/>
          <w:sz w:val="24"/>
          <w:szCs w:val="22"/>
          <w:lang w:eastAsia="en-US"/>
        </w:rPr>
        <w:t>e coût du capital a été étudié en détail</w:t>
      </w:r>
      <w:r w:rsidRPr="00BE52AC">
        <w:rPr>
          <w:rFonts w:ascii="Times New Roman" w:eastAsiaTheme="minorHAnsi" w:hAnsi="Times New Roman"/>
          <w:sz w:val="24"/>
          <w:szCs w:val="22"/>
          <w:vertAlign w:val="superscript"/>
          <w:lang w:eastAsia="en-US"/>
        </w:rPr>
        <w:footnoteReference w:id="107"/>
      </w:r>
      <w:r w:rsidRPr="00BE52AC">
        <w:rPr>
          <w:rFonts w:ascii="Times New Roman" w:eastAsiaTheme="minorHAnsi" w:hAnsi="Times New Roman"/>
          <w:sz w:val="24"/>
          <w:szCs w:val="22"/>
          <w:lang w:eastAsia="en-US"/>
        </w:rPr>
        <w:t xml:space="preserve"> en liaison avec la notion de « </w:t>
      </w:r>
      <w:r w:rsidRPr="00BE52AC">
        <w:rPr>
          <w:rFonts w:ascii="Times New Roman" w:eastAsiaTheme="minorHAnsi" w:hAnsi="Times New Roman"/>
          <w:i/>
          <w:sz w:val="24"/>
          <w:szCs w:val="22"/>
          <w:lang w:eastAsia="en-US"/>
        </w:rPr>
        <w:t>juste valeur »</w:t>
      </w:r>
      <w:r w:rsidRPr="00BE52AC">
        <w:rPr>
          <w:rFonts w:ascii="Times New Roman" w:eastAsiaTheme="minorHAnsi" w:hAnsi="Times New Roman"/>
          <w:sz w:val="24"/>
          <w:szCs w:val="22"/>
          <w:lang w:eastAsia="en-US"/>
        </w:rPr>
        <w:t xml:space="preserve"> fixe par les Normes IFRS. Son calcul </w:t>
      </w:r>
      <w:r>
        <w:rPr>
          <w:rFonts w:ascii="Times New Roman" w:eastAsiaTheme="minorHAnsi" w:hAnsi="Times New Roman"/>
          <w:sz w:val="24"/>
          <w:szCs w:val="22"/>
          <w:lang w:eastAsia="en-US"/>
        </w:rPr>
        <w:t xml:space="preserve">est </w:t>
      </w:r>
      <w:r w:rsidRPr="00BE52AC">
        <w:rPr>
          <w:rFonts w:ascii="Times New Roman" w:eastAsiaTheme="minorHAnsi" w:hAnsi="Times New Roman"/>
          <w:sz w:val="24"/>
          <w:szCs w:val="22"/>
          <w:lang w:eastAsia="en-US"/>
        </w:rPr>
        <w:t>comme connu</w:t>
      </w:r>
      <w:r w:rsidRPr="00BE52AC">
        <w:rPr>
          <w:rFonts w:ascii="Times New Roman" w:eastAsiaTheme="minorHAnsi" w:hAnsi="Times New Roman"/>
          <w:sz w:val="24"/>
          <w:szCs w:val="22"/>
          <w:vertAlign w:val="superscript"/>
          <w:lang w:eastAsia="en-US"/>
        </w:rPr>
        <w:footnoteReference w:id="108"/>
      </w:r>
      <w:r w:rsidRPr="00BE52AC">
        <w:rPr>
          <w:rFonts w:ascii="Times New Roman" w:eastAsiaTheme="minorHAnsi" w:hAnsi="Times New Roman"/>
          <w:sz w:val="24"/>
          <w:szCs w:val="22"/>
          <w:lang w:eastAsia="en-US"/>
        </w:rPr>
        <w:t xml:space="preserve"> puisque d’après une étude, 91% des entreprises réalisant plus d’un milliard se basent sur cette méthode.</w:t>
      </w:r>
    </w:p>
    <w:p w:rsidR="008064D7" w:rsidRPr="00BE52AC" w:rsidRDefault="008064D7" w:rsidP="00D729DC">
      <w:pPr>
        <w:spacing w:line="240" w:lineRule="auto"/>
        <w:contextualSpacing/>
        <w:rPr>
          <w:rFonts w:ascii="Times New Roman" w:eastAsiaTheme="minorHAnsi" w:hAnsi="Times New Roman"/>
          <w:sz w:val="24"/>
          <w:szCs w:val="22"/>
          <w:lang w:eastAsia="en-US"/>
        </w:rPr>
      </w:pPr>
    </w:p>
    <w:p w:rsidR="008064D7" w:rsidRPr="00BE52AC" w:rsidRDefault="008064D7" w:rsidP="00D729DC">
      <w:pPr>
        <w:spacing w:line="240" w:lineRule="auto"/>
        <w:ind w:left="708"/>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Le coût du capital est un exercice concret, propre à chaque entreprise, qui peut générer des erreurs importantes. La formule générale prend en compte des paramètres bien décrits, notamment dans cette contribution, comme le taux sans risque, la prime de risque, le coût de l’endettement, le taux d’imposition, le ratio de levier fonds emprunté/fonds propres, la période choisie d’estimation, l’indice de marge, la fréquence des rendements (les trois dernier le B disponible).</w:t>
      </w:r>
    </w:p>
    <w:p w:rsidR="008064D7" w:rsidRPr="00BE52AC" w:rsidRDefault="008064D7" w:rsidP="00D729DC">
      <w:pPr>
        <w:spacing w:line="240" w:lineRule="auto"/>
        <w:contextualSpacing/>
        <w:rPr>
          <w:rFonts w:ascii="Times New Roman" w:eastAsiaTheme="minorHAnsi" w:hAnsi="Times New Roman"/>
          <w:sz w:val="24"/>
          <w:szCs w:val="22"/>
          <w:lang w:eastAsia="en-US"/>
        </w:rPr>
      </w:pPr>
    </w:p>
    <w:p w:rsidR="008064D7" w:rsidRPr="00BE52AC" w:rsidRDefault="008064D7" w:rsidP="00D729DC">
      <w:pPr>
        <w:spacing w:line="240" w:lineRule="auto"/>
        <w:ind w:firstLine="708"/>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 xml:space="preserve">L’étude reprend ce que la littérature retient comme prime de risque de marché en </w:t>
      </w:r>
      <w:r w:rsidRPr="00BE52AC">
        <w:rPr>
          <w:rFonts w:ascii="Times New Roman" w:eastAsiaTheme="minorHAnsi" w:hAnsi="Times New Roman"/>
          <w:sz w:val="24"/>
          <w:szCs w:val="22"/>
          <w:u w:val="single"/>
          <w:lang w:eastAsia="en-US"/>
        </w:rPr>
        <w:t>2013.</w:t>
      </w:r>
    </w:p>
    <w:p w:rsidR="008064D7" w:rsidRPr="00BE52AC" w:rsidRDefault="008064D7" w:rsidP="00D729DC">
      <w:pPr>
        <w:spacing w:line="240" w:lineRule="auto"/>
        <w:contextualSpacing/>
        <w:rPr>
          <w:rFonts w:ascii="Times New Roman" w:eastAsiaTheme="minorHAnsi" w:hAnsi="Times New Roman"/>
          <w:sz w:val="24"/>
          <w:szCs w:val="22"/>
          <w:lang w:eastAsia="en-US"/>
        </w:rPr>
      </w:pPr>
    </w:p>
    <w:p w:rsidR="008064D7" w:rsidRPr="00BE52AC" w:rsidRDefault="008064D7" w:rsidP="00D729DC">
      <w:pPr>
        <w:spacing w:line="240" w:lineRule="auto"/>
        <w:ind w:firstLine="708"/>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Par sondage</w:t>
      </w:r>
      <w:r w:rsidRPr="00BE52AC">
        <w:rPr>
          <w:rFonts w:ascii="Times New Roman" w:eastAsiaTheme="minorHAnsi" w:hAnsi="Times New Roman"/>
          <w:sz w:val="24"/>
          <w:szCs w:val="22"/>
          <w:lang w:eastAsia="en-US"/>
        </w:rPr>
        <w:tab/>
      </w:r>
      <w:r>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Fernandez</w:t>
      </w:r>
      <w:r w:rsidRPr="00BE52AC">
        <w:rPr>
          <w:rFonts w:ascii="Times New Roman" w:eastAsiaTheme="minorHAnsi" w:hAnsi="Times New Roman"/>
          <w:sz w:val="24"/>
          <w:szCs w:val="22"/>
          <w:lang w:eastAsia="en-US"/>
        </w:rPr>
        <w:tab/>
        <w:t>5,5%</w:t>
      </w:r>
    </w:p>
    <w:p w:rsidR="008064D7" w:rsidRPr="00BE52AC" w:rsidRDefault="008064D7" w:rsidP="00D729DC">
      <w:pPr>
        <w:spacing w:line="240" w:lineRule="auto"/>
        <w:ind w:firstLine="708"/>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Prime implicite</w:t>
      </w:r>
      <w:r w:rsidRPr="00BE52AC">
        <w:rPr>
          <w:rFonts w:ascii="Times New Roman" w:eastAsiaTheme="minorHAnsi" w:hAnsi="Times New Roman"/>
          <w:sz w:val="24"/>
          <w:szCs w:val="22"/>
          <w:lang w:eastAsia="en-US"/>
        </w:rPr>
        <w:tab/>
        <w:t>Damodaran</w:t>
      </w:r>
      <w:r w:rsidRPr="00BE52AC">
        <w:rPr>
          <w:rFonts w:ascii="Times New Roman" w:eastAsiaTheme="minorHAnsi" w:hAnsi="Times New Roman"/>
          <w:sz w:val="24"/>
          <w:szCs w:val="22"/>
          <w:lang w:eastAsia="en-US"/>
        </w:rPr>
        <w:tab/>
        <w:t>5,78%</w:t>
      </w:r>
    </w:p>
    <w:p w:rsidR="008064D7" w:rsidRPr="00BE52AC" w:rsidRDefault="008064D7" w:rsidP="00D729DC">
      <w:pPr>
        <w:spacing w:line="240" w:lineRule="auto"/>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ab/>
      </w:r>
      <w:r>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Ibbotson</w:t>
      </w:r>
      <w:r w:rsidRPr="00BE52AC">
        <w:rPr>
          <w:rFonts w:ascii="Times New Roman" w:eastAsiaTheme="minorHAnsi" w:hAnsi="Times New Roman"/>
          <w:sz w:val="24"/>
          <w:szCs w:val="22"/>
          <w:lang w:eastAsia="en-US"/>
        </w:rPr>
        <w:tab/>
        <w:t>6%</w:t>
      </w:r>
    </w:p>
    <w:p w:rsidR="008064D7" w:rsidRPr="00BE52AC" w:rsidRDefault="008064D7" w:rsidP="00D729DC">
      <w:pPr>
        <w:spacing w:line="240" w:lineRule="auto"/>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ab/>
      </w:r>
      <w:r>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Bloomberg</w:t>
      </w:r>
      <w:r w:rsidRPr="00BE52AC">
        <w:rPr>
          <w:rFonts w:ascii="Times New Roman" w:eastAsiaTheme="minorHAnsi" w:hAnsi="Times New Roman"/>
          <w:sz w:val="24"/>
          <w:szCs w:val="22"/>
          <w:lang w:eastAsia="en-US"/>
        </w:rPr>
        <w:tab/>
        <w:t>8,34%</w:t>
      </w:r>
    </w:p>
    <w:p w:rsidR="008064D7" w:rsidRPr="00BE52AC" w:rsidRDefault="008064D7" w:rsidP="00D729DC">
      <w:pPr>
        <w:spacing w:line="240" w:lineRule="auto"/>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ab/>
      </w:r>
      <w:r>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S&amp;P</w:t>
      </w:r>
      <w:r w:rsidRPr="00BE52AC">
        <w:rPr>
          <w:rFonts w:ascii="Times New Roman" w:eastAsiaTheme="minorHAnsi" w:hAnsi="Times New Roman"/>
          <w:sz w:val="24"/>
          <w:szCs w:val="22"/>
          <w:lang w:eastAsia="en-US"/>
        </w:rPr>
        <w:tab/>
      </w:r>
      <w:r w:rsidRPr="00BE52AC">
        <w:rPr>
          <w:rFonts w:ascii="Times New Roman" w:eastAsiaTheme="minorHAnsi" w:hAnsi="Times New Roman"/>
          <w:sz w:val="24"/>
          <w:szCs w:val="22"/>
          <w:lang w:eastAsia="en-US"/>
        </w:rPr>
        <w:tab/>
        <w:t>8,48%</w:t>
      </w:r>
    </w:p>
    <w:p w:rsidR="008064D7" w:rsidRPr="00BE52AC" w:rsidRDefault="008064D7" w:rsidP="00D729DC">
      <w:pPr>
        <w:spacing w:line="240" w:lineRule="auto"/>
        <w:contextualSpacing/>
        <w:rPr>
          <w:rFonts w:ascii="Times New Roman" w:eastAsiaTheme="minorHAnsi" w:hAnsi="Times New Roman"/>
          <w:sz w:val="24"/>
          <w:szCs w:val="22"/>
          <w:lang w:eastAsia="en-US"/>
        </w:rPr>
      </w:pPr>
      <w:r>
        <w:rPr>
          <w:rFonts w:ascii="Times New Roman" w:eastAsiaTheme="minorHAnsi" w:hAnsi="Times New Roman"/>
          <w:sz w:val="24"/>
          <w:szCs w:val="22"/>
          <w:lang w:eastAsia="en-US"/>
        </w:rPr>
        <w:tab/>
      </w:r>
    </w:p>
    <w:p w:rsidR="008064D7" w:rsidRPr="00BE52AC" w:rsidRDefault="008064D7" w:rsidP="00D729DC">
      <w:pPr>
        <w:spacing w:line="240" w:lineRule="auto"/>
        <w:ind w:left="708"/>
        <w:contextualSpacing/>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L’auteur analyse les autres paramètres. La littérature expose donc, en ef</w:t>
      </w:r>
      <w:r>
        <w:rPr>
          <w:rFonts w:ascii="Times New Roman" w:eastAsiaTheme="minorHAnsi" w:hAnsi="Times New Roman"/>
          <w:sz w:val="24"/>
          <w:szCs w:val="22"/>
          <w:lang w:eastAsia="en-US"/>
        </w:rPr>
        <w:t xml:space="preserve">fet, des paramètres utilisables ; </w:t>
      </w:r>
      <w:r w:rsidRPr="00BE52AC">
        <w:rPr>
          <w:rFonts w:ascii="Times New Roman" w:eastAsiaTheme="minorHAnsi" w:hAnsi="Times New Roman"/>
          <w:sz w:val="24"/>
          <w:szCs w:val="22"/>
          <w:lang w:eastAsia="en-US"/>
        </w:rPr>
        <w:t>L’auteur conclut :</w:t>
      </w:r>
    </w:p>
    <w:p w:rsidR="008064D7" w:rsidRPr="00BE52AC" w:rsidRDefault="008064D7" w:rsidP="00D729DC">
      <w:pPr>
        <w:spacing w:line="240" w:lineRule="auto"/>
        <w:contextualSpacing/>
        <w:rPr>
          <w:rFonts w:ascii="Times New Roman" w:eastAsiaTheme="minorHAnsi" w:hAnsi="Times New Roman"/>
          <w:sz w:val="24"/>
          <w:szCs w:val="22"/>
          <w:lang w:eastAsia="en-US"/>
        </w:rPr>
      </w:pPr>
    </w:p>
    <w:p w:rsidR="008064D7" w:rsidRPr="00BE52AC" w:rsidRDefault="008064D7" w:rsidP="007565AA">
      <w:pPr>
        <w:numPr>
          <w:ilvl w:val="0"/>
          <w:numId w:val="25"/>
        </w:numPr>
        <w:spacing w:after="160" w:line="240" w:lineRule="auto"/>
        <w:ind w:left="1068"/>
        <w:contextualSpacing/>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Le CMPC (WAAC) est un concept non parfaitement mesurable. Il renvoie à des fourchettes de valeur sur base d’hypothèses raisonnables ;</w:t>
      </w:r>
    </w:p>
    <w:p w:rsidR="008064D7" w:rsidRPr="00BE52AC" w:rsidRDefault="008064D7" w:rsidP="00D729DC">
      <w:pPr>
        <w:spacing w:line="240" w:lineRule="auto"/>
        <w:ind w:left="1068"/>
        <w:contextualSpacing/>
        <w:rPr>
          <w:rFonts w:ascii="Times New Roman" w:eastAsiaTheme="minorHAnsi" w:hAnsi="Times New Roman"/>
          <w:sz w:val="24"/>
          <w:szCs w:val="22"/>
          <w:lang w:eastAsia="en-US"/>
        </w:rPr>
      </w:pPr>
    </w:p>
    <w:p w:rsidR="008064D7" w:rsidRPr="00BE52AC" w:rsidRDefault="008064D7" w:rsidP="007565AA">
      <w:pPr>
        <w:numPr>
          <w:ilvl w:val="0"/>
          <w:numId w:val="25"/>
        </w:numPr>
        <w:spacing w:after="160" w:line="240" w:lineRule="auto"/>
        <w:ind w:left="1068"/>
        <w:contextualSpacing/>
        <w:jc w:val="left"/>
        <w:rPr>
          <w:rFonts w:ascii="Times New Roman" w:eastAsiaTheme="minorHAnsi" w:hAnsi="Times New Roman"/>
          <w:sz w:val="24"/>
          <w:szCs w:val="22"/>
          <w:lang w:eastAsia="en-US"/>
        </w:rPr>
      </w:pPr>
      <w:r w:rsidRPr="00BE52AC">
        <w:rPr>
          <w:rFonts w:ascii="Times New Roman" w:eastAsiaTheme="minorHAnsi" w:hAnsi="Times New Roman"/>
          <w:sz w:val="24"/>
          <w:szCs w:val="22"/>
          <w:lang w:eastAsia="en-US"/>
        </w:rPr>
        <w:t>Le WAAC dépend de la qualité des données économiques produites et de la cohérence des chiffres retenus aux faits d’espèce.</w:t>
      </w:r>
    </w:p>
    <w:p w:rsidR="008064D7" w:rsidRDefault="008064D7" w:rsidP="00407E28">
      <w:pPr>
        <w:spacing w:line="240" w:lineRule="auto"/>
        <w:ind w:left="708"/>
        <w:rPr>
          <w:rFonts w:ascii="Times New Roman" w:hAnsi="Times New Roman"/>
          <w:sz w:val="24"/>
        </w:rPr>
      </w:pPr>
    </w:p>
    <w:p w:rsidR="008064D7" w:rsidRDefault="008064D7" w:rsidP="00407E28">
      <w:pPr>
        <w:spacing w:line="240" w:lineRule="auto"/>
        <w:ind w:left="708"/>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lastRenderedPageBreak/>
        <w:t xml:space="preserve">La valorisation théorique d’une société cotée est </w:t>
      </w:r>
      <w:r>
        <w:rPr>
          <w:rFonts w:ascii="Times New Roman" w:hAnsi="Times New Roman"/>
          <w:sz w:val="24"/>
        </w:rPr>
        <w:t xml:space="preserve">bien </w:t>
      </w:r>
      <w:r w:rsidRPr="00CB062F">
        <w:rPr>
          <w:rFonts w:ascii="Times New Roman" w:hAnsi="Times New Roman"/>
          <w:sz w:val="24"/>
        </w:rPr>
        <w:t>connu</w:t>
      </w:r>
      <w:r>
        <w:rPr>
          <w:rFonts w:ascii="Times New Roman" w:hAnsi="Times New Roman"/>
          <w:sz w:val="24"/>
        </w:rPr>
        <w:t>e</w:t>
      </w:r>
      <w:r w:rsidRPr="00CB062F">
        <w:rPr>
          <w:rFonts w:ascii="Times New Roman" w:hAnsi="Times New Roman"/>
          <w:sz w:val="24"/>
        </w:rPr>
        <w:t xml:space="preserve"> de la doctrine</w:t>
      </w:r>
      <w:r>
        <w:rPr>
          <w:rFonts w:ascii="Times New Roman" w:hAnsi="Times New Roman"/>
          <w:sz w:val="24"/>
        </w:rPr>
        <w:t xml:space="preserve"> internationale que d’ailleurs Belge </w:t>
      </w:r>
      <w:r>
        <w:rPr>
          <w:rStyle w:val="Appelnotedebasdep"/>
          <w:rFonts w:ascii="Times New Roman" w:hAnsi="Times New Roman"/>
          <w:sz w:val="24"/>
        </w:rPr>
        <w:footnoteReference w:id="109"/>
      </w:r>
      <w:r w:rsidRPr="00CB062F">
        <w:rPr>
          <w:rFonts w:ascii="Times New Roman" w:hAnsi="Times New Roman"/>
          <w:sz w:val="24"/>
        </w:rPr>
        <w:t>.</w:t>
      </w:r>
      <w:r>
        <w:rPr>
          <w:rFonts w:ascii="Times New Roman" w:hAnsi="Times New Roman"/>
          <w:sz w:val="24"/>
        </w:rPr>
        <w:t xml:space="preserve"> Dans cette thèse, l’auteur Belge rappelle tout d’abord que la méthode doit être « en harmonie avec les spécificités de la société et son secteur d’activité »</w:t>
      </w:r>
      <w:r>
        <w:rPr>
          <w:rStyle w:val="Appelnotedebasdep"/>
          <w:rFonts w:ascii="Times New Roman" w:hAnsi="Times New Roman"/>
          <w:sz w:val="24"/>
        </w:rPr>
        <w:footnoteReference w:id="110"/>
      </w:r>
      <w:r>
        <w:rPr>
          <w:rFonts w:ascii="Times New Roman" w:hAnsi="Times New Roman"/>
          <w:sz w:val="24"/>
        </w:rPr>
        <w:t>. Pour une entreprise cotée la méthode d’actualisation sur base du cout des fonds propres des dividendes à l’infini  est décrite par la doctrine</w:t>
      </w:r>
      <w:r>
        <w:rPr>
          <w:rStyle w:val="Appelnotedebasdep"/>
          <w:rFonts w:ascii="Times New Roman" w:hAnsi="Times New Roman"/>
          <w:sz w:val="24"/>
        </w:rPr>
        <w:footnoteReference w:id="111"/>
      </w:r>
      <w:r>
        <w:rPr>
          <w:rFonts w:ascii="Times New Roman" w:hAnsi="Times New Roman"/>
          <w:sz w:val="24"/>
        </w:rPr>
        <w:t xml:space="preserve">. La méthode des résultats résiduels qui consiste à majorer la valeur comptable des fonds propres d’un excès de valeur censé représenter les bénéfices anormaux par la suite des avantages acquis est décrite et admise </w:t>
      </w:r>
      <w:r>
        <w:rPr>
          <w:rStyle w:val="Appelnotedebasdep"/>
          <w:rFonts w:ascii="Times New Roman" w:hAnsi="Times New Roman"/>
          <w:sz w:val="24"/>
        </w:rPr>
        <w:footnoteReference w:id="112"/>
      </w:r>
      <w:r>
        <w:rPr>
          <w:rFonts w:ascii="Times New Roman" w:hAnsi="Times New Roman"/>
          <w:sz w:val="24"/>
        </w:rPr>
        <w:t xml:space="preserve">. La méthode du </w:t>
      </w:r>
      <w:r w:rsidRPr="007C17D3">
        <w:rPr>
          <w:rFonts w:ascii="Times New Roman" w:hAnsi="Times New Roman"/>
          <w:i/>
          <w:sz w:val="24"/>
        </w:rPr>
        <w:t>Discounted Cash-flow</w:t>
      </w:r>
      <w:r>
        <w:rPr>
          <w:rFonts w:ascii="Times New Roman" w:hAnsi="Times New Roman"/>
          <w:sz w:val="24"/>
        </w:rPr>
        <w:t xml:space="preserve"> actualise sur base du cout du capital les flux futurs </w:t>
      </w:r>
      <w:r>
        <w:rPr>
          <w:rStyle w:val="Appelnotedebasdep"/>
          <w:rFonts w:ascii="Times New Roman" w:hAnsi="Times New Roman"/>
          <w:sz w:val="24"/>
        </w:rPr>
        <w:footnoteReference w:id="113"/>
      </w:r>
      <w:r>
        <w:rPr>
          <w:rFonts w:ascii="Times New Roman" w:hAnsi="Times New Roman"/>
          <w:sz w:val="24"/>
        </w:rPr>
        <w:t xml:space="preserve"> est présentée comme pertinente au point de devoir être utilisée au moins comme référence. La formule de l’actif net réé</w:t>
      </w:r>
      <w:r w:rsidRPr="007C17D3">
        <w:rPr>
          <w:rFonts w:ascii="Times New Roman" w:hAnsi="Times New Roman"/>
          <w:i/>
          <w:sz w:val="24"/>
        </w:rPr>
        <w:t>value</w:t>
      </w:r>
      <w:r>
        <w:rPr>
          <w:rFonts w:ascii="Times New Roman" w:hAnsi="Times New Roman"/>
          <w:sz w:val="24"/>
        </w:rPr>
        <w:t xml:space="preserve"> sur base des plus-</w:t>
      </w:r>
      <w:r w:rsidRPr="007C17D3">
        <w:rPr>
          <w:rFonts w:ascii="Times New Roman" w:hAnsi="Times New Roman"/>
          <w:i/>
          <w:sz w:val="24"/>
        </w:rPr>
        <w:t>value</w:t>
      </w:r>
      <w:r>
        <w:rPr>
          <w:rFonts w:ascii="Times New Roman" w:hAnsi="Times New Roman"/>
          <w:sz w:val="24"/>
        </w:rPr>
        <w:t xml:space="preserve"> latente peut s’appliquer à certaines entreprises particulière</w:t>
      </w:r>
      <w:r>
        <w:rPr>
          <w:rStyle w:val="Appelnotedebasdep"/>
          <w:rFonts w:ascii="Times New Roman" w:hAnsi="Times New Roman"/>
          <w:sz w:val="24"/>
        </w:rPr>
        <w:footnoteReference w:id="114"/>
      </w:r>
      <w:r>
        <w:rPr>
          <w:rFonts w:ascii="Times New Roman" w:hAnsi="Times New Roman"/>
          <w:sz w:val="24"/>
        </w:rPr>
        <w:t xml:space="preserve"> et enfin la méthode des comparable doit toujours être mise en œuvre à titre de validation ou de correction. </w:t>
      </w:r>
    </w:p>
    <w:p w:rsidR="008064D7" w:rsidRDefault="008064D7" w:rsidP="0080783A">
      <w:pPr>
        <w:pStyle w:val="Paragraphedeliste"/>
        <w:spacing w:line="240" w:lineRule="auto"/>
        <w:ind w:left="786"/>
        <w:rPr>
          <w:rFonts w:ascii="Times New Roman" w:hAnsi="Times New Roman"/>
          <w:sz w:val="24"/>
          <w:u w:val="single"/>
        </w:rPr>
      </w:pPr>
    </w:p>
    <w:p w:rsidR="008064D7" w:rsidRDefault="008064D7" w:rsidP="0080783A">
      <w:pPr>
        <w:pStyle w:val="Paragraphedeliste"/>
        <w:spacing w:line="240" w:lineRule="auto"/>
        <w:ind w:left="786"/>
        <w:rPr>
          <w:rFonts w:ascii="Times New Roman" w:hAnsi="Times New Roman"/>
          <w:sz w:val="24"/>
        </w:rPr>
      </w:pPr>
      <w:r>
        <w:rPr>
          <w:rFonts w:ascii="Times New Roman" w:hAnsi="Times New Roman"/>
          <w:sz w:val="24"/>
        </w:rPr>
        <w:t>La méthode des multiples qui consiste à dériver la valeur sur base de l’observation de certains multiples clés moyens ou médians de sociétés du même secteur est parfois pertinente</w:t>
      </w:r>
      <w:r>
        <w:rPr>
          <w:rStyle w:val="Appelnotedebasdep"/>
          <w:rFonts w:ascii="Times New Roman" w:hAnsi="Times New Roman"/>
          <w:sz w:val="24"/>
        </w:rPr>
        <w:footnoteReference w:id="115"/>
      </w:r>
      <w:r>
        <w:rPr>
          <w:rFonts w:ascii="Times New Roman" w:hAnsi="Times New Roman"/>
          <w:sz w:val="24"/>
        </w:rPr>
        <w:t xml:space="preserve"> même si sa pertinence tient à la qualité de la comparaison entre les entreprise puisque rarement deux entreprises de ce type sont identiques. Sur ces base, la pratique a établi des ratios utilisables comme premier indice comme le ration de profitabilité très utilisé </w:t>
      </w:r>
      <w:r>
        <w:rPr>
          <w:rStyle w:val="Appelnotedebasdep"/>
          <w:rFonts w:ascii="Times New Roman" w:hAnsi="Times New Roman"/>
          <w:sz w:val="24"/>
        </w:rPr>
        <w:footnoteReference w:id="116"/>
      </w:r>
      <w:r>
        <w:rPr>
          <w:rFonts w:ascii="Times New Roman" w:hAnsi="Times New Roman"/>
          <w:sz w:val="24"/>
        </w:rPr>
        <w:t>ou la valeur de l’entreprise (EV) se référé à d’autres paramètres  soit dans ce ratio EV/ EBITDA ou EV / EBIT, le ratio Prix soit la capitalisation boursière par le chiffre d’</w:t>
      </w:r>
      <w:r w:rsidRPr="007C17D3">
        <w:rPr>
          <w:rFonts w:ascii="Times New Roman" w:hAnsi="Times New Roman"/>
          <w:sz w:val="24"/>
        </w:rPr>
        <w:t>affaire</w:t>
      </w:r>
      <w:r>
        <w:rPr>
          <w:rFonts w:ascii="Times New Roman" w:hAnsi="Times New Roman"/>
          <w:sz w:val="24"/>
        </w:rPr>
        <w:t xml:space="preserve">  ( P/S), le ratio </w:t>
      </w:r>
      <w:r w:rsidRPr="007C17D3">
        <w:rPr>
          <w:rFonts w:ascii="Times New Roman" w:hAnsi="Times New Roman"/>
          <w:i/>
          <w:sz w:val="24"/>
        </w:rPr>
        <w:t xml:space="preserve">Price to Book </w:t>
      </w:r>
      <w:r>
        <w:rPr>
          <w:rFonts w:ascii="Times New Roman" w:hAnsi="Times New Roman"/>
          <w:sz w:val="24"/>
        </w:rPr>
        <w:t xml:space="preserve">qui se base sur la division de la capitalisation boursière sur les capitaux propres, le ration P/E </w:t>
      </w:r>
      <w:r w:rsidRPr="007C17D3">
        <w:rPr>
          <w:rFonts w:ascii="Times New Roman" w:hAnsi="Times New Roman"/>
          <w:i/>
          <w:sz w:val="24"/>
        </w:rPr>
        <w:t>Price Learning</w:t>
      </w:r>
      <w:r>
        <w:rPr>
          <w:rFonts w:ascii="Times New Roman" w:hAnsi="Times New Roman"/>
          <w:sz w:val="24"/>
        </w:rPr>
        <w:t xml:space="preserve"> qui divise la capitalisation boursière par les bénéfice. Mais ces méthodes de multiples et de ration sont des raccourcis car elles é</w:t>
      </w:r>
      <w:r w:rsidRPr="007C17D3">
        <w:rPr>
          <w:rFonts w:ascii="Times New Roman" w:hAnsi="Times New Roman"/>
          <w:i/>
          <w:sz w:val="24"/>
        </w:rPr>
        <w:t>value</w:t>
      </w:r>
      <w:r>
        <w:rPr>
          <w:rFonts w:ascii="Times New Roman" w:hAnsi="Times New Roman"/>
          <w:sz w:val="24"/>
        </w:rPr>
        <w:t xml:space="preserve">nt le passé et pas le futur </w:t>
      </w:r>
      <w:r>
        <w:rPr>
          <w:rStyle w:val="Appelnotedebasdep"/>
          <w:rFonts w:ascii="Times New Roman" w:hAnsi="Times New Roman"/>
          <w:sz w:val="24"/>
        </w:rPr>
        <w:footnoteReference w:id="117"/>
      </w:r>
    </w:p>
    <w:p w:rsidR="008064D7" w:rsidRDefault="008064D7" w:rsidP="0080783A">
      <w:pPr>
        <w:pStyle w:val="Paragraphedeliste"/>
        <w:spacing w:line="240" w:lineRule="auto"/>
        <w:ind w:left="786"/>
        <w:rPr>
          <w:rFonts w:ascii="Times New Roman" w:hAnsi="Times New Roman"/>
          <w:sz w:val="24"/>
        </w:rPr>
      </w:pPr>
    </w:p>
    <w:p w:rsidR="008064D7" w:rsidRDefault="008064D7" w:rsidP="0080783A">
      <w:pPr>
        <w:pStyle w:val="Paragraphedeliste"/>
        <w:spacing w:line="240" w:lineRule="auto"/>
        <w:ind w:left="786"/>
        <w:rPr>
          <w:rFonts w:ascii="Times New Roman" w:hAnsi="Times New Roman"/>
          <w:sz w:val="24"/>
        </w:rPr>
      </w:pPr>
      <w:r>
        <w:rPr>
          <w:rFonts w:ascii="Times New Roman" w:hAnsi="Times New Roman"/>
          <w:sz w:val="24"/>
        </w:rPr>
        <w:t>Même en prenant la méthode des comparables, le risque est grand de ne pas être adéquat : même deux entreprises comparable en termes économique ou même financiers peuvent ne pas connaitre au même moment les mes difficultés , disposer des mêmes capacité de se redresser ou de se restructurer – avec ou sans procédure, et la valeur incorporelle de son management et des équipes qui la conseille influenceront grandement son destin et partant sa capacité de capter la confiance de ces clients, fournisseurs et dispensateurs de crédit</w:t>
      </w:r>
      <w:r>
        <w:rPr>
          <w:rStyle w:val="Appelnotedebasdep"/>
          <w:rFonts w:ascii="Times New Roman" w:hAnsi="Times New Roman"/>
          <w:sz w:val="24"/>
        </w:rPr>
        <w:footnoteReference w:id="118"/>
      </w:r>
      <w:r>
        <w:rPr>
          <w:rFonts w:ascii="Times New Roman" w:hAnsi="Times New Roman"/>
          <w:sz w:val="24"/>
        </w:rPr>
        <w:t xml:space="preserve"> </w:t>
      </w:r>
    </w:p>
    <w:p w:rsidR="008064D7" w:rsidRDefault="008064D7" w:rsidP="0080783A">
      <w:pPr>
        <w:pStyle w:val="Paragraphedeliste"/>
        <w:spacing w:line="240" w:lineRule="auto"/>
        <w:ind w:left="786"/>
        <w:rPr>
          <w:rFonts w:ascii="Times New Roman" w:hAnsi="Times New Roman"/>
          <w:sz w:val="24"/>
        </w:rPr>
      </w:pPr>
    </w:p>
    <w:p w:rsidR="008064D7" w:rsidRDefault="008064D7" w:rsidP="0080783A">
      <w:pPr>
        <w:pStyle w:val="Paragraphedeliste"/>
        <w:spacing w:line="240" w:lineRule="auto"/>
        <w:ind w:left="786"/>
        <w:rPr>
          <w:rFonts w:ascii="Times New Roman" w:hAnsi="Times New Roman"/>
          <w:sz w:val="24"/>
        </w:rPr>
      </w:pPr>
      <w:r>
        <w:rPr>
          <w:rFonts w:ascii="Times New Roman" w:hAnsi="Times New Roman"/>
          <w:sz w:val="24"/>
        </w:rPr>
        <w:t xml:space="preserve">On reviendra dans la section relative aux entreprises non cotées à ces méthode de valorisation qui peuvent être utilisées tant pour les entreprises coptées que non cotées. </w:t>
      </w:r>
    </w:p>
    <w:p w:rsidR="008064D7" w:rsidRDefault="008064D7" w:rsidP="0080783A">
      <w:pPr>
        <w:pStyle w:val="Paragraphedeliste"/>
        <w:spacing w:line="240" w:lineRule="auto"/>
        <w:ind w:left="786"/>
        <w:rPr>
          <w:rFonts w:ascii="Times New Roman" w:hAnsi="Times New Roman"/>
          <w:sz w:val="24"/>
        </w:rPr>
      </w:pPr>
    </w:p>
    <w:p w:rsidR="008064D7" w:rsidRDefault="008064D7" w:rsidP="0080783A">
      <w:pPr>
        <w:spacing w:line="240" w:lineRule="auto"/>
        <w:ind w:left="708"/>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lastRenderedPageBreak/>
        <w:t>Reste à déduire de ces valorisation « </w:t>
      </w:r>
      <w:r w:rsidRPr="00F91531">
        <w:rPr>
          <w:rFonts w:ascii="Times New Roman" w:hAnsi="Times New Roman"/>
          <w:i/>
          <w:sz w:val="24"/>
          <w:u w:val="single"/>
        </w:rPr>
        <w:t>une valeur</w:t>
      </w:r>
      <w:r>
        <w:rPr>
          <w:rFonts w:ascii="Times New Roman" w:hAnsi="Times New Roman"/>
          <w:sz w:val="24"/>
          <w:u w:val="single"/>
        </w:rPr>
        <w:t> </w:t>
      </w:r>
      <w:r w:rsidR="00F91531">
        <w:rPr>
          <w:rFonts w:ascii="Times New Roman" w:hAnsi="Times New Roman"/>
          <w:sz w:val="24"/>
          <w:u w:val="single"/>
        </w:rPr>
        <w:t>».</w:t>
      </w:r>
      <w:r w:rsidR="00F91531" w:rsidRPr="00F91531">
        <w:rPr>
          <w:rFonts w:ascii="Times New Roman" w:hAnsi="Times New Roman"/>
          <w:sz w:val="24"/>
        </w:rPr>
        <w:t xml:space="preserve"> </w:t>
      </w:r>
      <w:r w:rsidR="00F91531">
        <w:rPr>
          <w:rFonts w:ascii="Times New Roman" w:hAnsi="Times New Roman"/>
          <w:sz w:val="24"/>
        </w:rPr>
        <w:t>Or</w:t>
      </w:r>
      <w:r>
        <w:rPr>
          <w:rFonts w:ascii="Times New Roman" w:hAnsi="Times New Roman"/>
          <w:sz w:val="24"/>
        </w:rPr>
        <w:t xml:space="preserve">, dans le monde financier et en particulier le monde des entreprises cotées, cette notion n’est pas univoque. </w:t>
      </w:r>
    </w:p>
    <w:p w:rsidR="008064D7" w:rsidRDefault="008064D7" w:rsidP="0080783A">
      <w:pPr>
        <w:pStyle w:val="Paragraphedeliste"/>
        <w:spacing w:line="240" w:lineRule="auto"/>
        <w:ind w:left="786"/>
        <w:rPr>
          <w:rFonts w:ascii="Times New Roman" w:hAnsi="Times New Roman"/>
          <w:sz w:val="24"/>
          <w:u w:val="single"/>
        </w:rPr>
      </w:pPr>
    </w:p>
    <w:p w:rsidR="008064D7" w:rsidRDefault="008064D7" w:rsidP="0080783A">
      <w:pPr>
        <w:pStyle w:val="Paragraphedeliste"/>
        <w:spacing w:line="240" w:lineRule="auto"/>
        <w:ind w:left="786"/>
        <w:rPr>
          <w:rFonts w:ascii="Times New Roman" w:hAnsi="Times New Roman"/>
          <w:sz w:val="24"/>
        </w:rPr>
      </w:pPr>
      <w:r>
        <w:rPr>
          <w:rFonts w:ascii="Times New Roman" w:hAnsi="Times New Roman"/>
          <w:sz w:val="24"/>
        </w:rPr>
        <w:t xml:space="preserve">La doctrine </w:t>
      </w:r>
      <w:r w:rsidR="00F91531">
        <w:rPr>
          <w:rFonts w:ascii="Times New Roman" w:hAnsi="Times New Roman"/>
          <w:sz w:val="24"/>
        </w:rPr>
        <w:t xml:space="preserve">financière </w:t>
      </w:r>
      <w:r>
        <w:rPr>
          <w:rFonts w:ascii="Times New Roman" w:hAnsi="Times New Roman"/>
          <w:sz w:val="24"/>
        </w:rPr>
        <w:t>distingue d’abord la « </w:t>
      </w:r>
      <w:r w:rsidRPr="007C17D3">
        <w:rPr>
          <w:rFonts w:ascii="Times New Roman" w:hAnsi="Times New Roman"/>
          <w:i/>
          <w:sz w:val="24"/>
        </w:rPr>
        <w:t>Fair</w:t>
      </w:r>
      <w:r>
        <w:rPr>
          <w:rFonts w:ascii="Times New Roman" w:hAnsi="Times New Roman"/>
          <w:sz w:val="24"/>
        </w:rPr>
        <w:t xml:space="preserve"> </w:t>
      </w:r>
      <w:r w:rsidRPr="007C17D3">
        <w:rPr>
          <w:rFonts w:ascii="Times New Roman" w:hAnsi="Times New Roman"/>
          <w:i/>
          <w:sz w:val="24"/>
        </w:rPr>
        <w:t>value</w:t>
      </w:r>
      <w:r>
        <w:rPr>
          <w:rFonts w:ascii="Times New Roman" w:hAnsi="Times New Roman"/>
          <w:sz w:val="24"/>
        </w:rPr>
        <w:t> » qui est « </w:t>
      </w:r>
      <w:r w:rsidRPr="00F91531">
        <w:rPr>
          <w:rFonts w:ascii="Times New Roman" w:hAnsi="Times New Roman"/>
          <w:i/>
          <w:sz w:val="24"/>
        </w:rPr>
        <w:t>dérivée de la valorisation d’actifs et de passifs  sur base d’une estimation de leurs valeurs de marché et à défaut d’une telle valeur jugée pertinente d’une valeur calculée par la somme actualisée des flux de trésorerie attendus de leurs utilisation soit l’anticipation des perspective futures  ou encore la somme des valeurs que pourrait prendre l’entreprise dans chacun des scénarios d’avenu possible , pondéré par leurs probabilité respective d’occurrence</w:t>
      </w:r>
      <w:r>
        <w:rPr>
          <w:rFonts w:ascii="Times New Roman" w:hAnsi="Times New Roman"/>
          <w:sz w:val="24"/>
        </w:rPr>
        <w:t xml:space="preserve"> » </w:t>
      </w:r>
      <w:r>
        <w:rPr>
          <w:rStyle w:val="Appelnotedebasdep"/>
          <w:rFonts w:ascii="Times New Roman" w:hAnsi="Times New Roman"/>
          <w:sz w:val="24"/>
        </w:rPr>
        <w:footnoteReference w:id="119"/>
      </w:r>
      <w:r w:rsidR="00F91531">
        <w:rPr>
          <w:rFonts w:ascii="Times New Roman" w:hAnsi="Times New Roman"/>
          <w:sz w:val="24"/>
        </w:rPr>
        <w:t>.</w:t>
      </w:r>
    </w:p>
    <w:p w:rsidR="008064D7" w:rsidRDefault="008064D7" w:rsidP="0080783A">
      <w:pPr>
        <w:pStyle w:val="Paragraphedeliste"/>
        <w:spacing w:line="240" w:lineRule="auto"/>
        <w:ind w:left="786"/>
        <w:rPr>
          <w:rFonts w:ascii="Times New Roman" w:hAnsi="Times New Roman"/>
          <w:sz w:val="24"/>
        </w:rPr>
      </w:pPr>
    </w:p>
    <w:p w:rsidR="008064D7" w:rsidRDefault="008064D7" w:rsidP="0080783A">
      <w:pPr>
        <w:pStyle w:val="Paragraphedeliste"/>
        <w:spacing w:line="240" w:lineRule="auto"/>
        <w:ind w:left="786"/>
        <w:rPr>
          <w:rFonts w:ascii="Times New Roman" w:hAnsi="Times New Roman"/>
          <w:sz w:val="24"/>
        </w:rPr>
      </w:pPr>
      <w:r>
        <w:rPr>
          <w:rFonts w:ascii="Times New Roman" w:hAnsi="Times New Roman"/>
          <w:sz w:val="24"/>
        </w:rPr>
        <w:t>La valeur d’investissement (</w:t>
      </w:r>
      <w:r w:rsidRPr="007C17D3">
        <w:rPr>
          <w:rFonts w:ascii="Times New Roman" w:hAnsi="Times New Roman"/>
          <w:i/>
          <w:sz w:val="24"/>
        </w:rPr>
        <w:t>Investment</w:t>
      </w:r>
      <w:r>
        <w:rPr>
          <w:rFonts w:ascii="Times New Roman" w:hAnsi="Times New Roman"/>
          <w:sz w:val="24"/>
        </w:rPr>
        <w:t xml:space="preserve"> </w:t>
      </w:r>
      <w:r w:rsidRPr="007C17D3">
        <w:rPr>
          <w:rFonts w:ascii="Times New Roman" w:hAnsi="Times New Roman"/>
          <w:i/>
          <w:sz w:val="24"/>
        </w:rPr>
        <w:t>value</w:t>
      </w:r>
      <w:r>
        <w:rPr>
          <w:rFonts w:ascii="Times New Roman" w:hAnsi="Times New Roman"/>
          <w:sz w:val="24"/>
        </w:rPr>
        <w:t>) correspond à la valeur concrète admise par un investisseur pour réaliser un investissement de New Money</w:t>
      </w:r>
      <w:r>
        <w:rPr>
          <w:rStyle w:val="Appelnotedebasdep"/>
          <w:rFonts w:ascii="Times New Roman" w:hAnsi="Times New Roman"/>
          <w:sz w:val="24"/>
        </w:rPr>
        <w:footnoteReference w:id="120"/>
      </w:r>
      <w:r>
        <w:rPr>
          <w:rFonts w:ascii="Times New Roman" w:hAnsi="Times New Roman"/>
          <w:sz w:val="24"/>
        </w:rPr>
        <w:t xml:space="preserve"> qui se déduit de la valeur de marché </w:t>
      </w:r>
      <w:r w:rsidR="00F91531">
        <w:rPr>
          <w:rFonts w:ascii="Times New Roman" w:hAnsi="Times New Roman"/>
          <w:sz w:val="24"/>
        </w:rPr>
        <w:t>à laquelle</w:t>
      </w:r>
      <w:r>
        <w:rPr>
          <w:rFonts w:ascii="Times New Roman" w:hAnsi="Times New Roman"/>
          <w:sz w:val="24"/>
        </w:rPr>
        <w:t xml:space="preserve"> est ajoutée la valeur liée aux besoins spécifique</w:t>
      </w:r>
      <w:r w:rsidR="0030531D">
        <w:rPr>
          <w:rFonts w:ascii="Times New Roman" w:hAnsi="Times New Roman"/>
          <w:sz w:val="24"/>
        </w:rPr>
        <w:t>s</w:t>
      </w:r>
      <w:r>
        <w:rPr>
          <w:rFonts w:ascii="Times New Roman" w:hAnsi="Times New Roman"/>
          <w:sz w:val="24"/>
        </w:rPr>
        <w:t xml:space="preserve"> de l’investisseur (par exemple</w:t>
      </w:r>
      <w:r w:rsidR="0030531D">
        <w:rPr>
          <w:rFonts w:ascii="Times New Roman" w:hAnsi="Times New Roman"/>
          <w:sz w:val="24"/>
        </w:rPr>
        <w:t>,</w:t>
      </w:r>
      <w:r>
        <w:rPr>
          <w:rFonts w:ascii="Times New Roman" w:hAnsi="Times New Roman"/>
          <w:sz w:val="24"/>
        </w:rPr>
        <w:t xml:space="preserve"> sa spéculation sur la valeur future hors la rentabilité usuelle des OLO, ou les synergies opérationnels ou financières) qui représente le prix qu’est prêt à payer l’investisseur tout en intégrant dans ce prix la rémunération qu’il en attend (notamment à travers le WAAC). C’est une valeur propre à chaque opération, à chaque investisseur ou à chaque contexte</w:t>
      </w:r>
      <w:r>
        <w:rPr>
          <w:rStyle w:val="Appelnotedebasdep"/>
          <w:rFonts w:ascii="Times New Roman" w:hAnsi="Times New Roman"/>
          <w:sz w:val="24"/>
        </w:rPr>
        <w:footnoteReference w:id="121"/>
      </w:r>
      <w:r>
        <w:rPr>
          <w:rFonts w:ascii="Times New Roman" w:hAnsi="Times New Roman"/>
          <w:sz w:val="24"/>
        </w:rPr>
        <w:t>.</w:t>
      </w:r>
    </w:p>
    <w:p w:rsidR="008064D7" w:rsidRDefault="008064D7" w:rsidP="0080783A">
      <w:pPr>
        <w:pStyle w:val="Paragraphedeliste"/>
        <w:spacing w:line="240" w:lineRule="auto"/>
        <w:ind w:left="786"/>
        <w:rPr>
          <w:rFonts w:ascii="Times New Roman" w:hAnsi="Times New Roman"/>
          <w:sz w:val="24"/>
        </w:rPr>
      </w:pPr>
    </w:p>
    <w:p w:rsidR="008064D7" w:rsidRDefault="008064D7" w:rsidP="0080783A">
      <w:pPr>
        <w:pStyle w:val="Paragraphedeliste"/>
        <w:spacing w:line="240" w:lineRule="auto"/>
        <w:ind w:left="786"/>
        <w:rPr>
          <w:rFonts w:ascii="Times New Roman" w:hAnsi="Times New Roman"/>
          <w:sz w:val="24"/>
        </w:rPr>
      </w:pPr>
      <w:r>
        <w:rPr>
          <w:rFonts w:ascii="Times New Roman" w:hAnsi="Times New Roman"/>
          <w:sz w:val="24"/>
        </w:rPr>
        <w:t xml:space="preserve">La valeur du cours de bourse n’est donc qu’une valeur de référence. </w:t>
      </w:r>
    </w:p>
    <w:p w:rsidR="008064D7" w:rsidRDefault="008064D7" w:rsidP="0080783A">
      <w:pPr>
        <w:pStyle w:val="Paragraphedeliste"/>
        <w:spacing w:line="240" w:lineRule="auto"/>
        <w:ind w:left="786"/>
        <w:rPr>
          <w:rFonts w:ascii="Times New Roman" w:hAnsi="Times New Roman"/>
          <w:sz w:val="24"/>
        </w:rPr>
      </w:pPr>
    </w:p>
    <w:p w:rsidR="008064D7" w:rsidRDefault="008064D7" w:rsidP="0080783A">
      <w:pPr>
        <w:pStyle w:val="Paragraphedeliste"/>
        <w:spacing w:line="240" w:lineRule="auto"/>
        <w:ind w:left="786"/>
        <w:rPr>
          <w:rFonts w:ascii="Times New Roman" w:hAnsi="Times New Roman"/>
          <w:sz w:val="24"/>
        </w:rPr>
      </w:pPr>
      <w:r>
        <w:rPr>
          <w:rFonts w:ascii="Times New Roman" w:hAnsi="Times New Roman"/>
          <w:sz w:val="24"/>
        </w:rPr>
        <w:t>La valeur et le prix sont donc des notions fondamentalement différentes</w:t>
      </w:r>
      <w:r>
        <w:rPr>
          <w:rStyle w:val="Appelnotedebasdep"/>
          <w:rFonts w:ascii="Times New Roman" w:hAnsi="Times New Roman"/>
          <w:sz w:val="24"/>
        </w:rPr>
        <w:footnoteReference w:id="122"/>
      </w:r>
      <w:r>
        <w:rPr>
          <w:rFonts w:ascii="Times New Roman" w:hAnsi="Times New Roman"/>
          <w:sz w:val="24"/>
        </w:rPr>
        <w:t>, la valeur correspond à une appréciation d’un prix de marché à un moment donné sur base d’éléments interne</w:t>
      </w:r>
      <w:r w:rsidR="0030531D">
        <w:rPr>
          <w:rFonts w:ascii="Times New Roman" w:hAnsi="Times New Roman"/>
          <w:sz w:val="24"/>
        </w:rPr>
        <w:t>s</w:t>
      </w:r>
      <w:r>
        <w:rPr>
          <w:rFonts w:ascii="Times New Roman" w:hAnsi="Times New Roman"/>
          <w:sz w:val="24"/>
        </w:rPr>
        <w:t xml:space="preserve"> à l’entreprises mais aussi externe</w:t>
      </w:r>
      <w:r w:rsidR="0030531D">
        <w:rPr>
          <w:rFonts w:ascii="Times New Roman" w:hAnsi="Times New Roman"/>
          <w:sz w:val="24"/>
        </w:rPr>
        <w:t>s</w:t>
      </w:r>
      <w:r>
        <w:rPr>
          <w:rFonts w:ascii="Times New Roman" w:hAnsi="Times New Roman"/>
          <w:sz w:val="24"/>
        </w:rPr>
        <w:t xml:space="preserve"> à elle tandis que le prix résulte de la négociation entre un acheteur déterminé et un vendeur déterminé en fonction de ce qui les détermine d’acheter et de vendre </w:t>
      </w:r>
      <w:r>
        <w:rPr>
          <w:rStyle w:val="Appelnotedebasdep"/>
          <w:rFonts w:ascii="Times New Roman" w:hAnsi="Times New Roman"/>
          <w:sz w:val="24"/>
        </w:rPr>
        <w:footnoteReference w:id="123"/>
      </w:r>
      <w:r w:rsidR="0030531D">
        <w:rPr>
          <w:rFonts w:ascii="Times New Roman" w:hAnsi="Times New Roman"/>
          <w:sz w:val="24"/>
        </w:rPr>
        <w:t>.</w:t>
      </w:r>
    </w:p>
    <w:p w:rsidR="008064D7" w:rsidRDefault="008064D7" w:rsidP="00BE5130">
      <w:pPr>
        <w:pStyle w:val="Paragraphedeliste"/>
        <w:spacing w:line="240" w:lineRule="auto"/>
        <w:ind w:left="786"/>
        <w:rPr>
          <w:rFonts w:ascii="Times New Roman" w:hAnsi="Times New Roman"/>
          <w:sz w:val="24"/>
        </w:rPr>
      </w:pPr>
    </w:p>
    <w:p w:rsidR="008064D7" w:rsidRDefault="008064D7" w:rsidP="0030531D">
      <w:pPr>
        <w:pStyle w:val="Paragraphedeliste"/>
        <w:numPr>
          <w:ilvl w:val="0"/>
          <w:numId w:val="2"/>
        </w:numPr>
        <w:spacing w:line="240" w:lineRule="auto"/>
        <w:rPr>
          <w:rFonts w:ascii="Times New Roman" w:hAnsi="Times New Roman"/>
          <w:sz w:val="24"/>
        </w:rPr>
      </w:pPr>
      <w:r>
        <w:rPr>
          <w:rFonts w:ascii="Times New Roman" w:hAnsi="Times New Roman"/>
          <w:sz w:val="24"/>
        </w:rPr>
        <w:t xml:space="preserve"> </w:t>
      </w:r>
      <w:r w:rsidR="0030531D">
        <w:rPr>
          <w:rFonts w:ascii="Times New Roman" w:hAnsi="Times New Roman"/>
          <w:sz w:val="24"/>
          <w:u w:val="single"/>
        </w:rPr>
        <w:t>Valeur d’entreprise et valeur dans la procédure.</w:t>
      </w:r>
      <w:r w:rsidR="0030531D">
        <w:rPr>
          <w:rFonts w:ascii="Times New Roman" w:hAnsi="Times New Roman"/>
          <w:sz w:val="24"/>
        </w:rPr>
        <w:t xml:space="preserve"> </w:t>
      </w:r>
      <w:r>
        <w:rPr>
          <w:rFonts w:ascii="Times New Roman" w:hAnsi="Times New Roman"/>
          <w:sz w:val="24"/>
        </w:rPr>
        <w:t>La jurisprudence américaine</w:t>
      </w:r>
      <w:r>
        <w:rPr>
          <w:rStyle w:val="Appelnotedebasdep"/>
          <w:rFonts w:ascii="Times New Roman" w:hAnsi="Times New Roman"/>
          <w:sz w:val="24"/>
        </w:rPr>
        <w:footnoteReference w:id="124"/>
      </w:r>
      <w:r w:rsidR="0030531D">
        <w:rPr>
          <w:rFonts w:ascii="Times New Roman" w:hAnsi="Times New Roman"/>
          <w:sz w:val="24"/>
        </w:rPr>
        <w:t xml:space="preserve"> </w:t>
      </w:r>
      <w:r>
        <w:rPr>
          <w:rFonts w:ascii="Times New Roman" w:hAnsi="Times New Roman"/>
          <w:sz w:val="24"/>
        </w:rPr>
        <w:t>exprimée par le juge Clarck est qu’il faut prendre en compte la valeur subjective du marché</w:t>
      </w:r>
      <w:r w:rsidR="0030531D">
        <w:rPr>
          <w:rFonts w:ascii="Times New Roman" w:hAnsi="Times New Roman"/>
          <w:sz w:val="24"/>
        </w:rPr>
        <w:t>,</w:t>
      </w:r>
      <w:r>
        <w:rPr>
          <w:rFonts w:ascii="Times New Roman" w:hAnsi="Times New Roman"/>
          <w:sz w:val="24"/>
        </w:rPr>
        <w:t xml:space="preserve"> c’est</w:t>
      </w:r>
      <w:r w:rsidR="0030531D">
        <w:rPr>
          <w:rFonts w:ascii="Times New Roman" w:hAnsi="Times New Roman"/>
          <w:sz w:val="24"/>
        </w:rPr>
        <w:t>-</w:t>
      </w:r>
      <w:r>
        <w:rPr>
          <w:rFonts w:ascii="Times New Roman" w:hAnsi="Times New Roman"/>
          <w:sz w:val="24"/>
        </w:rPr>
        <w:t>à</w:t>
      </w:r>
      <w:r w:rsidR="0030531D">
        <w:rPr>
          <w:rFonts w:ascii="Times New Roman" w:hAnsi="Times New Roman"/>
          <w:sz w:val="24"/>
        </w:rPr>
        <w:t>-</w:t>
      </w:r>
      <w:r>
        <w:rPr>
          <w:rFonts w:ascii="Times New Roman" w:hAnsi="Times New Roman"/>
          <w:sz w:val="24"/>
        </w:rPr>
        <w:t>dire</w:t>
      </w:r>
      <w:r w:rsidR="0030531D">
        <w:rPr>
          <w:rFonts w:ascii="Times New Roman" w:hAnsi="Times New Roman"/>
          <w:sz w:val="24"/>
        </w:rPr>
        <w:t>,</w:t>
      </w:r>
      <w:r>
        <w:rPr>
          <w:rFonts w:ascii="Times New Roman" w:hAnsi="Times New Roman"/>
          <w:sz w:val="24"/>
        </w:rPr>
        <w:t xml:space="preserve"> celle qui sera celle au jour où la procédure sera terminée</w:t>
      </w:r>
      <w:r>
        <w:rPr>
          <w:rStyle w:val="Appelnotedebasdep"/>
          <w:rFonts w:ascii="Times New Roman" w:hAnsi="Times New Roman"/>
          <w:sz w:val="24"/>
        </w:rPr>
        <w:footnoteReference w:id="125"/>
      </w:r>
      <w:r>
        <w:rPr>
          <w:rFonts w:ascii="Times New Roman" w:hAnsi="Times New Roman"/>
          <w:sz w:val="24"/>
        </w:rPr>
        <w:t>. Le principe est de rechercher la valeur «</w:t>
      </w:r>
      <w:r w:rsidRPr="002D7AF6">
        <w:rPr>
          <w:rFonts w:ascii="Times New Roman" w:hAnsi="Times New Roman"/>
          <w:i/>
          <w:sz w:val="24"/>
        </w:rPr>
        <w:t> </w:t>
      </w:r>
      <w:r w:rsidRPr="007C17D3">
        <w:rPr>
          <w:rFonts w:ascii="Times New Roman" w:hAnsi="Times New Roman"/>
          <w:i/>
          <w:sz w:val="24"/>
        </w:rPr>
        <w:t>Fair</w:t>
      </w:r>
      <w:r w:rsidR="0030531D">
        <w:rPr>
          <w:rFonts w:ascii="Times New Roman" w:hAnsi="Times New Roman"/>
          <w:sz w:val="24"/>
        </w:rPr>
        <w:t xml:space="preserve"> », c’est-à-dire, </w:t>
      </w:r>
      <w:r>
        <w:rPr>
          <w:rFonts w:ascii="Times New Roman" w:hAnsi="Times New Roman"/>
          <w:sz w:val="24"/>
        </w:rPr>
        <w:t>la valeur que l’on peut normalement réaliser de manière correcte, au besoin en prenant du temps ou en recherchant le candidat idéal</w:t>
      </w:r>
      <w:r>
        <w:rPr>
          <w:rStyle w:val="Appelnotedebasdep"/>
          <w:rFonts w:ascii="Times New Roman" w:hAnsi="Times New Roman"/>
          <w:sz w:val="24"/>
        </w:rPr>
        <w:footnoteReference w:id="126"/>
      </w:r>
      <w:r>
        <w:rPr>
          <w:rFonts w:ascii="Times New Roman" w:hAnsi="Times New Roman"/>
          <w:sz w:val="24"/>
        </w:rPr>
        <w:t>. Ce ne serait donc pas la valeur du Cours qui ne représenterai</w:t>
      </w:r>
      <w:r w:rsidR="0030531D">
        <w:rPr>
          <w:rFonts w:ascii="Times New Roman" w:hAnsi="Times New Roman"/>
          <w:sz w:val="24"/>
        </w:rPr>
        <w:t>t</w:t>
      </w:r>
      <w:r>
        <w:rPr>
          <w:rFonts w:ascii="Times New Roman" w:hAnsi="Times New Roman"/>
          <w:sz w:val="24"/>
        </w:rPr>
        <w:t xml:space="preserve"> pas cette valeur.</w:t>
      </w:r>
    </w:p>
    <w:p w:rsidR="008064D7" w:rsidRDefault="008064D7" w:rsidP="00407E28">
      <w:pPr>
        <w:spacing w:line="240" w:lineRule="auto"/>
        <w:ind w:left="708"/>
        <w:rPr>
          <w:rFonts w:ascii="Times New Roman" w:hAnsi="Times New Roman"/>
          <w:sz w:val="24"/>
        </w:rPr>
      </w:pPr>
    </w:p>
    <w:p w:rsidR="008064D7" w:rsidRDefault="008064D7" w:rsidP="006D7E72">
      <w:pPr>
        <w:pStyle w:val="Paragraphedeliste"/>
        <w:spacing w:line="240" w:lineRule="auto"/>
        <w:ind w:left="786"/>
        <w:rPr>
          <w:rFonts w:ascii="Times New Roman" w:hAnsi="Times New Roman"/>
          <w:sz w:val="24"/>
          <w:u w:val="single"/>
        </w:rPr>
      </w:pPr>
    </w:p>
    <w:p w:rsidR="008064D7" w:rsidRDefault="0030531D" w:rsidP="0030531D">
      <w:pPr>
        <w:pStyle w:val="Titre2"/>
        <w:numPr>
          <w:ilvl w:val="0"/>
          <w:numId w:val="40"/>
        </w:numPr>
        <w:rPr>
          <w:rFonts w:ascii="Times New Roman" w:hAnsi="Times New Roman" w:cs="Times New Roman"/>
        </w:rPr>
      </w:pPr>
      <w:bookmarkStart w:id="12" w:name="_Toc55407458"/>
      <w:r>
        <w:rPr>
          <w:rFonts w:ascii="Times New Roman" w:hAnsi="Times New Roman" w:cs="Times New Roman"/>
        </w:rPr>
        <w:lastRenderedPageBreak/>
        <w:t>La valeur des</w:t>
      </w:r>
      <w:r w:rsidR="008064D7" w:rsidRPr="00235E93">
        <w:rPr>
          <w:rFonts w:ascii="Times New Roman" w:hAnsi="Times New Roman" w:cs="Times New Roman"/>
        </w:rPr>
        <w:t xml:space="preserve"> actions non cotées</w:t>
      </w:r>
      <w:bookmarkEnd w:id="12"/>
    </w:p>
    <w:p w:rsidR="0030531D" w:rsidRPr="0030531D" w:rsidRDefault="0030531D" w:rsidP="0030531D"/>
    <w:p w:rsidR="008064D7" w:rsidRPr="0030531D" w:rsidRDefault="008064D7" w:rsidP="0030531D">
      <w:pPr>
        <w:pStyle w:val="Titre3"/>
        <w:numPr>
          <w:ilvl w:val="0"/>
          <w:numId w:val="42"/>
        </w:numPr>
        <w:rPr>
          <w:b/>
          <w:u w:val="single"/>
        </w:rPr>
      </w:pPr>
      <w:bookmarkStart w:id="13" w:name="_Toc55407459"/>
      <w:r w:rsidRPr="0030531D">
        <w:rPr>
          <w:b/>
          <w:u w:val="single"/>
        </w:rPr>
        <w:t>Partie théorique</w:t>
      </w:r>
      <w:bookmarkEnd w:id="13"/>
      <w:r w:rsidRPr="0030531D">
        <w:rPr>
          <w:b/>
          <w:u w:val="single"/>
        </w:rPr>
        <w:t xml:space="preserve"> </w:t>
      </w:r>
    </w:p>
    <w:p w:rsidR="008064D7" w:rsidRPr="007565AA" w:rsidRDefault="008064D7" w:rsidP="007565AA">
      <w:pPr>
        <w:spacing w:line="240" w:lineRule="auto"/>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sidRPr="007565AA">
        <w:rPr>
          <w:rFonts w:ascii="Times New Roman" w:hAnsi="Times New Roman"/>
          <w:sz w:val="24"/>
          <w:u w:val="single"/>
        </w:rPr>
        <w:t>Méthodologie standard</w:t>
      </w:r>
      <w:r w:rsidRPr="00242A1C">
        <w:rPr>
          <w:rFonts w:ascii="Times New Roman" w:hAnsi="Times New Roman"/>
          <w:sz w:val="24"/>
        </w:rPr>
        <w:t>. L</w:t>
      </w:r>
      <w:r>
        <w:rPr>
          <w:rFonts w:ascii="Times New Roman" w:hAnsi="Times New Roman"/>
          <w:sz w:val="24"/>
        </w:rPr>
        <w:t>’Inst</w:t>
      </w:r>
      <w:r w:rsidR="0030531D">
        <w:rPr>
          <w:rFonts w:ascii="Times New Roman" w:hAnsi="Times New Roman"/>
          <w:sz w:val="24"/>
        </w:rPr>
        <w:t>itut des réviseur d’entreprise</w:t>
      </w:r>
      <w:r>
        <w:rPr>
          <w:rStyle w:val="Appelnotedebasdep"/>
          <w:rFonts w:ascii="Times New Roman" w:hAnsi="Times New Roman"/>
          <w:sz w:val="24"/>
        </w:rPr>
        <w:footnoteReference w:id="127"/>
      </w:r>
      <w:r>
        <w:rPr>
          <w:rFonts w:ascii="Times New Roman" w:hAnsi="Times New Roman"/>
          <w:sz w:val="24"/>
        </w:rPr>
        <w:t xml:space="preserve"> </w:t>
      </w:r>
      <w:r w:rsidR="0030531D">
        <w:rPr>
          <w:rFonts w:ascii="Times New Roman" w:hAnsi="Times New Roman"/>
          <w:sz w:val="24"/>
        </w:rPr>
        <w:t xml:space="preserve">décrit les </w:t>
      </w:r>
      <w:r>
        <w:rPr>
          <w:rFonts w:ascii="Times New Roman" w:hAnsi="Times New Roman"/>
          <w:sz w:val="24"/>
        </w:rPr>
        <w:t>différentes méthodes comme</w:t>
      </w:r>
      <w:r w:rsidR="0030531D">
        <w:rPr>
          <w:rFonts w:ascii="Times New Roman" w:hAnsi="Times New Roman"/>
          <w:sz w:val="24"/>
        </w:rPr>
        <w:t>,</w:t>
      </w:r>
      <w:r>
        <w:rPr>
          <w:rFonts w:ascii="Times New Roman" w:hAnsi="Times New Roman"/>
          <w:sz w:val="24"/>
        </w:rPr>
        <w:t xml:space="preserve"> par exemple</w:t>
      </w:r>
      <w:r w:rsidR="0030531D">
        <w:rPr>
          <w:rFonts w:ascii="Times New Roman" w:hAnsi="Times New Roman"/>
          <w:sz w:val="24"/>
        </w:rPr>
        <w:t>, la méthode patrimoniale, la méthode</w:t>
      </w:r>
      <w:r>
        <w:rPr>
          <w:rFonts w:ascii="Times New Roman" w:hAnsi="Times New Roman"/>
          <w:sz w:val="24"/>
        </w:rPr>
        <w:t xml:space="preserve">  des comparables et </w:t>
      </w:r>
      <w:r w:rsidR="0030531D">
        <w:rPr>
          <w:rFonts w:ascii="Times New Roman" w:hAnsi="Times New Roman"/>
          <w:sz w:val="24"/>
        </w:rPr>
        <w:t xml:space="preserve">la méthode </w:t>
      </w:r>
      <w:r>
        <w:rPr>
          <w:rFonts w:ascii="Times New Roman" w:hAnsi="Times New Roman"/>
          <w:sz w:val="24"/>
        </w:rPr>
        <w:t xml:space="preserve">du rendement, </w:t>
      </w:r>
      <w:r w:rsidR="0030531D">
        <w:rPr>
          <w:rFonts w:ascii="Times New Roman" w:hAnsi="Times New Roman"/>
          <w:sz w:val="24"/>
        </w:rPr>
        <w:t xml:space="preserve">puis </w:t>
      </w:r>
      <w:r>
        <w:rPr>
          <w:rFonts w:ascii="Times New Roman" w:hAnsi="Times New Roman"/>
          <w:sz w:val="24"/>
        </w:rPr>
        <w:t xml:space="preserve">décrit  la méthode dite du </w:t>
      </w:r>
      <w:r w:rsidRPr="002D7AF6">
        <w:rPr>
          <w:rFonts w:ascii="Times New Roman" w:hAnsi="Times New Roman"/>
          <w:i/>
          <w:sz w:val="24"/>
        </w:rPr>
        <w:t>Discount cash-flow</w:t>
      </w:r>
      <w:r>
        <w:rPr>
          <w:rFonts w:ascii="Times New Roman" w:hAnsi="Times New Roman"/>
          <w:sz w:val="24"/>
        </w:rPr>
        <w:t xml:space="preserve"> (DCF). </w:t>
      </w:r>
    </w:p>
    <w:p w:rsidR="008064D7" w:rsidRDefault="008064D7" w:rsidP="007565AA">
      <w:pPr>
        <w:pStyle w:val="Paragraphedeliste"/>
        <w:spacing w:line="240" w:lineRule="auto"/>
        <w:ind w:left="786"/>
        <w:rPr>
          <w:rFonts w:ascii="Times New Roman" w:hAnsi="Times New Roman"/>
          <w:sz w:val="24"/>
        </w:rPr>
      </w:pPr>
    </w:p>
    <w:p w:rsidR="008064D7" w:rsidRDefault="0030531D" w:rsidP="007565AA">
      <w:pPr>
        <w:pStyle w:val="Paragraphedeliste"/>
        <w:spacing w:line="240" w:lineRule="auto"/>
        <w:ind w:left="786"/>
        <w:rPr>
          <w:rFonts w:ascii="Times New Roman" w:hAnsi="Times New Roman"/>
          <w:sz w:val="24"/>
        </w:rPr>
      </w:pPr>
      <w:r>
        <w:rPr>
          <w:rFonts w:ascii="Times New Roman" w:hAnsi="Times New Roman"/>
          <w:sz w:val="24"/>
        </w:rPr>
        <w:t>Cette méthode est celle utilisée en premier examen par les juges</w:t>
      </w:r>
      <w:r w:rsidR="00CE587A">
        <w:rPr>
          <w:rFonts w:ascii="Times New Roman" w:hAnsi="Times New Roman"/>
          <w:sz w:val="24"/>
        </w:rPr>
        <w:t xml:space="preserve"> américains comme nous l’examinons ci-après. C’est d’ailleurs logique puisque,</w:t>
      </w:r>
      <w:r w:rsidR="008064D7">
        <w:rPr>
          <w:rFonts w:ascii="Times New Roman" w:hAnsi="Times New Roman"/>
          <w:sz w:val="24"/>
        </w:rPr>
        <w:t xml:space="preserve"> lors d’un</w:t>
      </w:r>
      <w:r w:rsidR="00CE587A">
        <w:rPr>
          <w:rFonts w:ascii="Times New Roman" w:hAnsi="Times New Roman"/>
          <w:sz w:val="24"/>
        </w:rPr>
        <w:t xml:space="preserve">e restructuration des activités, </w:t>
      </w:r>
      <w:r w:rsidR="008064D7">
        <w:rPr>
          <w:rFonts w:ascii="Times New Roman" w:hAnsi="Times New Roman"/>
          <w:sz w:val="24"/>
        </w:rPr>
        <w:t xml:space="preserve">la valeur n’est </w:t>
      </w:r>
      <w:r w:rsidR="00CE587A">
        <w:rPr>
          <w:rFonts w:ascii="Times New Roman" w:hAnsi="Times New Roman"/>
          <w:sz w:val="24"/>
        </w:rPr>
        <w:t xml:space="preserve">pas </w:t>
      </w:r>
      <w:r w:rsidR="008064D7">
        <w:rPr>
          <w:rFonts w:ascii="Times New Roman" w:hAnsi="Times New Roman"/>
          <w:sz w:val="24"/>
        </w:rPr>
        <w:t xml:space="preserve">souvent </w:t>
      </w:r>
      <w:r w:rsidR="008064D7" w:rsidRPr="00647375">
        <w:rPr>
          <w:rFonts w:ascii="Times New Roman" w:hAnsi="Times New Roman"/>
          <w:sz w:val="24"/>
        </w:rPr>
        <w:t>absolument cohérent</w:t>
      </w:r>
      <w:r w:rsidR="008064D7">
        <w:rPr>
          <w:rFonts w:ascii="Times New Roman" w:hAnsi="Times New Roman"/>
          <w:sz w:val="24"/>
        </w:rPr>
        <w:t>e</w:t>
      </w:r>
      <w:r>
        <w:rPr>
          <w:rFonts w:ascii="Times New Roman" w:hAnsi="Times New Roman"/>
          <w:sz w:val="24"/>
        </w:rPr>
        <w:t xml:space="preserve"> (</w:t>
      </w:r>
      <w:r w:rsidRPr="0030531D">
        <w:rPr>
          <w:rFonts w:ascii="Times New Roman" w:hAnsi="Times New Roman"/>
          <w:sz w:val="24"/>
        </w:rPr>
        <w:t>mais pas toujours</w:t>
      </w:r>
      <w:r>
        <w:rPr>
          <w:rFonts w:ascii="Times New Roman" w:hAnsi="Times New Roman"/>
          <w:sz w:val="24"/>
        </w:rPr>
        <w:t>)</w:t>
      </w:r>
      <w:r w:rsidR="008064D7" w:rsidRPr="00647375">
        <w:rPr>
          <w:rFonts w:ascii="Times New Roman" w:hAnsi="Times New Roman"/>
          <w:sz w:val="24"/>
        </w:rPr>
        <w:t xml:space="preserve"> avec des flux passés </w:t>
      </w:r>
      <w:r w:rsidR="008064D7">
        <w:rPr>
          <w:rFonts w:ascii="Times New Roman" w:hAnsi="Times New Roman"/>
          <w:sz w:val="24"/>
        </w:rPr>
        <w:t xml:space="preserve">mais bien plus en lien </w:t>
      </w:r>
      <w:r w:rsidR="00CE587A">
        <w:rPr>
          <w:rFonts w:ascii="Times New Roman" w:hAnsi="Times New Roman"/>
          <w:sz w:val="24"/>
        </w:rPr>
        <w:t xml:space="preserve">avec des flux futurs différents, des flux passés </w:t>
      </w:r>
      <w:r w:rsidR="008064D7">
        <w:rPr>
          <w:rFonts w:ascii="Times New Roman" w:hAnsi="Times New Roman"/>
          <w:sz w:val="24"/>
        </w:rPr>
        <w:t>en raison de l’élimination de dettes ou de délai</w:t>
      </w:r>
      <w:r w:rsidR="00CE587A">
        <w:rPr>
          <w:rFonts w:ascii="Times New Roman" w:hAnsi="Times New Roman"/>
          <w:sz w:val="24"/>
        </w:rPr>
        <w:t>s</w:t>
      </w:r>
      <w:r w:rsidR="008064D7">
        <w:rPr>
          <w:rFonts w:ascii="Times New Roman" w:hAnsi="Times New Roman"/>
          <w:sz w:val="24"/>
        </w:rPr>
        <w:t xml:space="preserve"> de paiement différents, d</w:t>
      </w:r>
      <w:r w:rsidR="00CE587A">
        <w:rPr>
          <w:rFonts w:ascii="Times New Roman" w:hAnsi="Times New Roman"/>
          <w:sz w:val="24"/>
        </w:rPr>
        <w:t>u</w:t>
      </w:r>
      <w:r w:rsidR="008064D7">
        <w:rPr>
          <w:rFonts w:ascii="Times New Roman" w:hAnsi="Times New Roman"/>
          <w:sz w:val="24"/>
        </w:rPr>
        <w:t xml:space="preserve"> renforcement des </w:t>
      </w:r>
      <w:r w:rsidR="00CE587A">
        <w:rPr>
          <w:rFonts w:ascii="Times New Roman" w:hAnsi="Times New Roman"/>
          <w:sz w:val="24"/>
        </w:rPr>
        <w:t>fonds propres et donc aussi du f</w:t>
      </w:r>
      <w:r w:rsidR="008064D7">
        <w:rPr>
          <w:rFonts w:ascii="Times New Roman" w:hAnsi="Times New Roman"/>
          <w:sz w:val="24"/>
        </w:rPr>
        <w:t>onds de roulement, de la modification du périmètre des activités et donc des charges pesant sur la rentabilité et aussi sur les perspectives de développement. Ceci ne veut pas dire que d’autres méthodes, notamment face à des PME dont la restructuration conduit à des modifications moins divergentes du modèle du passé</w:t>
      </w:r>
      <w:r w:rsidR="00CE587A">
        <w:rPr>
          <w:rFonts w:ascii="Times New Roman" w:hAnsi="Times New Roman"/>
          <w:sz w:val="24"/>
        </w:rPr>
        <w:t>,</w:t>
      </w:r>
      <w:r w:rsidR="008064D7">
        <w:rPr>
          <w:rFonts w:ascii="Times New Roman" w:hAnsi="Times New Roman"/>
          <w:sz w:val="24"/>
        </w:rPr>
        <w:t xml:space="preserve"> ne sont pas pertinente dans certains cas d’espèce. </w:t>
      </w:r>
      <w:r w:rsidR="00CE587A">
        <w:rPr>
          <w:rFonts w:ascii="Times New Roman" w:hAnsi="Times New Roman"/>
          <w:sz w:val="24"/>
        </w:rPr>
        <w:t>Nous y reviendrons.</w:t>
      </w:r>
    </w:p>
    <w:p w:rsidR="008064D7" w:rsidRDefault="008064D7" w:rsidP="007565AA">
      <w:pPr>
        <w:pStyle w:val="Paragraphedeliste"/>
        <w:spacing w:line="240" w:lineRule="auto"/>
        <w:ind w:left="786"/>
        <w:rPr>
          <w:rFonts w:ascii="Times New Roman" w:hAnsi="Times New Roman"/>
          <w:sz w:val="24"/>
        </w:rPr>
      </w:pPr>
    </w:p>
    <w:p w:rsidR="008064D7" w:rsidRPr="00647375" w:rsidRDefault="00CE587A" w:rsidP="007565AA">
      <w:pPr>
        <w:pStyle w:val="Paragraphedeliste"/>
        <w:spacing w:line="240" w:lineRule="auto"/>
        <w:ind w:left="786"/>
        <w:rPr>
          <w:rFonts w:ascii="Times New Roman" w:hAnsi="Times New Roman"/>
          <w:sz w:val="24"/>
        </w:rPr>
      </w:pPr>
      <w:r>
        <w:rPr>
          <w:rFonts w:ascii="Times New Roman" w:hAnsi="Times New Roman"/>
          <w:sz w:val="24"/>
        </w:rPr>
        <w:t>S’agissant de la méthode DCF, l</w:t>
      </w:r>
      <w:r w:rsidR="008064D7">
        <w:rPr>
          <w:rFonts w:ascii="Times New Roman" w:hAnsi="Times New Roman"/>
          <w:sz w:val="24"/>
        </w:rPr>
        <w:t xml:space="preserve">’IRE mentionne : </w:t>
      </w:r>
    </w:p>
    <w:p w:rsidR="008064D7" w:rsidRDefault="008064D7" w:rsidP="007565AA">
      <w:pPr>
        <w:spacing w:line="240" w:lineRule="auto"/>
        <w:rPr>
          <w:rFonts w:ascii="Times New Roman" w:hAnsi="Times New Roman"/>
          <w:i/>
          <w:sz w:val="24"/>
        </w:rPr>
      </w:pPr>
    </w:p>
    <w:p w:rsidR="008064D7" w:rsidRPr="002D7AF6" w:rsidRDefault="008064D7" w:rsidP="007565AA">
      <w:pPr>
        <w:shd w:val="clear" w:color="auto" w:fill="FFFFFF"/>
        <w:spacing w:line="240" w:lineRule="auto"/>
        <w:ind w:left="1416"/>
        <w:rPr>
          <w:rFonts w:ascii="Times New Roman" w:hAnsi="Times New Roman"/>
          <w:i/>
          <w:color w:val="303133"/>
          <w:szCs w:val="21"/>
          <w:lang w:eastAsia="fr-BE"/>
        </w:rPr>
      </w:pPr>
      <w:r w:rsidRPr="002D7AF6">
        <w:rPr>
          <w:rFonts w:ascii="Times New Roman" w:hAnsi="Times New Roman"/>
          <w:i/>
          <w:color w:val="303133"/>
          <w:szCs w:val="21"/>
          <w:lang w:eastAsia="fr-BE"/>
        </w:rPr>
        <w:t>Cette méthode part du principe que l’entreprise vaut par ce qu’elle va rapporter, en se basant sur l’actualisation des flux de trésorerie futurs disponibles. Cette méthode consiste à déterminer les flux monétaires futurs les plus probables et à trouver la valeur actuelle en les actualisant à la date de l'évaluation. Dans le cadre d’une transaction, le montant ainsi déterminé correspond au prix qu’un acquéreur devrait accepter de payer pour un investissement donné, puisque cet investissement lui permettra de couvrir le coût des dettes et fonds propres qu’il engage. Dans cette approche, la valeur d’entreprise (VE) correspond à la somme de ses cash-flows disponibles prévisionnels actualisés à un taux d'actualisation.</w:t>
      </w:r>
    </w:p>
    <w:p w:rsidR="008064D7" w:rsidRPr="002D7AF6" w:rsidRDefault="008064D7" w:rsidP="007565AA">
      <w:pPr>
        <w:shd w:val="clear" w:color="auto" w:fill="FFFFFF"/>
        <w:spacing w:line="240" w:lineRule="auto"/>
        <w:ind w:left="1416"/>
        <w:rPr>
          <w:rFonts w:ascii="Times New Roman" w:hAnsi="Times New Roman"/>
          <w:i/>
          <w:color w:val="303133"/>
          <w:szCs w:val="21"/>
          <w:lang w:eastAsia="fr-BE"/>
        </w:rPr>
      </w:pPr>
      <w:r w:rsidRPr="002D7AF6">
        <w:rPr>
          <w:rFonts w:ascii="Times New Roman" w:hAnsi="Times New Roman"/>
          <w:i/>
          <w:color w:val="303133"/>
          <w:szCs w:val="21"/>
          <w:lang w:eastAsia="fr-BE"/>
        </w:rPr>
        <w:t> </w:t>
      </w:r>
    </w:p>
    <w:p w:rsidR="008064D7" w:rsidRPr="002D7AF6" w:rsidRDefault="008064D7" w:rsidP="007565AA">
      <w:pPr>
        <w:shd w:val="clear" w:color="auto" w:fill="FFFFFF"/>
        <w:spacing w:line="240" w:lineRule="auto"/>
        <w:ind w:left="1416"/>
        <w:rPr>
          <w:rFonts w:ascii="Times New Roman" w:hAnsi="Times New Roman"/>
          <w:i/>
          <w:color w:val="303133"/>
          <w:szCs w:val="21"/>
          <w:lang w:eastAsia="fr-BE"/>
        </w:rPr>
      </w:pPr>
      <w:r w:rsidRPr="002D7AF6">
        <w:rPr>
          <w:rFonts w:ascii="Times New Roman" w:hAnsi="Times New Roman"/>
          <w:i/>
          <w:color w:val="303133"/>
          <w:szCs w:val="21"/>
          <w:lang w:eastAsia="fr-BE"/>
        </w:rPr>
        <w:t xml:space="preserve">Il y a deux périodes à distinguer : la première est la période de projection, la deuxième période est la période restante, car même après la période de projection, l'entreprise continue à générer des flux de trésorerie influençant la valeur. Vous trouverez également les calculs des flux de trésorerie actualisés dans la présentation du Prof. Tom Vanacker, Université de Gand, portant sur « Les différentes méthodes d'évaluation », lors de la journée d’études organisée le </w:t>
      </w:r>
      <w:r>
        <w:rPr>
          <w:rFonts w:ascii="Times New Roman" w:hAnsi="Times New Roman"/>
          <w:i/>
          <w:color w:val="303133"/>
          <w:szCs w:val="21"/>
          <w:lang w:eastAsia="fr-BE"/>
        </w:rPr>
        <w:t>23 octobre 2014 par l’IRE</w:t>
      </w:r>
      <w:r w:rsidRPr="002D7AF6">
        <w:rPr>
          <w:rStyle w:val="Appelnotedebasdep"/>
          <w:rFonts w:ascii="Times New Roman" w:hAnsi="Times New Roman"/>
          <w:i/>
          <w:color w:val="303133"/>
          <w:szCs w:val="21"/>
          <w:lang w:eastAsia="fr-BE"/>
        </w:rPr>
        <w:footnoteReference w:id="128"/>
      </w:r>
      <w:r w:rsidR="00CE587A">
        <w:rPr>
          <w:rFonts w:ascii="Times New Roman" w:hAnsi="Times New Roman"/>
          <w:i/>
          <w:color w:val="303133"/>
          <w:szCs w:val="21"/>
          <w:lang w:eastAsia="fr-BE"/>
        </w:rPr>
        <w:t xml:space="preserve"> illustré sur le site de l’IRE.</w:t>
      </w:r>
    </w:p>
    <w:p w:rsidR="008064D7" w:rsidRDefault="008064D7" w:rsidP="007565AA">
      <w:pPr>
        <w:shd w:val="clear" w:color="auto" w:fill="FFFFFF"/>
        <w:spacing w:line="240" w:lineRule="auto"/>
        <w:ind w:left="1416"/>
        <w:jc w:val="left"/>
        <w:rPr>
          <w:rFonts w:cs="Arial"/>
          <w:i/>
          <w:color w:val="303133"/>
          <w:sz w:val="21"/>
          <w:szCs w:val="21"/>
          <w:lang w:eastAsia="fr-BE"/>
        </w:rPr>
      </w:pPr>
    </w:p>
    <w:p w:rsidR="008064D7" w:rsidRDefault="008064D7" w:rsidP="007565AA">
      <w:pPr>
        <w:shd w:val="clear" w:color="auto" w:fill="FFFFFF"/>
        <w:spacing w:line="240" w:lineRule="auto"/>
        <w:ind w:left="1416"/>
        <w:rPr>
          <w:rFonts w:ascii="Times New Roman" w:hAnsi="Times New Roman"/>
          <w:i/>
          <w:color w:val="303133"/>
          <w:szCs w:val="21"/>
          <w:lang w:eastAsia="fr-BE"/>
        </w:rPr>
      </w:pPr>
      <w:r w:rsidRPr="002D7AF6">
        <w:rPr>
          <w:rFonts w:ascii="Times New Roman" w:hAnsi="Times New Roman"/>
          <w:i/>
          <w:color w:val="303133"/>
          <w:szCs w:val="21"/>
          <w:lang w:eastAsia="fr-BE"/>
        </w:rPr>
        <w:t xml:space="preserve">Certains entreprises ou projets sont entièrement financés par des fonds propres, d'autres sont partiellement financés par des fonds propres et partiellement par des fonds étrangers. Ceci impacte le taux d'actualisation. Pour le DCF des fonds propres, on tient compte des flux de trésorerie disponibles attribuables aux fonds propres (FCFE) multiplié par un taux d’actualisation. Ceci est retenu dans le modèle CAPM (capital asset pricing model). Le taux d’actualisation utilisé est le taux d’intérêt sans risque </w:t>
      </w:r>
      <w:r w:rsidRPr="002D7AF6">
        <w:rPr>
          <w:rFonts w:ascii="Times New Roman" w:hAnsi="Times New Roman"/>
          <w:i/>
          <w:color w:val="303133"/>
          <w:szCs w:val="21"/>
          <w:lang w:eastAsia="fr-BE"/>
        </w:rPr>
        <w:lastRenderedPageBreak/>
        <w:t>augmenté d’une prime de risque du marché. Le prime de risque du marché est le produit du coefficient bêta fois une prime de risque. Le bêta représente le risque systématique sectoriel et le taux de rentabilité du marché moins le taux d'intérêt sans risque. D’autres primes</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de</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risque</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sont</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ajoutées</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pour</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les</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PME.</w:t>
      </w:r>
      <w:r w:rsidRPr="002D7AF6">
        <w:rPr>
          <w:rFonts w:ascii="Times New Roman" w:hAnsi="Times New Roman"/>
          <w:i/>
          <w:color w:val="303133"/>
          <w:szCs w:val="21"/>
          <w:lang w:eastAsia="fr-BE"/>
        </w:rPr>
        <w:br/>
      </w:r>
      <w:r w:rsidRPr="002D7AF6">
        <w:rPr>
          <w:rFonts w:ascii="Times New Roman" w:hAnsi="Times New Roman"/>
          <w:i/>
          <w:color w:val="303133"/>
          <w:szCs w:val="21"/>
          <w:lang w:eastAsia="fr-BE"/>
        </w:rPr>
        <w:br/>
        <w:t>La valeur de l’entreprise est déterminée par les flux de trésorerie disponibles attribuables aux fonds propres et aux fonds étrangers actualisés par un coût moyen pondéré du capital ( CMPC) Le CMPC ou le coût moyen pondéré du capital est calculé par la moyenne pondérée du coût des capitaux propres et de capital externe à «peser» sur la base de la part que chaque type de capital détient dans le financement global de l'entreprise. Pour la moyenne pondérée, il n’est tenu compte que des dettes portant intérêts. En outre, on peut partir de la structure de l’investissement futur et le coût des dettes portant intérêts.</w:t>
      </w:r>
    </w:p>
    <w:p w:rsidR="00CE587A" w:rsidRPr="002D7AF6" w:rsidRDefault="00CE587A" w:rsidP="007565AA">
      <w:pPr>
        <w:shd w:val="clear" w:color="auto" w:fill="FFFFFF"/>
        <w:spacing w:line="240" w:lineRule="auto"/>
        <w:ind w:left="1416"/>
        <w:rPr>
          <w:rFonts w:ascii="Times New Roman" w:hAnsi="Times New Roman"/>
          <w:i/>
          <w:color w:val="303133"/>
          <w:szCs w:val="21"/>
          <w:lang w:eastAsia="fr-BE"/>
        </w:rPr>
      </w:pPr>
    </w:p>
    <w:p w:rsidR="008064D7" w:rsidRPr="002D7AF6" w:rsidRDefault="008064D7" w:rsidP="007565AA">
      <w:pPr>
        <w:shd w:val="clear" w:color="auto" w:fill="FFFFFF"/>
        <w:spacing w:after="150" w:line="240" w:lineRule="auto"/>
        <w:ind w:left="1416"/>
        <w:rPr>
          <w:rFonts w:ascii="Times New Roman" w:hAnsi="Times New Roman"/>
          <w:i/>
          <w:color w:val="303133"/>
          <w:szCs w:val="21"/>
          <w:lang w:eastAsia="fr-BE"/>
        </w:rPr>
      </w:pPr>
      <w:r w:rsidRPr="002D7AF6">
        <w:rPr>
          <w:rFonts w:ascii="Times New Roman" w:hAnsi="Times New Roman"/>
          <w:i/>
          <w:color w:val="303133"/>
          <w:szCs w:val="21"/>
          <w:lang w:eastAsia="fr-BE"/>
        </w:rPr>
        <w:t>Cette méthode est souvent considérée comme la plus pertinente car elle intègre des éléments stratégiques et économiques, des perspectives de développement et une exigence de rentabilité des investisseurs. Ceci nécessite un diagnostic pertinent sur les perspectives annoncées, ainsi que des données nécessaires au calcul de valorisation (flux de trésorerie, valeur terminale, coût moyen pondéré du capital).</w:t>
      </w:r>
    </w:p>
    <w:p w:rsidR="008064D7" w:rsidRPr="002D7AF6" w:rsidRDefault="008064D7" w:rsidP="007565AA">
      <w:pPr>
        <w:pStyle w:val="Paragraphedeliste"/>
        <w:spacing w:line="240" w:lineRule="auto"/>
        <w:ind w:left="786"/>
        <w:rPr>
          <w:rFonts w:ascii="Times New Roman" w:hAnsi="Times New Roman"/>
          <w:sz w:val="28"/>
          <w:u w:val="single"/>
        </w:rPr>
      </w:pPr>
      <w:r w:rsidRPr="002D7AF6">
        <w:rPr>
          <w:rFonts w:ascii="Times New Roman" w:hAnsi="Times New Roman"/>
          <w:i/>
          <w:color w:val="303133"/>
          <w:szCs w:val="21"/>
          <w:lang w:eastAsia="fr-BE"/>
        </w:rPr>
        <w:t> </w:t>
      </w:r>
      <w:r w:rsidRPr="002D7AF6">
        <w:rPr>
          <w:rFonts w:ascii="Times New Roman" w:hAnsi="Times New Roman"/>
          <w:i/>
          <w:color w:val="303133"/>
          <w:szCs w:val="21"/>
          <w:lang w:eastAsia="fr-BE"/>
        </w:rPr>
        <w:tab/>
      </w:r>
    </w:p>
    <w:p w:rsidR="00CE587A" w:rsidRDefault="008064D7" w:rsidP="007565AA">
      <w:pPr>
        <w:pStyle w:val="Paragraphedeliste"/>
        <w:spacing w:line="240" w:lineRule="auto"/>
        <w:ind w:left="786"/>
        <w:rPr>
          <w:rFonts w:ascii="Times New Roman" w:hAnsi="Times New Roman"/>
          <w:sz w:val="24"/>
        </w:rPr>
      </w:pPr>
      <w:r>
        <w:rPr>
          <w:rFonts w:ascii="Times New Roman" w:hAnsi="Times New Roman"/>
          <w:sz w:val="24"/>
        </w:rPr>
        <w:t>Certaines restructurations d’entreprises – comme celles se limitant à vouloir abattre le passif sans véritable restructuration économique</w:t>
      </w:r>
      <w:r w:rsidR="00CE587A">
        <w:rPr>
          <w:rFonts w:ascii="Times New Roman" w:hAnsi="Times New Roman"/>
          <w:sz w:val="24"/>
        </w:rPr>
        <w:t xml:space="preserve"> -</w:t>
      </w:r>
      <w:r>
        <w:rPr>
          <w:rFonts w:ascii="Times New Roman" w:hAnsi="Times New Roman"/>
          <w:sz w:val="24"/>
        </w:rPr>
        <w:t xml:space="preserve"> conduisent à des business plans parfois assez comparable</w:t>
      </w:r>
      <w:r w:rsidR="00CE587A">
        <w:rPr>
          <w:rFonts w:ascii="Times New Roman" w:hAnsi="Times New Roman"/>
          <w:sz w:val="24"/>
        </w:rPr>
        <w:t>s</w:t>
      </w:r>
      <w:r>
        <w:rPr>
          <w:rFonts w:ascii="Times New Roman" w:hAnsi="Times New Roman"/>
          <w:sz w:val="24"/>
        </w:rPr>
        <w:t xml:space="preserve"> avec l’exploitation passée qui reste alors pertinente ou avec une </w:t>
      </w:r>
      <w:r w:rsidR="00CE587A">
        <w:rPr>
          <w:rFonts w:ascii="Times New Roman" w:hAnsi="Times New Roman"/>
          <w:sz w:val="24"/>
        </w:rPr>
        <w:t>exploitation de concurrents qui</w:t>
      </w:r>
      <w:r>
        <w:rPr>
          <w:rFonts w:ascii="Times New Roman" w:hAnsi="Times New Roman"/>
          <w:sz w:val="24"/>
        </w:rPr>
        <w:t xml:space="preserve"> ne subiss</w:t>
      </w:r>
      <w:r w:rsidR="00CE587A">
        <w:rPr>
          <w:rFonts w:ascii="Times New Roman" w:hAnsi="Times New Roman"/>
          <w:sz w:val="24"/>
        </w:rPr>
        <w:t>e</w:t>
      </w:r>
      <w:r>
        <w:rPr>
          <w:rFonts w:ascii="Times New Roman" w:hAnsi="Times New Roman"/>
          <w:sz w:val="24"/>
        </w:rPr>
        <w:t>nt pas les mêmes difficultés</w:t>
      </w:r>
      <w:r w:rsidR="00CE587A">
        <w:rPr>
          <w:rFonts w:ascii="Times New Roman" w:hAnsi="Times New Roman"/>
          <w:sz w:val="24"/>
        </w:rPr>
        <w:t xml:space="preserve"> et</w:t>
      </w:r>
      <w:r>
        <w:rPr>
          <w:rFonts w:ascii="Times New Roman" w:hAnsi="Times New Roman"/>
          <w:sz w:val="24"/>
        </w:rPr>
        <w:t xml:space="preserve"> peuvent être l’objet d’une évaluation par comparable</w:t>
      </w:r>
      <w:r w:rsidR="00CE587A">
        <w:rPr>
          <w:rFonts w:ascii="Times New Roman" w:hAnsi="Times New Roman"/>
          <w:sz w:val="24"/>
        </w:rPr>
        <w:t>s</w:t>
      </w:r>
      <w:r>
        <w:rPr>
          <w:rFonts w:ascii="Times New Roman" w:hAnsi="Times New Roman"/>
          <w:sz w:val="24"/>
        </w:rPr>
        <w:t xml:space="preserve"> ou sur des bases patrimoniale</w:t>
      </w:r>
      <w:r w:rsidR="00CE587A">
        <w:rPr>
          <w:rFonts w:ascii="Times New Roman" w:hAnsi="Times New Roman"/>
          <w:sz w:val="24"/>
        </w:rPr>
        <w:t>s</w:t>
      </w:r>
      <w:r>
        <w:rPr>
          <w:rFonts w:ascii="Times New Roman" w:hAnsi="Times New Roman"/>
          <w:sz w:val="24"/>
        </w:rPr>
        <w:t xml:space="preserve"> ou sur d’autres méthodes</w:t>
      </w:r>
      <w:r w:rsidR="00CE587A">
        <w:rPr>
          <w:rFonts w:ascii="Times New Roman" w:hAnsi="Times New Roman"/>
          <w:sz w:val="24"/>
        </w:rPr>
        <w:t>.</w:t>
      </w:r>
      <w:r>
        <w:rPr>
          <w:rFonts w:ascii="Times New Roman" w:hAnsi="Times New Roman"/>
          <w:sz w:val="24"/>
        </w:rPr>
        <w:t xml:space="preserve"> </w:t>
      </w:r>
    </w:p>
    <w:p w:rsidR="00CE587A" w:rsidRDefault="00CE587A" w:rsidP="007565AA">
      <w:pPr>
        <w:pStyle w:val="Paragraphedeliste"/>
        <w:spacing w:line="240" w:lineRule="auto"/>
        <w:ind w:left="786"/>
        <w:rPr>
          <w:rFonts w:ascii="Times New Roman" w:hAnsi="Times New Roman"/>
          <w:sz w:val="24"/>
        </w:rPr>
      </w:pPr>
    </w:p>
    <w:p w:rsidR="008064D7" w:rsidRPr="007565AA" w:rsidRDefault="008064D7" w:rsidP="007565AA">
      <w:pPr>
        <w:pStyle w:val="Paragraphedeliste"/>
        <w:spacing w:line="240" w:lineRule="auto"/>
        <w:ind w:left="786"/>
        <w:rPr>
          <w:rFonts w:ascii="Times New Roman" w:hAnsi="Times New Roman"/>
          <w:sz w:val="24"/>
        </w:rPr>
      </w:pPr>
      <w:r w:rsidRPr="007565AA">
        <w:rPr>
          <w:rFonts w:ascii="Times New Roman" w:hAnsi="Times New Roman"/>
          <w:sz w:val="24"/>
        </w:rPr>
        <w:t xml:space="preserve">C’est </w:t>
      </w:r>
      <w:r>
        <w:rPr>
          <w:rFonts w:ascii="Times New Roman" w:hAnsi="Times New Roman"/>
          <w:sz w:val="24"/>
        </w:rPr>
        <w:t>pour cette raison qu’avec l’IRE</w:t>
      </w:r>
      <w:r w:rsidRPr="007565AA">
        <w:rPr>
          <w:rFonts w:ascii="Times New Roman" w:hAnsi="Times New Roman"/>
          <w:sz w:val="24"/>
        </w:rPr>
        <w:t xml:space="preserve"> </w:t>
      </w:r>
      <w:r>
        <w:rPr>
          <w:rStyle w:val="Appelnotedebasdep"/>
          <w:rFonts w:ascii="Times New Roman" w:hAnsi="Times New Roman"/>
          <w:sz w:val="24"/>
        </w:rPr>
        <w:footnoteReference w:id="129"/>
      </w:r>
      <w:r>
        <w:rPr>
          <w:rFonts w:ascii="Times New Roman" w:hAnsi="Times New Roman"/>
          <w:sz w:val="24"/>
        </w:rPr>
        <w:t xml:space="preserve">, </w:t>
      </w:r>
      <w:r w:rsidRPr="007565AA">
        <w:rPr>
          <w:rFonts w:ascii="Times New Roman" w:hAnsi="Times New Roman"/>
          <w:sz w:val="24"/>
        </w:rPr>
        <w:t xml:space="preserve">il faut conclure que : </w:t>
      </w:r>
    </w:p>
    <w:p w:rsidR="008064D7" w:rsidRDefault="008064D7" w:rsidP="007565AA">
      <w:pPr>
        <w:pStyle w:val="Paragraphedeliste"/>
        <w:spacing w:line="240" w:lineRule="auto"/>
        <w:ind w:left="786"/>
        <w:rPr>
          <w:rFonts w:ascii="Times New Roman" w:hAnsi="Times New Roman"/>
          <w:sz w:val="24"/>
          <w:u w:val="single"/>
        </w:rPr>
      </w:pPr>
    </w:p>
    <w:p w:rsidR="008064D7" w:rsidRDefault="008064D7" w:rsidP="007565AA">
      <w:pPr>
        <w:pStyle w:val="Paragraphedeliste"/>
        <w:spacing w:line="240" w:lineRule="auto"/>
        <w:ind w:left="1416"/>
        <w:rPr>
          <w:rFonts w:ascii="Times New Roman" w:hAnsi="Times New Roman"/>
          <w:i/>
          <w:color w:val="303133"/>
          <w:szCs w:val="21"/>
          <w:lang w:eastAsia="fr-BE"/>
        </w:rPr>
      </w:pPr>
      <w:r w:rsidRPr="002D7AF6">
        <w:rPr>
          <w:rFonts w:ascii="Times New Roman" w:hAnsi="Times New Roman"/>
          <w:i/>
          <w:color w:val="303133"/>
          <w:szCs w:val="21"/>
          <w:lang w:eastAsia="fr-BE"/>
        </w:rPr>
        <w:t>L'évaluation d'une entreprise est subjective et les méthodes d'évaluation d'entreprise sont nombreuses et variées. Par conséquent, il est intéressant de comparer les différentes valeurs obtenues pour avoir une vue d'ensemble de l'entreprise étudiée. A partir de ce constat, on peut examiner quelles méthodes d'évaluation. sont les plus appropriées et la pondération à donner à chaque méthode pour arriver à une valeur définitive</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ou</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une</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fourchette</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de</w:t>
      </w:r>
      <w:r w:rsidR="00CE587A">
        <w:rPr>
          <w:rFonts w:ascii="Times New Roman" w:hAnsi="Times New Roman"/>
          <w:i/>
          <w:color w:val="303133"/>
          <w:szCs w:val="21"/>
          <w:lang w:eastAsia="fr-BE"/>
        </w:rPr>
        <w:t> </w:t>
      </w:r>
      <w:r w:rsidRPr="002D7AF6">
        <w:rPr>
          <w:rFonts w:ascii="Times New Roman" w:hAnsi="Times New Roman"/>
          <w:i/>
          <w:color w:val="303133"/>
          <w:szCs w:val="21"/>
          <w:lang w:eastAsia="fr-BE"/>
        </w:rPr>
        <w:t>valeurs.</w:t>
      </w:r>
      <w:r w:rsidRPr="002D7AF6">
        <w:rPr>
          <w:rFonts w:ascii="Times New Roman" w:hAnsi="Times New Roman"/>
          <w:i/>
          <w:color w:val="303133"/>
          <w:szCs w:val="21"/>
          <w:lang w:eastAsia="fr-BE"/>
        </w:rPr>
        <w:br/>
      </w:r>
      <w:r w:rsidRPr="002D7AF6">
        <w:rPr>
          <w:rFonts w:ascii="Times New Roman" w:hAnsi="Times New Roman"/>
          <w:i/>
          <w:color w:val="303133"/>
          <w:szCs w:val="21"/>
          <w:lang w:eastAsia="fr-BE"/>
        </w:rPr>
        <w:br/>
        <w:t>Les modèles DCF, dans lesquels une concordance entre les flux de trésorerie adéquats et le taux d'actualisation et le taux de croissance est faite, sont souvent considérés comme étant les plus appropriés. Une attention particulière doit cependant être apportée à l'outil de calcul parce que la comptabilité, et le principe de prudence de la loi comptable ne reflètent pas toujours les valeurs de la réalité économique Un prix est subjectif et le résultat des négociations entre parties. Ce prix peut diverger de la valeur à cause des objectifs de l'acheteur, p. ex. de la synergie, l'importance du paquet des actions ou autres.</w:t>
      </w:r>
    </w:p>
    <w:p w:rsidR="008064D7" w:rsidRDefault="008064D7" w:rsidP="007565AA">
      <w:pPr>
        <w:spacing w:line="240" w:lineRule="auto"/>
        <w:rPr>
          <w:rFonts w:ascii="Times New Roman" w:hAnsi="Times New Roman"/>
          <w:i/>
          <w:color w:val="303133"/>
          <w:sz w:val="21"/>
          <w:szCs w:val="21"/>
          <w:lang w:eastAsia="fr-BE"/>
        </w:rPr>
      </w:pPr>
    </w:p>
    <w:p w:rsidR="008064D7"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 xml:space="preserve">Cet exercice d’évaluation est réalisé par le juge en droit </w:t>
      </w:r>
      <w:r w:rsidRPr="000C6D1E">
        <w:rPr>
          <w:rFonts w:ascii="Times New Roman" w:hAnsi="Times New Roman"/>
          <w:sz w:val="24"/>
          <w:u w:val="single"/>
        </w:rPr>
        <w:t>belge</w:t>
      </w:r>
      <w:r>
        <w:rPr>
          <w:rFonts w:ascii="Times New Roman" w:hAnsi="Times New Roman"/>
          <w:sz w:val="24"/>
        </w:rPr>
        <w:t>. Le</w:t>
      </w:r>
      <w:r w:rsidRPr="00C54692">
        <w:rPr>
          <w:rFonts w:ascii="Times New Roman" w:hAnsi="Times New Roman"/>
          <w:sz w:val="24"/>
        </w:rPr>
        <w:t xml:space="preserve"> Code des sociétés</w:t>
      </w:r>
      <w:r>
        <w:rPr>
          <w:rFonts w:ascii="Times New Roman" w:hAnsi="Times New Roman"/>
          <w:sz w:val="24"/>
        </w:rPr>
        <w:t xml:space="preserve"> (article 640)</w:t>
      </w:r>
      <w:r w:rsidRPr="00C54692">
        <w:rPr>
          <w:rFonts w:ascii="Times New Roman" w:hAnsi="Times New Roman"/>
          <w:sz w:val="24"/>
        </w:rPr>
        <w:t xml:space="preserve"> réserve </w:t>
      </w:r>
      <w:r>
        <w:rPr>
          <w:rFonts w:ascii="Times New Roman" w:hAnsi="Times New Roman"/>
          <w:sz w:val="24"/>
        </w:rPr>
        <w:t xml:space="preserve">déjà </w:t>
      </w:r>
      <w:r w:rsidRPr="00C54692">
        <w:rPr>
          <w:rFonts w:ascii="Times New Roman" w:hAnsi="Times New Roman"/>
          <w:sz w:val="24"/>
        </w:rPr>
        <w:t xml:space="preserve">au juge le soin d’apprécier quel est le </w:t>
      </w:r>
      <w:r w:rsidRPr="00366CED">
        <w:rPr>
          <w:rFonts w:ascii="Times New Roman" w:hAnsi="Times New Roman"/>
          <w:sz w:val="24"/>
          <w:u w:val="single"/>
        </w:rPr>
        <w:t>prix</w:t>
      </w:r>
      <w:r w:rsidRPr="00C54692">
        <w:rPr>
          <w:rFonts w:ascii="Times New Roman" w:hAnsi="Times New Roman"/>
          <w:sz w:val="24"/>
        </w:rPr>
        <w:t xml:space="preserve"> d’une entreprise lorsqu’il prononce l’exclusion d’un associé sur base des dispositions du Code des sociétés. </w:t>
      </w:r>
    </w:p>
    <w:p w:rsidR="008064D7" w:rsidRDefault="008064D7" w:rsidP="007565AA">
      <w:pPr>
        <w:pStyle w:val="Paragraphedeliste"/>
        <w:spacing w:line="240" w:lineRule="auto"/>
        <w:ind w:left="786"/>
        <w:rPr>
          <w:rFonts w:ascii="Times New Roman" w:hAnsi="Times New Roman"/>
          <w:sz w:val="24"/>
        </w:rPr>
      </w:pPr>
    </w:p>
    <w:p w:rsidR="001748AD" w:rsidRDefault="008064D7" w:rsidP="009B6E67">
      <w:pPr>
        <w:pStyle w:val="Paragraphedeliste"/>
        <w:spacing w:line="240" w:lineRule="auto"/>
        <w:ind w:left="786"/>
        <w:rPr>
          <w:rFonts w:ascii="Times New Roman" w:hAnsi="Times New Roman"/>
          <w:sz w:val="24"/>
        </w:rPr>
      </w:pPr>
      <w:r>
        <w:rPr>
          <w:rFonts w:ascii="Times New Roman" w:hAnsi="Times New Roman"/>
          <w:sz w:val="24"/>
        </w:rPr>
        <w:t>Les tribunaux ont donc dû é</w:t>
      </w:r>
      <w:r w:rsidRPr="007C17D3">
        <w:rPr>
          <w:rFonts w:ascii="Times New Roman" w:hAnsi="Times New Roman"/>
          <w:i/>
          <w:sz w:val="24"/>
        </w:rPr>
        <w:t>value</w:t>
      </w:r>
      <w:r>
        <w:rPr>
          <w:rFonts w:ascii="Times New Roman" w:hAnsi="Times New Roman"/>
          <w:sz w:val="24"/>
        </w:rPr>
        <w:t xml:space="preserve">r la valeur de réalisation </w:t>
      </w:r>
      <w:r w:rsidRPr="007C17D3">
        <w:rPr>
          <w:rFonts w:ascii="Times New Roman" w:hAnsi="Times New Roman"/>
          <w:i/>
          <w:sz w:val="24"/>
        </w:rPr>
        <w:t>going-concern</w:t>
      </w:r>
      <w:r>
        <w:rPr>
          <w:rFonts w:ascii="Times New Roman" w:hAnsi="Times New Roman"/>
          <w:sz w:val="24"/>
        </w:rPr>
        <w:t xml:space="preserve"> d’actions. Le Tribunal de l’Entreprise du Brabant Wallon</w:t>
      </w:r>
      <w:r>
        <w:rPr>
          <w:rStyle w:val="Appelnotedebasdep"/>
          <w:rFonts w:ascii="Times New Roman" w:hAnsi="Times New Roman"/>
          <w:sz w:val="24"/>
        </w:rPr>
        <w:footnoteReference w:id="130"/>
      </w:r>
      <w:r>
        <w:rPr>
          <w:rFonts w:ascii="Times New Roman" w:hAnsi="Times New Roman"/>
          <w:sz w:val="24"/>
        </w:rPr>
        <w:t xml:space="preserve"> a, par exemple, consacré le rapport d’un expert qui, dans le cadre d’une société dégageant un EBIT de 319.220€ et un EBITDA de 239.415€, avait décrit des méthodes d’évaluation envisageables</w:t>
      </w:r>
      <w:r w:rsidR="001748AD">
        <w:rPr>
          <w:rFonts w:ascii="Times New Roman" w:hAnsi="Times New Roman"/>
          <w:sz w:val="24"/>
        </w:rPr>
        <w:t>. Il s’agissait d’une</w:t>
      </w:r>
      <w:r w:rsidRPr="009202FC">
        <w:rPr>
          <w:rFonts w:ascii="Times New Roman" w:hAnsi="Times New Roman"/>
          <w:sz w:val="24"/>
        </w:rPr>
        <w:t xml:space="preserve"> entreprise assez ancienne </w:t>
      </w:r>
      <w:r>
        <w:rPr>
          <w:rFonts w:ascii="Times New Roman" w:hAnsi="Times New Roman"/>
          <w:sz w:val="24"/>
        </w:rPr>
        <w:t>(</w:t>
      </w:r>
      <w:r w:rsidRPr="009202FC">
        <w:rPr>
          <w:rFonts w:ascii="Times New Roman" w:hAnsi="Times New Roman"/>
          <w:sz w:val="24"/>
        </w:rPr>
        <w:t>ayant</w:t>
      </w:r>
      <w:r>
        <w:rPr>
          <w:rFonts w:ascii="Times New Roman" w:hAnsi="Times New Roman"/>
          <w:sz w:val="24"/>
        </w:rPr>
        <w:t xml:space="preserve"> donc</w:t>
      </w:r>
      <w:r w:rsidRPr="009202FC">
        <w:rPr>
          <w:rFonts w:ascii="Times New Roman" w:hAnsi="Times New Roman"/>
          <w:sz w:val="24"/>
        </w:rPr>
        <w:t xml:space="preserve"> un passé que l’on peut juger pertinent</w:t>
      </w:r>
      <w:r>
        <w:rPr>
          <w:rFonts w:ascii="Times New Roman" w:hAnsi="Times New Roman"/>
          <w:sz w:val="24"/>
        </w:rPr>
        <w:t>)</w:t>
      </w:r>
      <w:r w:rsidRPr="009202FC">
        <w:rPr>
          <w:rFonts w:ascii="Times New Roman" w:hAnsi="Times New Roman"/>
          <w:sz w:val="24"/>
        </w:rPr>
        <w:t xml:space="preserve"> très bénéficiaire et en pleine maturité. </w:t>
      </w:r>
      <w:r>
        <w:rPr>
          <w:rFonts w:ascii="Times New Roman" w:hAnsi="Times New Roman"/>
          <w:sz w:val="24"/>
        </w:rPr>
        <w:t xml:space="preserve"> </w:t>
      </w:r>
    </w:p>
    <w:p w:rsidR="001748AD" w:rsidRDefault="001748AD" w:rsidP="009B6E67">
      <w:pPr>
        <w:pStyle w:val="Paragraphedeliste"/>
        <w:spacing w:line="240" w:lineRule="auto"/>
        <w:ind w:left="786"/>
        <w:rPr>
          <w:rFonts w:ascii="Times New Roman" w:hAnsi="Times New Roman"/>
          <w:sz w:val="24"/>
        </w:rPr>
      </w:pPr>
    </w:p>
    <w:p w:rsidR="008064D7" w:rsidRPr="009B6E67" w:rsidRDefault="001748AD" w:rsidP="009B6E67">
      <w:pPr>
        <w:pStyle w:val="Paragraphedeliste"/>
        <w:spacing w:line="240" w:lineRule="auto"/>
        <w:ind w:left="786"/>
        <w:rPr>
          <w:rFonts w:ascii="Times New Roman" w:hAnsi="Times New Roman"/>
          <w:sz w:val="24"/>
        </w:rPr>
      </w:pPr>
      <w:r>
        <w:rPr>
          <w:rFonts w:ascii="Times New Roman" w:hAnsi="Times New Roman"/>
          <w:sz w:val="24"/>
        </w:rPr>
        <w:t>L’expert écrivait :</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 Les méthodes de valorisations d’actions de sociétés sont nombreuses : elles varient selon le temps, le lieu et les circonstances. Il n’y a pas de méthode absolue dont on pourrait dire qu’elle s’appliquerait en toute circonstance.</w:t>
      </w:r>
    </w:p>
    <w:p w:rsidR="008064D7" w:rsidRDefault="008064D7" w:rsidP="007565AA">
      <w:pPr>
        <w:pStyle w:val="Paragraphedeliste"/>
        <w:spacing w:line="240" w:lineRule="auto"/>
        <w:ind w:left="1276"/>
        <w:rPr>
          <w:rFonts w:ascii="Times New Roman" w:hAnsi="Times New Roman"/>
          <w:i/>
          <w:sz w:val="24"/>
        </w:rPr>
      </w:pPr>
    </w:p>
    <w:p w:rsidR="008064D7" w:rsidRPr="00647375"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Il n’est pas nécessaire d’aborder en détail ici la discussion entre la valeur et le prix d’une société ou de ses actions. La valeur rencontre-t-elle le prix payé ? C’est probable pour autant que l’on se limite aux aspects financiers de la valeur d’une société, sans tenir compte d’éléments personnels (émotionnels, liés à l’expérience, au potentiel spécifique…).</w:t>
      </w:r>
      <w:r w:rsidRPr="00647375">
        <w:rPr>
          <w:rFonts w:ascii="Times New Roman" w:hAnsi="Times New Roman"/>
          <w:i/>
          <w:sz w:val="24"/>
        </w:rPr>
        <w:t xml:space="preserve"> En effet, ceux-ci peuvent inciter l’acheteur à payer plus que la valeur calculée pas les méthodes financières pour des raisons personnelles, tout comme d’autres raisons peuvent inciter le vendeur à baisser son prix pour des raisons qui lui sont propres. Le prix identique pour l’acheteur et le vendeur, peut alors différer de la valeur.</w:t>
      </w:r>
      <w:r>
        <w:rPr>
          <w:rFonts w:ascii="Times New Roman" w:hAnsi="Times New Roman"/>
          <w:i/>
          <w:sz w:val="24"/>
        </w:rPr>
        <w:t xml:space="preserve"> </w:t>
      </w:r>
      <w:r w:rsidRPr="00647375">
        <w:rPr>
          <w:rFonts w:ascii="Times New Roman" w:hAnsi="Times New Roman"/>
          <w:i/>
          <w:sz w:val="24"/>
        </w:rPr>
        <w:t>Cette discussion n’a pas lieu d’être en expertise judiciaire, le Tribunal confiant la mission à un expert d’é</w:t>
      </w:r>
      <w:r w:rsidRPr="007C17D3">
        <w:rPr>
          <w:rFonts w:ascii="Times New Roman" w:hAnsi="Times New Roman"/>
          <w:i/>
          <w:sz w:val="24"/>
        </w:rPr>
        <w:t>value</w:t>
      </w:r>
      <w:r w:rsidRPr="00647375">
        <w:rPr>
          <w:rFonts w:ascii="Times New Roman" w:hAnsi="Times New Roman"/>
          <w:i/>
          <w:sz w:val="24"/>
        </w:rPr>
        <w:t xml:space="preserve">r des actions sur base des informations dont il aura pu disposer.  </w:t>
      </w:r>
    </w:p>
    <w:p w:rsidR="008064D7" w:rsidRDefault="008064D7" w:rsidP="007565AA">
      <w:pPr>
        <w:pStyle w:val="Paragraphedeliste"/>
        <w:spacing w:line="240" w:lineRule="auto"/>
        <w:ind w:left="150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 xml:space="preserve">Il est courant de répartir les méthodes d’évaluations d’actions </w:t>
      </w:r>
      <w:r w:rsidRPr="00647375">
        <w:rPr>
          <w:rFonts w:ascii="Times New Roman" w:hAnsi="Times New Roman"/>
          <w:i/>
          <w:sz w:val="24"/>
          <w:u w:val="single"/>
        </w:rPr>
        <w:t>selon trois approches au sein desquelles plusieurs méthodes sont regroupées</w:t>
      </w:r>
      <w:r>
        <w:rPr>
          <w:rFonts w:ascii="Times New Roman" w:hAnsi="Times New Roman"/>
          <w:i/>
          <w:sz w:val="24"/>
        </w:rPr>
        <w:t>.</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sidRPr="00647375">
        <w:rPr>
          <w:rFonts w:ascii="Times New Roman" w:hAnsi="Times New Roman"/>
          <w:i/>
          <w:sz w:val="24"/>
          <w:u w:val="single"/>
        </w:rPr>
        <w:t>La 1ère approche valorise le passé de la société</w:t>
      </w:r>
      <w:r>
        <w:rPr>
          <w:rFonts w:ascii="Times New Roman" w:hAnsi="Times New Roman"/>
          <w:i/>
          <w:sz w:val="24"/>
        </w:rPr>
        <w:t>, à savoir la valeur qu’elle accumula depuis sa constitution jusqu’à la date d’évaluation ou la clôture comptable la plus proche. C’est donc sa valeur patrimoniale. Cette catégorie inclut essentiellement la valorisation de l’actif net comptable, éventuellement corrigé lorsque des éléments inscrits ou non à l’actif ou au passif de la société ont une valeur économique de marché différente de celle inscrite dans les comptes de la société les possédant.</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sidRPr="00647375">
        <w:rPr>
          <w:rFonts w:ascii="Times New Roman" w:hAnsi="Times New Roman"/>
          <w:i/>
          <w:sz w:val="24"/>
          <w:u w:val="single"/>
        </w:rPr>
        <w:t>D’autres méthodes extrapolent le futur sur base du passé</w:t>
      </w:r>
      <w:r>
        <w:rPr>
          <w:rFonts w:ascii="Times New Roman" w:hAnsi="Times New Roman"/>
          <w:i/>
          <w:sz w:val="24"/>
        </w:rPr>
        <w:t xml:space="preserve"> de la société évaluée. Elles consistent à extraire un ou plusieurs indicateurs des comptes annuels, donc du passé, éventuellement corrigés d’éléments extracomptables, et à les multiplier par un facteur pour déterminer ce que la société devrait générer comme richesse dans le futur et partant sa valeur.</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Les principaux critères sont historiquement le chiffre d’</w:t>
      </w:r>
      <w:r w:rsidRPr="007C17D3">
        <w:rPr>
          <w:rFonts w:ascii="Times New Roman" w:hAnsi="Times New Roman"/>
          <w:sz w:val="24"/>
        </w:rPr>
        <w:t>affaire</w:t>
      </w:r>
      <w:r>
        <w:rPr>
          <w:rFonts w:ascii="Times New Roman" w:hAnsi="Times New Roman"/>
          <w:i/>
          <w:sz w:val="24"/>
        </w:rPr>
        <w:t xml:space="preserve">s, la rémunération des dirigeants, les bénéfices d’exploitation, courant, net avant ou après impôts et le cash-flow. S’y ajoutent ces dernières années, à l’origine des évaluations boursières et anglo-saxonnes, des soldes intermédiaires qui ne sont pas figés tels </w:t>
      </w:r>
      <w:r>
        <w:rPr>
          <w:rFonts w:ascii="Times New Roman" w:hAnsi="Times New Roman"/>
          <w:i/>
          <w:sz w:val="24"/>
        </w:rPr>
        <w:lastRenderedPageBreak/>
        <w:t>quels par le PCMN belge (plan comptable minimum normalisé), à l’inverse par exemple du résultat d’exploitation ou du bénéfice courant.</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Ces ponts de repères plus récents sont, d’une part, l’EBIT (Warnings Bifore Interest and Taxes) qui se rapproche de notre bénéfice d’exploitation (rubrique 9901 du PCMN) étant la marge brute minorée des services et biens divers (classe 61), frais de personnel (classe 62), amortissements ainsi que les provisions (classe 63) et autres charges d’exploitation (classe 64).</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Une fois l’indicateur ou la formule sélectionnée, la 2</w:t>
      </w:r>
      <w:r w:rsidRPr="009C17C6">
        <w:rPr>
          <w:rFonts w:ascii="Times New Roman" w:hAnsi="Times New Roman"/>
          <w:i/>
          <w:sz w:val="24"/>
        </w:rPr>
        <w:t>ème</w:t>
      </w:r>
      <w:r>
        <w:rPr>
          <w:rFonts w:ascii="Times New Roman" w:hAnsi="Times New Roman"/>
          <w:i/>
          <w:sz w:val="24"/>
        </w:rPr>
        <w:t xml:space="preserve"> étape consiste à y appliquer un multiplicateur motivé par les caractéristiques et l’environnement propres à l’entreprise évaluée et à la transaction envisagée.</w:t>
      </w:r>
    </w:p>
    <w:p w:rsidR="008064D7" w:rsidRDefault="008064D7" w:rsidP="007565AA">
      <w:pPr>
        <w:pStyle w:val="Paragraphedeliste"/>
        <w:spacing w:line="240" w:lineRule="auto"/>
        <w:ind w:left="150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Étant donné que chaque méthode peut conduire à des valeurs excessives ou peu représentatives, il est d »’usage d’appliquer plusieurs méthodes et d’en effectuer parfois la moyenne. Certains évaluateurs pondèrent les méthodes choisies, ce qui implique, comme pour les autres méthodes par ailleurs, de motiver son choix.</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Vient enfin l’étape de l’application éventuelle d’une décote d’il liquidité. Pour certains évaluateurs, cet élément fait partie des coefficients multiplicateurs. Pour d’autres, il ne faut pas inclure de décote d’il liquidité dans la valorisation de la société mais bien dans une étape ultérieure qui consiste à matérialiser des circonstances particulières, à savoir la difficulté ou non de pouvoir céder des titres concernés.</w:t>
      </w:r>
    </w:p>
    <w:p w:rsidR="008064D7" w:rsidRDefault="008064D7" w:rsidP="007565AA">
      <w:pPr>
        <w:pStyle w:val="Paragraphedeliste"/>
        <w:spacing w:line="240" w:lineRule="auto"/>
        <w:ind w:left="150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La 2</w:t>
      </w:r>
      <w:r w:rsidRPr="00071946">
        <w:rPr>
          <w:rFonts w:ascii="Times New Roman" w:hAnsi="Times New Roman"/>
          <w:i/>
          <w:sz w:val="24"/>
          <w:vertAlign w:val="superscript"/>
        </w:rPr>
        <w:t>ème</w:t>
      </w:r>
      <w:r>
        <w:rPr>
          <w:rFonts w:ascii="Times New Roman" w:hAnsi="Times New Roman"/>
          <w:i/>
          <w:sz w:val="24"/>
        </w:rPr>
        <w:t xml:space="preserve"> approche inclut la méthode dites « des comparables » qui repose sur </w:t>
      </w:r>
      <w:r w:rsidRPr="009C17C6">
        <w:rPr>
          <w:rFonts w:ascii="Times New Roman" w:hAnsi="Times New Roman"/>
          <w:i/>
          <w:sz w:val="24"/>
        </w:rPr>
        <w:t xml:space="preserve">le présent </w:t>
      </w:r>
      <w:r>
        <w:rPr>
          <w:rFonts w:ascii="Times New Roman" w:hAnsi="Times New Roman"/>
          <w:i/>
          <w:sz w:val="24"/>
        </w:rPr>
        <w:t>du marché des transactions d’actions. Elle consiste à appliquer des coefficients à certains critères (chiffre d’</w:t>
      </w:r>
      <w:r w:rsidRPr="007C17D3">
        <w:rPr>
          <w:rFonts w:ascii="Times New Roman" w:hAnsi="Times New Roman"/>
          <w:sz w:val="24"/>
        </w:rPr>
        <w:t>affaire</w:t>
      </w:r>
      <w:r>
        <w:rPr>
          <w:rFonts w:ascii="Times New Roman" w:hAnsi="Times New Roman"/>
          <w:i/>
          <w:sz w:val="24"/>
        </w:rPr>
        <w:t>s, bénéfices, EBIT, cours de bourse…) en comparant la société que l’on é</w:t>
      </w:r>
      <w:r w:rsidRPr="007C17D3">
        <w:rPr>
          <w:rFonts w:ascii="Times New Roman" w:hAnsi="Times New Roman"/>
          <w:i/>
          <w:sz w:val="24"/>
        </w:rPr>
        <w:t>value</w:t>
      </w:r>
      <w:r>
        <w:rPr>
          <w:rFonts w:ascii="Times New Roman" w:hAnsi="Times New Roman"/>
          <w:i/>
          <w:sz w:val="24"/>
        </w:rPr>
        <w:t xml:space="preserve"> à d’autres ayant fait l’objet de transactions disponibles.</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Malheureusement, il est rare de pouvoir disposer des données de transactions de cession d’actions pour les sociétés non cotées. Cela ne sera donc pas possible dans le cas qui nous préoccupe.</w:t>
      </w:r>
    </w:p>
    <w:p w:rsidR="008064D7" w:rsidRDefault="008064D7" w:rsidP="007565AA">
      <w:pPr>
        <w:pStyle w:val="Paragraphedeliste"/>
        <w:spacing w:line="240" w:lineRule="auto"/>
        <w:ind w:left="1276"/>
        <w:rPr>
          <w:rFonts w:ascii="Times New Roman" w:hAnsi="Times New Roman"/>
          <w:i/>
          <w:sz w:val="24"/>
        </w:rPr>
      </w:pPr>
    </w:p>
    <w:p w:rsidR="008064D7" w:rsidRPr="00647375" w:rsidRDefault="008064D7" w:rsidP="007565AA">
      <w:pPr>
        <w:pStyle w:val="Paragraphedeliste"/>
        <w:spacing w:line="240" w:lineRule="auto"/>
        <w:ind w:left="1276"/>
        <w:rPr>
          <w:rFonts w:ascii="Times New Roman" w:hAnsi="Times New Roman"/>
          <w:i/>
          <w:sz w:val="24"/>
          <w:u w:val="single"/>
        </w:rPr>
      </w:pPr>
      <w:r w:rsidRPr="00647375">
        <w:rPr>
          <w:rFonts w:ascii="Times New Roman" w:hAnsi="Times New Roman"/>
          <w:i/>
          <w:sz w:val="24"/>
          <w:u w:val="single"/>
        </w:rPr>
        <w:t>La 3ème approche de méthodes est réservée aux structures qui en ont les moyens car elles nécessitent plus de connaissance de l’entreprise et plus de ressources humaines.</w:t>
      </w:r>
      <w:r>
        <w:rPr>
          <w:rFonts w:ascii="Times New Roman" w:hAnsi="Times New Roman"/>
          <w:i/>
          <w:sz w:val="24"/>
          <w:u w:val="single"/>
        </w:rPr>
        <w:t xml:space="preserve"> </w:t>
      </w:r>
      <w:r w:rsidRPr="00647375">
        <w:rPr>
          <w:rFonts w:ascii="Times New Roman" w:hAnsi="Times New Roman"/>
          <w:i/>
          <w:sz w:val="24"/>
          <w:u w:val="single"/>
        </w:rPr>
        <w:t>Il s’agit de prévoir l’avenir</w:t>
      </w:r>
      <w:r w:rsidRPr="00647375">
        <w:rPr>
          <w:rFonts w:ascii="Times New Roman" w:hAnsi="Times New Roman"/>
          <w:i/>
          <w:sz w:val="24"/>
        </w:rPr>
        <w:t xml:space="preserve"> </w:t>
      </w:r>
      <w:r w:rsidRPr="00647375">
        <w:rPr>
          <w:rFonts w:ascii="Times New Roman" w:hAnsi="Times New Roman"/>
          <w:i/>
          <w:sz w:val="24"/>
          <w:u w:val="single"/>
        </w:rPr>
        <w:t>non plus sur base du passé mais de redéfinir tous les flux opérationnels </w:t>
      </w:r>
      <w:r w:rsidRPr="00647375">
        <w:rPr>
          <w:rFonts w:ascii="Times New Roman" w:hAnsi="Times New Roman"/>
          <w:i/>
          <w:sz w:val="24"/>
        </w:rPr>
        <w:t>: ventes (par type de produits et/ou services), achats, biens et services divers, personnel, investissements et cessions d’actifs … Un compte d’exploitation et un bilan prévisionnels sont établis.</w:t>
      </w:r>
    </w:p>
    <w:p w:rsidR="008064D7" w:rsidRDefault="008064D7" w:rsidP="007565AA">
      <w:pPr>
        <w:pStyle w:val="Paragraphedeliste"/>
        <w:spacing w:line="240" w:lineRule="auto"/>
        <w:ind w:left="150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Le passé peut servir de référence ou de base de comparaison mais un écart avec le passé ne sera pas interpellant pour autant qu’il soit fondé sur des faits opérationnels. De telles prévisions sont l’apanage des contrôleurs de gestion ou directeurs financiers dans des structures en disposant ou consultants externes ayant pu s’imprégner de la vie de la société et de ses projets.</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lastRenderedPageBreak/>
        <w:t>L’approche est encore différente en ce sens qu’elle parle le plus souvent des aspects stratégiques, opérationnels et de support de la société qu’elle traduit en chiffres prévisionnels. Elle repose sur des discussions internes nécessitant une bonne communication et un pouvoir de décisions sur l’avenir de la société.</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Le modèle d’analyse des valorisations que j’utilise régulièrement comprend 15 méthodes. Parmi celles-ci, j’ai privilégié les méthodes suivantes correspondant à des approches différentes afin d’avoir différents angles de vue. Par souci de parfaite transparence, je ne limiterai pas le tableau de synthèse aux seules méthodes retenues mais le listerai toutes.</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Le tableau liste les méthodes par type de raisonnablement, certaines, sont donc proches les unes des autres.</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Il convient aussi de rappeler que les trois dernières années affichent des profils de comptes de résultats assez différents ; c’est pourquoi, plutôt que le considérer des moyennes comme c’est généralement le cas, les évaluations ci-dessous tiennent compte du compte de résultat de 2016 en intégrant des retraitements décrits dans les paragraphes précédents.</w:t>
      </w:r>
    </w:p>
    <w:p w:rsidR="008064D7" w:rsidRDefault="008064D7" w:rsidP="007565AA">
      <w:pPr>
        <w:pStyle w:val="Paragraphedeliste"/>
        <w:spacing w:line="240" w:lineRule="auto"/>
        <w:ind w:left="1276"/>
        <w:rPr>
          <w:rFonts w:ascii="Times New Roman" w:hAnsi="Times New Roman"/>
          <w:i/>
          <w:sz w:val="24"/>
        </w:rPr>
      </w:pPr>
    </w:p>
    <w:p w:rsidR="008064D7" w:rsidRDefault="008064D7" w:rsidP="007565AA">
      <w:pPr>
        <w:pStyle w:val="Paragraphedeliste"/>
        <w:spacing w:line="240" w:lineRule="auto"/>
        <w:ind w:left="1276"/>
        <w:rPr>
          <w:rFonts w:ascii="Times New Roman" w:hAnsi="Times New Roman"/>
          <w:i/>
          <w:sz w:val="24"/>
        </w:rPr>
      </w:pPr>
      <w:r>
        <w:rPr>
          <w:rFonts w:ascii="Times New Roman" w:hAnsi="Times New Roman"/>
          <w:i/>
          <w:sz w:val="24"/>
        </w:rPr>
        <w:t>Le bilan et le compte de résultats traduisant la politique stratégique à long terme, opérationnelle et à court terme et financière quant à l’affectation des éventuels profits donnent des indications et tendances que les méthodes reprises ci-après illustrent.</w:t>
      </w:r>
    </w:p>
    <w:p w:rsidR="008064D7" w:rsidRDefault="008064D7" w:rsidP="007565AA">
      <w:pPr>
        <w:pStyle w:val="Paragraphedeliste"/>
        <w:spacing w:line="240" w:lineRule="auto"/>
        <w:ind w:left="1506"/>
        <w:rPr>
          <w:rFonts w:ascii="Times New Roman" w:hAnsi="Times New Roman"/>
          <w:i/>
          <w:sz w:val="24"/>
        </w:rPr>
      </w:pPr>
    </w:p>
    <w:p w:rsidR="008064D7" w:rsidRDefault="008064D7" w:rsidP="007565AA">
      <w:pPr>
        <w:pStyle w:val="Paragraphedeliste"/>
        <w:numPr>
          <w:ilvl w:val="0"/>
          <w:numId w:val="3"/>
        </w:numPr>
        <w:spacing w:line="240" w:lineRule="auto"/>
        <w:rPr>
          <w:rFonts w:ascii="Times New Roman" w:hAnsi="Times New Roman"/>
          <w:i/>
          <w:sz w:val="24"/>
        </w:rPr>
      </w:pPr>
      <w:r>
        <w:rPr>
          <w:rFonts w:ascii="Times New Roman" w:hAnsi="Times New Roman"/>
          <w:i/>
          <w:sz w:val="24"/>
        </w:rPr>
        <w:t xml:space="preserve">La méthode de l’actif net comptable corrigé dont on ne peut </w:t>
      </w:r>
      <w:r w:rsidRPr="007C17D3">
        <w:rPr>
          <w:rFonts w:ascii="Times New Roman" w:hAnsi="Times New Roman"/>
          <w:i/>
          <w:sz w:val="24"/>
        </w:rPr>
        <w:t>Fair</w:t>
      </w:r>
      <w:r>
        <w:rPr>
          <w:rFonts w:ascii="Times New Roman" w:hAnsi="Times New Roman"/>
          <w:i/>
          <w:sz w:val="24"/>
        </w:rPr>
        <w:t>e abstraction, telle que je l’ai décrite plus haut. Cette méthode é</w:t>
      </w:r>
      <w:r w:rsidRPr="007C17D3">
        <w:rPr>
          <w:rFonts w:ascii="Times New Roman" w:hAnsi="Times New Roman"/>
          <w:i/>
          <w:sz w:val="24"/>
        </w:rPr>
        <w:t>value</w:t>
      </w:r>
      <w:r>
        <w:rPr>
          <w:rFonts w:ascii="Times New Roman" w:hAnsi="Times New Roman"/>
          <w:i/>
          <w:sz w:val="24"/>
        </w:rPr>
        <w:t xml:space="preserve"> l’actif net comptable corrigé à 3.752.712€.</w:t>
      </w:r>
    </w:p>
    <w:p w:rsidR="008064D7" w:rsidRDefault="008064D7" w:rsidP="007565AA">
      <w:pPr>
        <w:pStyle w:val="Paragraphedeliste"/>
        <w:spacing w:line="240" w:lineRule="auto"/>
        <w:ind w:left="1866"/>
        <w:rPr>
          <w:rFonts w:ascii="Times New Roman" w:hAnsi="Times New Roman"/>
          <w:i/>
          <w:sz w:val="24"/>
        </w:rPr>
      </w:pPr>
    </w:p>
    <w:p w:rsidR="008064D7" w:rsidRPr="00647375" w:rsidRDefault="008064D7" w:rsidP="007565AA">
      <w:pPr>
        <w:pStyle w:val="Paragraphedeliste"/>
        <w:numPr>
          <w:ilvl w:val="0"/>
          <w:numId w:val="3"/>
        </w:numPr>
        <w:spacing w:line="240" w:lineRule="auto"/>
        <w:rPr>
          <w:rFonts w:ascii="Times New Roman" w:hAnsi="Times New Roman"/>
          <w:i/>
          <w:sz w:val="24"/>
        </w:rPr>
      </w:pPr>
      <w:r>
        <w:rPr>
          <w:rFonts w:ascii="Times New Roman" w:hAnsi="Times New Roman"/>
          <w:i/>
          <w:sz w:val="24"/>
        </w:rPr>
        <w:t>Une 2</w:t>
      </w:r>
      <w:r w:rsidRPr="00D240B0">
        <w:rPr>
          <w:rFonts w:ascii="Times New Roman" w:hAnsi="Times New Roman"/>
          <w:i/>
          <w:sz w:val="24"/>
          <w:vertAlign w:val="superscript"/>
        </w:rPr>
        <w:t>ème</w:t>
      </w:r>
      <w:r>
        <w:rPr>
          <w:rFonts w:ascii="Times New Roman" w:hAnsi="Times New Roman"/>
          <w:i/>
          <w:sz w:val="24"/>
        </w:rPr>
        <w:t xml:space="preserve"> méthode retenue est la méthode dite « de capitalisation abrégée de rente de goodwill » qui ajoute un multiple du bénéfice à l’actif net comptable corrigé. Ce multiple du bénéfice caractérise la composante « goodwill » ajoutée à l’actif net comptable corrigé (ANCC). </w:t>
      </w:r>
      <w:r w:rsidRPr="00647375">
        <w:rPr>
          <w:rFonts w:ascii="Times New Roman" w:hAnsi="Times New Roman"/>
          <w:i/>
          <w:sz w:val="24"/>
        </w:rPr>
        <w:t>Le multiple est généralement déterminé entre 5 et 8 fois. Dans ce cas, j’estime un multiple de 5 fois le bénéfice approprié car il s’agit d’une PME à taille certes correcte pour de nombreux entrepreneurs mais néanmoins limitée ; elle est aussi devenue dépendante d’une seule marque qu’elle distribue et sa profitabilité s’en est trouvée réduite.</w:t>
      </w:r>
      <w:r>
        <w:rPr>
          <w:rFonts w:ascii="Times New Roman" w:hAnsi="Times New Roman"/>
          <w:i/>
          <w:sz w:val="24"/>
        </w:rPr>
        <w:t xml:space="preserve"> </w:t>
      </w:r>
      <w:r w:rsidRPr="00647375">
        <w:rPr>
          <w:rFonts w:ascii="Times New Roman" w:hAnsi="Times New Roman"/>
          <w:i/>
          <w:sz w:val="24"/>
        </w:rPr>
        <w:t>La valeur calculée repose donc sur l’ANCC majoré de cinq années de bénéfice net, soit 4.949.788,00€.</w:t>
      </w:r>
    </w:p>
    <w:p w:rsidR="008064D7" w:rsidRDefault="008064D7" w:rsidP="007565AA">
      <w:pPr>
        <w:pStyle w:val="Paragraphedeliste"/>
        <w:spacing w:line="240" w:lineRule="auto"/>
        <w:ind w:left="1866"/>
        <w:rPr>
          <w:rFonts w:ascii="Times New Roman" w:hAnsi="Times New Roman"/>
          <w:i/>
          <w:sz w:val="24"/>
        </w:rPr>
      </w:pPr>
    </w:p>
    <w:p w:rsidR="008064D7" w:rsidRPr="001748AD" w:rsidRDefault="008064D7" w:rsidP="007565AA">
      <w:pPr>
        <w:pStyle w:val="Paragraphedeliste"/>
        <w:numPr>
          <w:ilvl w:val="0"/>
          <w:numId w:val="3"/>
        </w:numPr>
        <w:spacing w:line="240" w:lineRule="auto"/>
        <w:rPr>
          <w:rFonts w:ascii="Times New Roman" w:hAnsi="Times New Roman"/>
          <w:i/>
          <w:sz w:val="24"/>
        </w:rPr>
      </w:pPr>
      <w:r>
        <w:rPr>
          <w:rFonts w:ascii="Times New Roman" w:hAnsi="Times New Roman"/>
          <w:i/>
          <w:sz w:val="24"/>
        </w:rPr>
        <w:t xml:space="preserve">Je sélectionne aussi la méthode dite des experts-comptables européens qui ajoute également une composante à l’actif net comptable corrigé : cette composante est un multiple de la différence entre le bénéfice et la rentabilité escomptée de l’actif net. </w:t>
      </w:r>
      <w:r w:rsidRPr="00647375">
        <w:rPr>
          <w:rFonts w:ascii="Times New Roman" w:hAnsi="Times New Roman"/>
          <w:i/>
          <w:sz w:val="24"/>
        </w:rPr>
        <w:t xml:space="preserve">Comme pour la méthode précédente, le multiple de différence est fixé à 5. Quant à la prise en compte du taux d’actualisation, plusieurs méthodes sont également possibles. </w:t>
      </w:r>
      <w:r w:rsidRPr="001748AD">
        <w:rPr>
          <w:rFonts w:ascii="Times New Roman" w:hAnsi="Times New Roman"/>
          <w:i/>
          <w:sz w:val="24"/>
          <w:u w:val="single"/>
        </w:rPr>
        <w:t xml:space="preserve">De manière courante pour </w:t>
      </w:r>
      <w:r w:rsidRPr="001748AD">
        <w:rPr>
          <w:rFonts w:ascii="Times New Roman" w:hAnsi="Times New Roman"/>
          <w:i/>
          <w:sz w:val="24"/>
          <w:u w:val="single"/>
        </w:rPr>
        <w:lastRenderedPageBreak/>
        <w:t>des PME, on s’abstient de déterminer le taux par le coût moyen pondéré de la rémunération du capital et des dettes financières</w:t>
      </w:r>
      <w:r w:rsidRPr="001748AD">
        <w:rPr>
          <w:rFonts w:ascii="Times New Roman" w:hAnsi="Times New Roman"/>
          <w:i/>
          <w:sz w:val="24"/>
        </w:rPr>
        <w:t xml:space="preserve"> </w:t>
      </w:r>
      <w:r w:rsidRPr="001748AD">
        <w:rPr>
          <w:rStyle w:val="Appelnotedebasdep"/>
          <w:rFonts w:ascii="Times New Roman" w:hAnsi="Times New Roman"/>
          <w:i/>
          <w:sz w:val="24"/>
        </w:rPr>
        <w:footnoteReference w:id="131"/>
      </w:r>
      <w:r w:rsidRPr="001748AD">
        <w:rPr>
          <w:rFonts w:ascii="Times New Roman" w:hAnsi="Times New Roman"/>
          <w:i/>
          <w:sz w:val="24"/>
        </w:rPr>
        <w:t>.</w:t>
      </w:r>
    </w:p>
    <w:p w:rsidR="008064D7" w:rsidRPr="001748AD" w:rsidRDefault="008064D7" w:rsidP="007565AA">
      <w:pPr>
        <w:pStyle w:val="Paragraphedeliste"/>
        <w:rPr>
          <w:rFonts w:ascii="Times New Roman" w:hAnsi="Times New Roman"/>
          <w:i/>
          <w:sz w:val="24"/>
        </w:rPr>
      </w:pPr>
    </w:p>
    <w:p w:rsidR="008064D7" w:rsidRPr="001748AD" w:rsidRDefault="008064D7" w:rsidP="007565AA">
      <w:pPr>
        <w:pStyle w:val="Paragraphedeliste"/>
        <w:spacing w:line="240" w:lineRule="auto"/>
        <w:ind w:left="1866"/>
        <w:rPr>
          <w:rFonts w:ascii="Times New Roman" w:hAnsi="Times New Roman"/>
          <w:i/>
          <w:sz w:val="24"/>
        </w:rPr>
      </w:pPr>
      <w:r w:rsidRPr="001748AD">
        <w:rPr>
          <w:rFonts w:ascii="Times New Roman" w:hAnsi="Times New Roman"/>
          <w:i/>
          <w:sz w:val="24"/>
        </w:rPr>
        <w:t>Dans ces cas, le taux est déterminé par la somme de deux composantes :</w:t>
      </w:r>
    </w:p>
    <w:p w:rsidR="008064D7" w:rsidRPr="001748AD" w:rsidRDefault="008064D7" w:rsidP="007565AA">
      <w:pPr>
        <w:pStyle w:val="Paragraphedeliste"/>
        <w:spacing w:line="240" w:lineRule="auto"/>
        <w:ind w:left="1866"/>
        <w:rPr>
          <w:rFonts w:ascii="Times New Roman" w:hAnsi="Times New Roman"/>
          <w:i/>
          <w:sz w:val="24"/>
        </w:rPr>
      </w:pPr>
    </w:p>
    <w:p w:rsidR="008064D7" w:rsidRPr="001748AD" w:rsidRDefault="008064D7" w:rsidP="007565AA">
      <w:pPr>
        <w:pStyle w:val="Paragraphedeliste"/>
        <w:numPr>
          <w:ilvl w:val="0"/>
          <w:numId w:val="4"/>
        </w:numPr>
        <w:spacing w:line="240" w:lineRule="auto"/>
        <w:rPr>
          <w:rFonts w:ascii="Times New Roman" w:hAnsi="Times New Roman"/>
          <w:i/>
          <w:sz w:val="24"/>
        </w:rPr>
      </w:pPr>
      <w:r w:rsidRPr="001748AD">
        <w:rPr>
          <w:rFonts w:ascii="Times New Roman" w:hAnsi="Times New Roman"/>
          <w:i/>
          <w:sz w:val="24"/>
        </w:rPr>
        <w:t>Celle de base est le taux des obligations à 10 ans qui est de 0,85% au 18/07/2017 ;</w:t>
      </w:r>
    </w:p>
    <w:p w:rsidR="008064D7" w:rsidRPr="001748AD" w:rsidRDefault="008064D7" w:rsidP="007565AA">
      <w:pPr>
        <w:pStyle w:val="Paragraphedeliste"/>
        <w:numPr>
          <w:ilvl w:val="0"/>
          <w:numId w:val="4"/>
        </w:numPr>
        <w:spacing w:line="240" w:lineRule="auto"/>
        <w:rPr>
          <w:rFonts w:ascii="Times New Roman" w:hAnsi="Times New Roman"/>
          <w:i/>
          <w:sz w:val="24"/>
        </w:rPr>
      </w:pPr>
      <w:r w:rsidRPr="001748AD">
        <w:rPr>
          <w:rFonts w:ascii="Times New Roman" w:hAnsi="Times New Roman"/>
          <w:i/>
          <w:sz w:val="24"/>
        </w:rPr>
        <w:t>On y ajoute une prime de risque variant entre 50 et 200% du taux de base, selon le niveau de risque de l’entreprise. Plus elle paraît risquée, plus le taux sera élevé et inversement. Il faut cependant reconnaître qu’appliquer un multiple plus ou moins élevé à un taux de base lui-même fort bas a moins de conséquences que lorsque les taux étaient élevés ; En raison des caractéristiques de la société telles que je les ai perçues et décrites supra, j’applique une prime de risque de 150% au taux de base, le taux d’actualisation s’établissant dès lors à 2,12%.</w:t>
      </w:r>
    </w:p>
    <w:p w:rsidR="008064D7" w:rsidRPr="001748AD" w:rsidRDefault="008064D7" w:rsidP="007565AA">
      <w:pPr>
        <w:pStyle w:val="Paragraphedeliste"/>
        <w:spacing w:line="240" w:lineRule="auto"/>
        <w:ind w:left="2484"/>
        <w:rPr>
          <w:rFonts w:ascii="Times New Roman" w:hAnsi="Times New Roman"/>
          <w:i/>
          <w:sz w:val="24"/>
        </w:rPr>
      </w:pPr>
    </w:p>
    <w:p w:rsidR="008064D7" w:rsidRDefault="008064D7" w:rsidP="007565AA">
      <w:pPr>
        <w:pStyle w:val="Paragraphedeliste"/>
        <w:spacing w:line="240" w:lineRule="auto"/>
        <w:ind w:left="1866"/>
        <w:rPr>
          <w:rFonts w:ascii="Times New Roman" w:hAnsi="Times New Roman"/>
          <w:i/>
          <w:sz w:val="24"/>
        </w:rPr>
      </w:pPr>
      <w:r>
        <w:rPr>
          <w:rFonts w:ascii="Times New Roman" w:hAnsi="Times New Roman"/>
          <w:i/>
          <w:sz w:val="24"/>
        </w:rPr>
        <w:t>Il résulte dès lors une valeur de 4.552,001€ comme valeur de la société en application de la formule des experts-comptables européens.</w:t>
      </w:r>
    </w:p>
    <w:p w:rsidR="008064D7" w:rsidRDefault="008064D7" w:rsidP="007565AA">
      <w:pPr>
        <w:pStyle w:val="Paragraphedeliste"/>
        <w:spacing w:line="240" w:lineRule="auto"/>
        <w:ind w:left="1866"/>
        <w:rPr>
          <w:rFonts w:ascii="Times New Roman" w:hAnsi="Times New Roman"/>
          <w:i/>
          <w:sz w:val="24"/>
        </w:rPr>
      </w:pPr>
    </w:p>
    <w:p w:rsidR="008064D7" w:rsidRPr="00647375" w:rsidRDefault="008064D7" w:rsidP="007565AA">
      <w:pPr>
        <w:pStyle w:val="Paragraphedeliste"/>
        <w:numPr>
          <w:ilvl w:val="0"/>
          <w:numId w:val="3"/>
        </w:numPr>
        <w:spacing w:line="240" w:lineRule="auto"/>
        <w:rPr>
          <w:rFonts w:ascii="Times New Roman" w:hAnsi="Times New Roman"/>
          <w:i/>
          <w:sz w:val="24"/>
        </w:rPr>
      </w:pPr>
      <w:r>
        <w:rPr>
          <w:rFonts w:ascii="Times New Roman" w:hAnsi="Times New Roman"/>
          <w:i/>
          <w:sz w:val="24"/>
        </w:rPr>
        <w:t>J’intègre également une 4</w:t>
      </w:r>
      <w:r w:rsidRPr="00503D96">
        <w:rPr>
          <w:rFonts w:ascii="Times New Roman" w:hAnsi="Times New Roman"/>
          <w:i/>
          <w:sz w:val="24"/>
          <w:vertAlign w:val="superscript"/>
        </w:rPr>
        <w:t>ème</w:t>
      </w:r>
      <w:r>
        <w:rPr>
          <w:rFonts w:ascii="Times New Roman" w:hAnsi="Times New Roman"/>
          <w:i/>
          <w:sz w:val="24"/>
        </w:rPr>
        <w:t xml:space="preserve"> méthode dans mon raisonnement, à savoir celle qui ajoute la valeur </w:t>
      </w:r>
      <w:r w:rsidRPr="00647375">
        <w:rPr>
          <w:rFonts w:ascii="Times New Roman" w:hAnsi="Times New Roman"/>
          <w:i/>
          <w:sz w:val="24"/>
          <w:u w:val="single"/>
        </w:rPr>
        <w:t>de l’actif net comptable à celle d’une actualisation des cash-flows sur cinq ans au taux de 2,12% comme expliqué ci-dessus</w:t>
      </w:r>
      <w:r>
        <w:rPr>
          <w:rFonts w:ascii="Times New Roman" w:hAnsi="Times New Roman"/>
          <w:i/>
          <w:sz w:val="24"/>
        </w:rPr>
        <w:t xml:space="preserve">. </w:t>
      </w:r>
      <w:r w:rsidRPr="00647375">
        <w:rPr>
          <w:rFonts w:ascii="Times New Roman" w:hAnsi="Times New Roman"/>
          <w:i/>
          <w:sz w:val="24"/>
        </w:rPr>
        <w:t>Selon cette méthode des cash-flows actualisés, qui me semble refléter l’évolution passée et future de l’entreprise, la valorisation s’établit à 4.819.559€.</w:t>
      </w:r>
    </w:p>
    <w:p w:rsidR="008064D7" w:rsidRDefault="008064D7" w:rsidP="007565AA">
      <w:pPr>
        <w:pStyle w:val="Paragraphedeliste"/>
        <w:spacing w:line="240" w:lineRule="auto"/>
        <w:ind w:left="1866"/>
        <w:rPr>
          <w:rFonts w:ascii="Times New Roman" w:hAnsi="Times New Roman"/>
          <w:i/>
          <w:sz w:val="24"/>
        </w:rPr>
      </w:pPr>
    </w:p>
    <w:p w:rsidR="008064D7" w:rsidRDefault="008064D7" w:rsidP="007565AA">
      <w:pPr>
        <w:pStyle w:val="Paragraphedeliste"/>
        <w:spacing w:line="240" w:lineRule="auto"/>
        <w:ind w:left="1866"/>
        <w:rPr>
          <w:rFonts w:ascii="Times New Roman" w:hAnsi="Times New Roman"/>
          <w:i/>
          <w:sz w:val="24"/>
        </w:rPr>
      </w:pPr>
      <w:r>
        <w:rPr>
          <w:rFonts w:ascii="Times New Roman" w:hAnsi="Times New Roman"/>
          <w:i/>
          <w:sz w:val="24"/>
        </w:rPr>
        <w:t>Je ne retiens pas à ce stade des autres méthodes figurant dans le tableau ci-après car elles me semblent moins refléter l’historique de la société qui, notamment, ne distribua pas de dividendes au cours des dernières années. Bien que j’ai repris certaines méthodes de coefficients directs dans ce tableau à titre indicatif et pour avoir un raisonnement complet, elles ne me semblent pas appropriées notamment au motif qu’elles n’intègrent pas l’actif net comptable de la société qui est conséquent et résulte notamment de l’accumulation de bénéfices.</w:t>
      </w:r>
    </w:p>
    <w:p w:rsidR="008064D7" w:rsidRDefault="008064D7" w:rsidP="007565AA">
      <w:pPr>
        <w:pStyle w:val="Paragraphedeliste"/>
        <w:spacing w:line="240" w:lineRule="auto"/>
        <w:ind w:left="1866"/>
        <w:rPr>
          <w:rFonts w:ascii="Times New Roman" w:hAnsi="Times New Roman"/>
          <w:i/>
          <w:sz w:val="24"/>
        </w:rPr>
      </w:pPr>
    </w:p>
    <w:p w:rsidR="008064D7" w:rsidRPr="00AD7574" w:rsidRDefault="008064D7" w:rsidP="00AC6D36">
      <w:pPr>
        <w:pStyle w:val="Paragraphedeliste"/>
        <w:numPr>
          <w:ilvl w:val="0"/>
          <w:numId w:val="2"/>
        </w:numPr>
        <w:spacing w:line="240" w:lineRule="auto"/>
        <w:rPr>
          <w:rFonts w:ascii="Times New Roman" w:hAnsi="Times New Roman"/>
          <w:sz w:val="24"/>
          <w:u w:val="single"/>
        </w:rPr>
      </w:pPr>
      <w:r w:rsidRPr="00AD7574">
        <w:rPr>
          <w:rFonts w:ascii="Times New Roman" w:hAnsi="Times New Roman"/>
          <w:sz w:val="24"/>
          <w:u w:val="single"/>
        </w:rPr>
        <w:t xml:space="preserve">Le juge américain choisit la méthode </w:t>
      </w:r>
      <w:r w:rsidR="00AD7574" w:rsidRPr="00AD7574">
        <w:rPr>
          <w:rFonts w:ascii="Times New Roman" w:hAnsi="Times New Roman"/>
          <w:sz w:val="24"/>
          <w:u w:val="single"/>
        </w:rPr>
        <w:t>CDF comme 1</w:t>
      </w:r>
      <w:r w:rsidR="00AD7574" w:rsidRPr="00AD7574">
        <w:rPr>
          <w:rFonts w:ascii="Times New Roman" w:hAnsi="Times New Roman"/>
          <w:sz w:val="24"/>
          <w:u w:val="single"/>
          <w:vertAlign w:val="superscript"/>
        </w:rPr>
        <w:t>er</w:t>
      </w:r>
      <w:r w:rsidR="00AD7574" w:rsidRPr="00AD7574">
        <w:rPr>
          <w:rFonts w:ascii="Times New Roman" w:hAnsi="Times New Roman"/>
          <w:sz w:val="24"/>
          <w:u w:val="single"/>
        </w:rPr>
        <w:t xml:space="preserve"> examen</w:t>
      </w:r>
      <w:r w:rsidRPr="00AD7574">
        <w:rPr>
          <w:rFonts w:ascii="Times New Roman" w:hAnsi="Times New Roman"/>
          <w:sz w:val="24"/>
          <w:u w:val="single"/>
        </w:rPr>
        <w:t>.</w:t>
      </w:r>
      <w:r w:rsidRPr="00AD7574">
        <w:rPr>
          <w:rFonts w:ascii="Times New Roman" w:hAnsi="Times New Roman"/>
          <w:sz w:val="24"/>
        </w:rPr>
        <w:t xml:space="preserve"> </w:t>
      </w:r>
      <w:r w:rsidR="00AD7574" w:rsidRPr="00AD7574">
        <w:rPr>
          <w:rFonts w:ascii="Times New Roman" w:hAnsi="Times New Roman"/>
          <w:sz w:val="24"/>
        </w:rPr>
        <w:t>Comme nous</w:t>
      </w:r>
      <w:r w:rsidRPr="00AD7574">
        <w:rPr>
          <w:rFonts w:ascii="Times New Roman" w:hAnsi="Times New Roman"/>
          <w:sz w:val="24"/>
        </w:rPr>
        <w:t xml:space="preserve"> l’avons déjà décrit pour les actifs corporels mais c’est encore plus </w:t>
      </w:r>
      <w:r w:rsidR="00AD7574" w:rsidRPr="00AD7574">
        <w:rPr>
          <w:rFonts w:ascii="Times New Roman" w:hAnsi="Times New Roman"/>
          <w:sz w:val="24"/>
        </w:rPr>
        <w:t>vrai</w:t>
      </w:r>
      <w:r w:rsidRPr="00AD7574">
        <w:rPr>
          <w:rFonts w:ascii="Times New Roman" w:hAnsi="Times New Roman"/>
          <w:sz w:val="24"/>
        </w:rPr>
        <w:t xml:space="preserve"> pour la valeur </w:t>
      </w:r>
      <w:r w:rsidR="001748AD" w:rsidRPr="00AD7574">
        <w:rPr>
          <w:rFonts w:ascii="Times New Roman" w:hAnsi="Times New Roman"/>
          <w:sz w:val="24"/>
        </w:rPr>
        <w:t>des entreprises</w:t>
      </w:r>
      <w:r w:rsidRPr="00AD7574">
        <w:rPr>
          <w:rFonts w:ascii="Times New Roman" w:hAnsi="Times New Roman"/>
          <w:sz w:val="24"/>
        </w:rPr>
        <w:t xml:space="preserve">. Le juge va rechercher lui-même et concrètement </w:t>
      </w:r>
      <w:r w:rsidR="001748AD" w:rsidRPr="00AD7574">
        <w:rPr>
          <w:rFonts w:ascii="Times New Roman" w:hAnsi="Times New Roman"/>
          <w:sz w:val="24"/>
        </w:rPr>
        <w:t>les éléments propres</w:t>
      </w:r>
      <w:r w:rsidRPr="00AD7574">
        <w:rPr>
          <w:rFonts w:ascii="Times New Roman" w:hAnsi="Times New Roman"/>
          <w:sz w:val="24"/>
        </w:rPr>
        <w:t xml:space="preserve"> à la cause pour écarter ou retenir une méthode de valorisation. </w:t>
      </w:r>
    </w:p>
    <w:p w:rsidR="00AD7574" w:rsidRDefault="00AD7574" w:rsidP="00AD7574">
      <w:pPr>
        <w:pStyle w:val="Paragraphedeliste"/>
        <w:spacing w:line="240" w:lineRule="auto"/>
        <w:ind w:left="786"/>
        <w:rPr>
          <w:rFonts w:ascii="Times New Roman" w:hAnsi="Times New Roman"/>
          <w:sz w:val="24"/>
          <w:u w:val="single"/>
        </w:rPr>
      </w:pPr>
    </w:p>
    <w:p w:rsidR="00AD7574" w:rsidRDefault="00AD7574" w:rsidP="00AD7574">
      <w:pPr>
        <w:pStyle w:val="Paragraphedeliste"/>
        <w:spacing w:line="240" w:lineRule="auto"/>
        <w:ind w:left="786"/>
        <w:rPr>
          <w:rFonts w:ascii="Times New Roman" w:hAnsi="Times New Roman"/>
          <w:sz w:val="24"/>
        </w:rPr>
      </w:pPr>
      <w:r w:rsidRPr="00AD7574">
        <w:rPr>
          <w:rFonts w:ascii="Times New Roman" w:hAnsi="Times New Roman"/>
          <w:sz w:val="24"/>
        </w:rPr>
        <w:t>Il partira de la méthode DCF qu’il écartera, relativisera, amendera et comparera. Retenons, par exemple, les décisions </w:t>
      </w:r>
      <w:r>
        <w:rPr>
          <w:rFonts w:ascii="Times New Roman" w:hAnsi="Times New Roman"/>
          <w:sz w:val="24"/>
        </w:rPr>
        <w:t>des juges dans les affaires suivantes :</w:t>
      </w:r>
    </w:p>
    <w:p w:rsidR="00AD7574" w:rsidRDefault="00AD7574" w:rsidP="00AD7574">
      <w:pPr>
        <w:pStyle w:val="Paragraphedeliste"/>
        <w:spacing w:line="240" w:lineRule="auto"/>
        <w:ind w:left="786"/>
        <w:rPr>
          <w:rFonts w:ascii="Times New Roman" w:hAnsi="Times New Roman"/>
          <w:sz w:val="24"/>
          <w:u w:val="single"/>
        </w:rPr>
      </w:pPr>
      <w:r>
        <w:rPr>
          <w:rFonts w:ascii="Times New Roman" w:hAnsi="Times New Roman"/>
          <w:sz w:val="24"/>
          <w:u w:val="single"/>
        </w:rPr>
        <w:t xml:space="preserve"> </w:t>
      </w:r>
    </w:p>
    <w:p w:rsidR="00AD7574" w:rsidRPr="00AD7574" w:rsidRDefault="00AD7574" w:rsidP="00AD7574">
      <w:pPr>
        <w:spacing w:line="240" w:lineRule="auto"/>
        <w:rPr>
          <w:rFonts w:ascii="Times New Roman" w:hAnsi="Times New Roman"/>
          <w:sz w:val="24"/>
          <w:u w:val="single"/>
        </w:rPr>
      </w:pPr>
    </w:p>
    <w:p w:rsidR="008064D7" w:rsidRDefault="008064D7" w:rsidP="009B6E67">
      <w:pPr>
        <w:pStyle w:val="Paragraphedeliste"/>
        <w:numPr>
          <w:ilvl w:val="0"/>
          <w:numId w:val="24"/>
        </w:numPr>
        <w:spacing w:line="240" w:lineRule="auto"/>
        <w:rPr>
          <w:rFonts w:ascii="Times New Roman" w:hAnsi="Times New Roman"/>
          <w:sz w:val="24"/>
        </w:rPr>
      </w:pPr>
      <w:r w:rsidRPr="001D5886">
        <w:rPr>
          <w:rFonts w:ascii="Times New Roman" w:hAnsi="Times New Roman"/>
          <w:sz w:val="24"/>
        </w:rPr>
        <w:lastRenderedPageBreak/>
        <w:t>US Bank N.A. v Verizon Comm. Inc.</w:t>
      </w:r>
      <w:r>
        <w:rPr>
          <w:rStyle w:val="Appelnotedebasdep"/>
          <w:rFonts w:ascii="Times New Roman" w:hAnsi="Times New Roman"/>
          <w:sz w:val="24"/>
          <w:lang w:val="en-US"/>
        </w:rPr>
        <w:footnoteReference w:id="132"/>
      </w:r>
      <w:r>
        <w:rPr>
          <w:rFonts w:ascii="Times New Roman" w:hAnsi="Times New Roman"/>
          <w:sz w:val="24"/>
        </w:rPr>
        <w:t> :</w:t>
      </w:r>
      <w:r w:rsidRPr="001D5886">
        <w:rPr>
          <w:rFonts w:ascii="Times New Roman" w:hAnsi="Times New Roman"/>
          <w:sz w:val="24"/>
        </w:rPr>
        <w:t xml:space="preserve"> la Cour </w:t>
      </w:r>
      <w:r w:rsidRPr="001D5886">
        <w:rPr>
          <w:rFonts w:ascii="Times New Roman" w:hAnsi="Times New Roman"/>
          <w:sz w:val="24"/>
          <w:u w:val="single"/>
        </w:rPr>
        <w:t>rejette le DCF</w:t>
      </w:r>
      <w:r>
        <w:rPr>
          <w:rFonts w:ascii="Times New Roman" w:hAnsi="Times New Roman"/>
          <w:sz w:val="24"/>
        </w:rPr>
        <w:t xml:space="preserve"> qui est significativement en-dessous des autres méthodes ;</w:t>
      </w:r>
    </w:p>
    <w:p w:rsidR="008064D7" w:rsidRDefault="008064D7" w:rsidP="009B6E67">
      <w:pPr>
        <w:pStyle w:val="Paragraphedeliste"/>
        <w:numPr>
          <w:ilvl w:val="0"/>
          <w:numId w:val="24"/>
        </w:numPr>
        <w:spacing w:line="240" w:lineRule="auto"/>
        <w:rPr>
          <w:rFonts w:ascii="Times New Roman" w:hAnsi="Times New Roman"/>
          <w:sz w:val="24"/>
        </w:rPr>
      </w:pPr>
      <w:r>
        <w:rPr>
          <w:rFonts w:ascii="Times New Roman" w:hAnsi="Times New Roman"/>
          <w:sz w:val="24"/>
        </w:rPr>
        <w:t>Mirant Corp.</w:t>
      </w:r>
      <w:r>
        <w:rPr>
          <w:rStyle w:val="Appelnotedebasdep"/>
          <w:rFonts w:ascii="Times New Roman" w:hAnsi="Times New Roman"/>
          <w:sz w:val="24"/>
        </w:rPr>
        <w:footnoteReference w:id="133"/>
      </w:r>
      <w:r>
        <w:rPr>
          <w:rFonts w:ascii="Times New Roman" w:hAnsi="Times New Roman"/>
          <w:sz w:val="24"/>
        </w:rPr>
        <w:t xml:space="preserve"> : la Cour a retenu la </w:t>
      </w:r>
      <w:r>
        <w:rPr>
          <w:rFonts w:ascii="Times New Roman" w:hAnsi="Times New Roman"/>
          <w:sz w:val="24"/>
          <w:u w:val="single"/>
        </w:rPr>
        <w:t>nécessaire subjectivité</w:t>
      </w:r>
      <w:r>
        <w:rPr>
          <w:rFonts w:ascii="Times New Roman" w:hAnsi="Times New Roman"/>
          <w:sz w:val="24"/>
        </w:rPr>
        <w:t xml:space="preserve"> et la nécessité de préserver la </w:t>
      </w:r>
      <w:r>
        <w:rPr>
          <w:rFonts w:ascii="Times New Roman" w:hAnsi="Times New Roman"/>
          <w:sz w:val="24"/>
          <w:u w:val="single"/>
        </w:rPr>
        <w:t>structure initiative</w:t>
      </w:r>
      <w:r>
        <w:rPr>
          <w:rFonts w:ascii="Times New Roman" w:hAnsi="Times New Roman"/>
          <w:sz w:val="24"/>
        </w:rPr>
        <w:t xml:space="preserve"> de l’évaluation ;</w:t>
      </w:r>
    </w:p>
    <w:p w:rsidR="008064D7" w:rsidRDefault="008064D7" w:rsidP="009B6E67">
      <w:pPr>
        <w:pStyle w:val="Paragraphedeliste"/>
        <w:numPr>
          <w:ilvl w:val="0"/>
          <w:numId w:val="24"/>
        </w:numPr>
        <w:spacing w:line="240" w:lineRule="auto"/>
        <w:rPr>
          <w:rFonts w:ascii="Times New Roman" w:hAnsi="Times New Roman"/>
          <w:sz w:val="24"/>
        </w:rPr>
      </w:pPr>
      <w:r>
        <w:rPr>
          <w:rFonts w:ascii="Times New Roman" w:hAnsi="Times New Roman"/>
          <w:sz w:val="24"/>
        </w:rPr>
        <w:t>Exide Techs</w:t>
      </w:r>
      <w:r>
        <w:rPr>
          <w:rStyle w:val="Appelnotedebasdep"/>
          <w:rFonts w:ascii="Times New Roman" w:hAnsi="Times New Roman"/>
          <w:sz w:val="24"/>
        </w:rPr>
        <w:footnoteReference w:id="134"/>
      </w:r>
      <w:r>
        <w:rPr>
          <w:rFonts w:ascii="Times New Roman" w:hAnsi="Times New Roman"/>
          <w:sz w:val="24"/>
        </w:rPr>
        <w:t xml:space="preserve">, la Cour </w:t>
      </w:r>
      <w:r>
        <w:rPr>
          <w:rFonts w:ascii="Times New Roman" w:hAnsi="Times New Roman"/>
          <w:sz w:val="24"/>
          <w:u w:val="single"/>
        </w:rPr>
        <w:t>rejette la valeur de marché</w:t>
      </w:r>
      <w:r>
        <w:rPr>
          <w:rFonts w:ascii="Times New Roman" w:hAnsi="Times New Roman"/>
          <w:sz w:val="24"/>
        </w:rPr>
        <w:t xml:space="preserve"> pour retenir la </w:t>
      </w:r>
      <w:r>
        <w:rPr>
          <w:rFonts w:ascii="Times New Roman" w:hAnsi="Times New Roman"/>
          <w:sz w:val="24"/>
          <w:u w:val="single"/>
        </w:rPr>
        <w:t>méthode des multiples et du DCF</w:t>
      </w:r>
      <w:r>
        <w:rPr>
          <w:rFonts w:ascii="Times New Roman" w:hAnsi="Times New Roman"/>
          <w:sz w:val="24"/>
        </w:rPr>
        <w:t xml:space="preserve"> (le débiteur ayant retenu des décotes subjectives) ;</w:t>
      </w:r>
    </w:p>
    <w:p w:rsidR="008064D7" w:rsidRDefault="008064D7" w:rsidP="009B6E67">
      <w:pPr>
        <w:pStyle w:val="Paragraphedeliste"/>
        <w:numPr>
          <w:ilvl w:val="0"/>
          <w:numId w:val="24"/>
        </w:numPr>
        <w:spacing w:line="240" w:lineRule="auto"/>
        <w:rPr>
          <w:rFonts w:ascii="Times New Roman" w:hAnsi="Times New Roman"/>
          <w:sz w:val="24"/>
        </w:rPr>
      </w:pPr>
      <w:r>
        <w:rPr>
          <w:rFonts w:ascii="Times New Roman" w:hAnsi="Times New Roman"/>
          <w:sz w:val="24"/>
        </w:rPr>
        <w:t>VFB LLC</w:t>
      </w:r>
      <w:r>
        <w:rPr>
          <w:rStyle w:val="Appelnotedebasdep"/>
          <w:rFonts w:ascii="Times New Roman" w:hAnsi="Times New Roman"/>
          <w:sz w:val="24"/>
        </w:rPr>
        <w:footnoteReference w:id="135"/>
      </w:r>
      <w:r>
        <w:rPr>
          <w:rFonts w:ascii="Times New Roman" w:hAnsi="Times New Roman"/>
          <w:sz w:val="24"/>
        </w:rPr>
        <w:t xml:space="preserve"> : la Cour utilise le critère </w:t>
      </w:r>
      <w:r>
        <w:rPr>
          <w:rFonts w:ascii="Times New Roman" w:hAnsi="Times New Roman"/>
          <w:sz w:val="24"/>
          <w:u w:val="single"/>
        </w:rPr>
        <w:t>du prix que paierait l’acheteur</w:t>
      </w:r>
      <w:r>
        <w:rPr>
          <w:rFonts w:ascii="Times New Roman" w:hAnsi="Times New Roman"/>
          <w:sz w:val="24"/>
        </w:rPr>
        <w:t xml:space="preserve"> plutôt que les estimations d’un ou plusieurs experts ;</w:t>
      </w:r>
    </w:p>
    <w:p w:rsidR="008064D7" w:rsidRDefault="008064D7" w:rsidP="009B6E67">
      <w:pPr>
        <w:pStyle w:val="Paragraphedeliste"/>
        <w:numPr>
          <w:ilvl w:val="0"/>
          <w:numId w:val="24"/>
        </w:numPr>
        <w:spacing w:line="240" w:lineRule="auto"/>
        <w:rPr>
          <w:rFonts w:ascii="Times New Roman" w:hAnsi="Times New Roman"/>
          <w:sz w:val="24"/>
        </w:rPr>
      </w:pPr>
      <w:r>
        <w:rPr>
          <w:rFonts w:ascii="Times New Roman" w:hAnsi="Times New Roman"/>
          <w:sz w:val="24"/>
        </w:rPr>
        <w:t>TOUSA</w:t>
      </w:r>
      <w:r>
        <w:rPr>
          <w:rStyle w:val="Appelnotedebasdep"/>
          <w:rFonts w:ascii="Times New Roman" w:hAnsi="Times New Roman"/>
          <w:sz w:val="24"/>
        </w:rPr>
        <w:footnoteReference w:id="136"/>
      </w:r>
      <w:r>
        <w:rPr>
          <w:rFonts w:ascii="Times New Roman" w:hAnsi="Times New Roman"/>
          <w:sz w:val="24"/>
        </w:rPr>
        <w:t> : la Cour rejette les critiques des créanciers sur l’inefficience du marché de référence, rejette la méthode de capitalisation et prend le prix des actions auquel elle ajoute le prix de la dette ;</w:t>
      </w:r>
    </w:p>
    <w:p w:rsidR="008064D7" w:rsidRDefault="008064D7" w:rsidP="009B6E67">
      <w:pPr>
        <w:pStyle w:val="Paragraphedeliste"/>
        <w:numPr>
          <w:ilvl w:val="0"/>
          <w:numId w:val="24"/>
        </w:numPr>
        <w:spacing w:line="240" w:lineRule="auto"/>
        <w:rPr>
          <w:rFonts w:ascii="Times New Roman" w:hAnsi="Times New Roman"/>
          <w:sz w:val="24"/>
        </w:rPr>
      </w:pPr>
      <w:r>
        <w:rPr>
          <w:rFonts w:ascii="Times New Roman" w:hAnsi="Times New Roman"/>
          <w:sz w:val="24"/>
        </w:rPr>
        <w:t>Nellson Neutraceutical. Inc.</w:t>
      </w:r>
      <w:r>
        <w:rPr>
          <w:rStyle w:val="Appelnotedebasdep"/>
          <w:rFonts w:ascii="Times New Roman" w:hAnsi="Times New Roman"/>
          <w:sz w:val="24"/>
        </w:rPr>
        <w:footnoteReference w:id="137"/>
      </w:r>
      <w:r>
        <w:rPr>
          <w:rFonts w:ascii="Times New Roman" w:hAnsi="Times New Roman"/>
          <w:sz w:val="24"/>
        </w:rPr>
        <w:t xml:space="preserve"> : rejette le DCF car les projections de cash-flow ont été, selon la Cour, manipulées et, se basant sur les expertises des créanciers, la Cour fixe </w:t>
      </w:r>
      <w:r>
        <w:rPr>
          <w:rFonts w:ascii="Times New Roman" w:hAnsi="Times New Roman"/>
          <w:sz w:val="24"/>
          <w:u w:val="single"/>
        </w:rPr>
        <w:t>la valeur en ajustant sur base de décote spécifique au cas et au marché </w:t>
      </w:r>
      <w:r>
        <w:rPr>
          <w:rFonts w:ascii="Times New Roman" w:hAnsi="Times New Roman"/>
          <w:sz w:val="24"/>
        </w:rPr>
        <w:t>;</w:t>
      </w:r>
    </w:p>
    <w:p w:rsidR="008064D7" w:rsidRDefault="008064D7" w:rsidP="009B6E67">
      <w:pPr>
        <w:pStyle w:val="Paragraphedeliste"/>
        <w:numPr>
          <w:ilvl w:val="0"/>
          <w:numId w:val="24"/>
        </w:numPr>
        <w:spacing w:line="240" w:lineRule="auto"/>
        <w:rPr>
          <w:rFonts w:ascii="Times New Roman" w:hAnsi="Times New Roman"/>
          <w:sz w:val="24"/>
        </w:rPr>
      </w:pPr>
      <w:r>
        <w:rPr>
          <w:rFonts w:ascii="Times New Roman" w:hAnsi="Times New Roman"/>
          <w:sz w:val="24"/>
        </w:rPr>
        <w:t>Chemtura Corp.</w:t>
      </w:r>
      <w:r>
        <w:rPr>
          <w:rStyle w:val="Appelnotedebasdep"/>
          <w:rFonts w:ascii="Times New Roman" w:hAnsi="Times New Roman"/>
          <w:sz w:val="24"/>
        </w:rPr>
        <w:footnoteReference w:id="138"/>
      </w:r>
      <w:r>
        <w:rPr>
          <w:rFonts w:ascii="Times New Roman" w:hAnsi="Times New Roman"/>
          <w:sz w:val="24"/>
        </w:rPr>
        <w:t xml:space="preserve"> : les experts proposent un DCF, la Cour considérant que les projections financières étaient trop optimistes par rapport à l’économie du moment. </w:t>
      </w:r>
      <w:r>
        <w:rPr>
          <w:rFonts w:ascii="Times New Roman" w:hAnsi="Times New Roman"/>
          <w:sz w:val="24"/>
          <w:u w:val="single"/>
        </w:rPr>
        <w:t>Elle fonda son calcul sur ses propres prévisions moins optimistes </w:t>
      </w:r>
      <w:r>
        <w:rPr>
          <w:rFonts w:ascii="Times New Roman" w:hAnsi="Times New Roman"/>
          <w:sz w:val="24"/>
        </w:rPr>
        <w:t>;</w:t>
      </w:r>
    </w:p>
    <w:p w:rsidR="008064D7" w:rsidRDefault="008064D7" w:rsidP="009B6E67">
      <w:pPr>
        <w:pStyle w:val="Paragraphedeliste"/>
        <w:numPr>
          <w:ilvl w:val="0"/>
          <w:numId w:val="24"/>
        </w:numPr>
        <w:spacing w:line="240" w:lineRule="auto"/>
        <w:rPr>
          <w:rFonts w:ascii="Times New Roman" w:hAnsi="Times New Roman"/>
          <w:sz w:val="24"/>
        </w:rPr>
      </w:pPr>
      <w:r>
        <w:rPr>
          <w:rFonts w:ascii="Times New Roman" w:hAnsi="Times New Roman"/>
          <w:sz w:val="24"/>
        </w:rPr>
        <w:t>Spansion</w:t>
      </w:r>
      <w:r>
        <w:rPr>
          <w:rStyle w:val="Appelnotedebasdep"/>
          <w:rFonts w:ascii="Times New Roman" w:hAnsi="Times New Roman"/>
          <w:sz w:val="24"/>
        </w:rPr>
        <w:footnoteReference w:id="139"/>
      </w:r>
      <w:r>
        <w:rPr>
          <w:rFonts w:ascii="Times New Roman" w:hAnsi="Times New Roman"/>
          <w:sz w:val="24"/>
        </w:rPr>
        <w:t> : la Cour examina les méthodes d’évaluation et repris l’une des simulations en lien avec une classe de créanciers (les obligataires convertibles récalcitrants) en estimant « </w:t>
      </w:r>
      <w:r w:rsidRPr="007C17D3">
        <w:rPr>
          <w:rFonts w:ascii="Times New Roman" w:hAnsi="Times New Roman"/>
          <w:i/>
          <w:sz w:val="24"/>
        </w:rPr>
        <w:t>Fair</w:t>
      </w:r>
      <w:r>
        <w:rPr>
          <w:rFonts w:ascii="Times New Roman" w:hAnsi="Times New Roman"/>
          <w:i/>
          <w:sz w:val="24"/>
        </w:rPr>
        <w:t>ly and equitability » </w:t>
      </w:r>
      <w:r>
        <w:rPr>
          <w:rFonts w:ascii="Times New Roman" w:hAnsi="Times New Roman"/>
          <w:sz w:val="24"/>
        </w:rPr>
        <w:t>;</w:t>
      </w:r>
    </w:p>
    <w:p w:rsidR="008064D7" w:rsidRDefault="008064D7" w:rsidP="009B6E67">
      <w:pPr>
        <w:pStyle w:val="Paragraphedeliste"/>
        <w:numPr>
          <w:ilvl w:val="0"/>
          <w:numId w:val="24"/>
        </w:numPr>
        <w:spacing w:line="240" w:lineRule="auto"/>
        <w:rPr>
          <w:rFonts w:ascii="Times New Roman" w:hAnsi="Times New Roman"/>
          <w:sz w:val="24"/>
        </w:rPr>
      </w:pPr>
      <w:r>
        <w:rPr>
          <w:rFonts w:ascii="Times New Roman" w:hAnsi="Times New Roman"/>
          <w:sz w:val="24"/>
        </w:rPr>
        <w:t>ASARCO LLC</w:t>
      </w:r>
      <w:r>
        <w:rPr>
          <w:rStyle w:val="Appelnotedebasdep"/>
          <w:rFonts w:ascii="Times New Roman" w:hAnsi="Times New Roman"/>
          <w:sz w:val="24"/>
        </w:rPr>
        <w:footnoteReference w:id="140"/>
      </w:r>
      <w:r>
        <w:rPr>
          <w:rFonts w:ascii="Times New Roman" w:hAnsi="Times New Roman"/>
          <w:sz w:val="24"/>
        </w:rPr>
        <w:t xml:space="preserve"> : la Cour retenu que </w:t>
      </w:r>
      <w:r>
        <w:rPr>
          <w:rFonts w:ascii="Times New Roman" w:hAnsi="Times New Roman"/>
          <w:sz w:val="24"/>
          <w:u w:val="single"/>
        </w:rPr>
        <w:t>le prix public des stocks</w:t>
      </w:r>
      <w:r>
        <w:rPr>
          <w:rFonts w:ascii="Times New Roman" w:hAnsi="Times New Roman"/>
          <w:sz w:val="24"/>
        </w:rPr>
        <w:t xml:space="preserve"> (minerais) et le DCF étaient des indicateurs pertinents en relativisant la valeur de la bourse publique d’échange en raison des volumes échangés, en complétant par des comparables qu’elle vérifia par des tests de crédibilité ;</w:t>
      </w:r>
    </w:p>
    <w:p w:rsidR="008064D7" w:rsidRDefault="008064D7" w:rsidP="009B6E67">
      <w:pPr>
        <w:pStyle w:val="Paragraphedeliste"/>
        <w:numPr>
          <w:ilvl w:val="0"/>
          <w:numId w:val="24"/>
        </w:numPr>
        <w:spacing w:line="240" w:lineRule="auto"/>
        <w:rPr>
          <w:rFonts w:ascii="Times New Roman" w:hAnsi="Times New Roman"/>
          <w:sz w:val="24"/>
        </w:rPr>
      </w:pPr>
      <w:r>
        <w:rPr>
          <w:rFonts w:ascii="Times New Roman" w:hAnsi="Times New Roman"/>
          <w:sz w:val="24"/>
        </w:rPr>
        <w:t>DBSD</w:t>
      </w:r>
      <w:r>
        <w:rPr>
          <w:rStyle w:val="Appelnotedebasdep"/>
          <w:rFonts w:ascii="Times New Roman" w:hAnsi="Times New Roman"/>
          <w:sz w:val="24"/>
        </w:rPr>
        <w:footnoteReference w:id="141"/>
      </w:r>
      <w:r>
        <w:rPr>
          <w:rFonts w:ascii="Times New Roman" w:hAnsi="Times New Roman"/>
          <w:sz w:val="24"/>
        </w:rPr>
        <w:t> : la Cour rejette le DCF car l’activité du débiteur était fondée sur de la technologie qui n’était pas assez en opération et qui nécessitait encore des investissements, de telle sorte que les cash-flow étaient ou pouvaient être négatifs les premières années. La Cour se basa sur deux transactions précédentes comparables pour fixer une valeur malgré l’incertitude du temps nécessaire à la rentabilisation.</w:t>
      </w:r>
    </w:p>
    <w:p w:rsidR="008064D7" w:rsidRDefault="008064D7" w:rsidP="009B6E67">
      <w:pPr>
        <w:pStyle w:val="Paragraphedeliste"/>
        <w:spacing w:line="240" w:lineRule="auto"/>
        <w:ind w:left="1932"/>
        <w:rPr>
          <w:rFonts w:ascii="Times New Roman" w:hAnsi="Times New Roman"/>
          <w:sz w:val="24"/>
        </w:rPr>
      </w:pPr>
    </w:p>
    <w:p w:rsidR="008064D7" w:rsidRDefault="008064D7" w:rsidP="009B6E67">
      <w:pPr>
        <w:pStyle w:val="Paragraphedeliste"/>
        <w:spacing w:line="240" w:lineRule="auto"/>
        <w:ind w:left="786"/>
        <w:rPr>
          <w:rFonts w:ascii="Times New Roman" w:hAnsi="Times New Roman"/>
          <w:sz w:val="24"/>
        </w:rPr>
      </w:pPr>
      <w:r>
        <w:rPr>
          <w:rFonts w:ascii="Times New Roman" w:hAnsi="Times New Roman"/>
          <w:sz w:val="24"/>
        </w:rPr>
        <w:t>Une étude</w:t>
      </w:r>
      <w:r>
        <w:rPr>
          <w:rStyle w:val="Appelnotedebasdep"/>
          <w:rFonts w:ascii="Times New Roman" w:hAnsi="Times New Roman"/>
          <w:sz w:val="24"/>
        </w:rPr>
        <w:footnoteReference w:id="142"/>
      </w:r>
      <w:r>
        <w:rPr>
          <w:rFonts w:ascii="Times New Roman" w:hAnsi="Times New Roman"/>
          <w:sz w:val="24"/>
        </w:rPr>
        <w:t xml:space="preserve"> donne une indication utile sur cette liberté du juge confronté à l</w:t>
      </w:r>
      <w:r w:rsidR="00AD7574">
        <w:rPr>
          <w:rFonts w:ascii="Times New Roman" w:hAnsi="Times New Roman"/>
          <w:sz w:val="24"/>
        </w:rPr>
        <w:t>’évaluation en période de Covid par exemple,</w:t>
      </w:r>
      <w:r>
        <w:rPr>
          <w:rFonts w:ascii="Times New Roman" w:hAnsi="Times New Roman"/>
          <w:sz w:val="24"/>
        </w:rPr>
        <w:t xml:space="preserve"> tant pour les PME que pour les grandes entités. Il examine la situation du financement (</w:t>
      </w:r>
      <w:r w:rsidRPr="007C17D3">
        <w:rPr>
          <w:rFonts w:ascii="Times New Roman" w:hAnsi="Times New Roman"/>
          <w:i/>
          <w:sz w:val="24"/>
        </w:rPr>
        <w:t>DIP</w:t>
      </w:r>
      <w:r>
        <w:rPr>
          <w:rFonts w:ascii="Times New Roman" w:hAnsi="Times New Roman"/>
          <w:sz w:val="24"/>
        </w:rPr>
        <w:t xml:space="preserve"> </w:t>
      </w:r>
      <w:r w:rsidRPr="007C17D3">
        <w:rPr>
          <w:rFonts w:ascii="Times New Roman" w:hAnsi="Times New Roman"/>
          <w:i/>
          <w:sz w:val="24"/>
        </w:rPr>
        <w:t>financing</w:t>
      </w:r>
      <w:r>
        <w:rPr>
          <w:rFonts w:ascii="Times New Roman" w:hAnsi="Times New Roman"/>
          <w:sz w:val="24"/>
        </w:rPr>
        <w:t xml:space="preserve">), de l’adéquate protection des suretés, de la faisabilité, du test du </w:t>
      </w:r>
      <w:r w:rsidRPr="007C17D3">
        <w:rPr>
          <w:rFonts w:ascii="Times New Roman" w:hAnsi="Times New Roman"/>
          <w:i/>
          <w:sz w:val="24"/>
        </w:rPr>
        <w:t>Best interest</w:t>
      </w:r>
      <w:r>
        <w:rPr>
          <w:rFonts w:ascii="Times New Roman" w:hAnsi="Times New Roman"/>
          <w:sz w:val="24"/>
        </w:rPr>
        <w:t xml:space="preserve"> </w:t>
      </w:r>
      <w:r w:rsidRPr="00242A1C">
        <w:rPr>
          <w:rFonts w:ascii="Times New Roman" w:hAnsi="Times New Roman"/>
          <w:i/>
          <w:sz w:val="24"/>
        </w:rPr>
        <w:t xml:space="preserve">of </w:t>
      </w:r>
      <w:r w:rsidR="00AD7574" w:rsidRPr="00242A1C">
        <w:rPr>
          <w:rFonts w:ascii="Times New Roman" w:hAnsi="Times New Roman"/>
          <w:i/>
          <w:sz w:val="24"/>
        </w:rPr>
        <w:t>creditors</w:t>
      </w:r>
      <w:r>
        <w:rPr>
          <w:rFonts w:ascii="Times New Roman" w:hAnsi="Times New Roman"/>
          <w:sz w:val="24"/>
        </w:rPr>
        <w:t xml:space="preserve"> en concluant que si la situation est plus complexe, la loi permet au juge de tenir compte de ce fait pour modifier les règles d’évaluation.</w:t>
      </w:r>
    </w:p>
    <w:p w:rsidR="008064D7" w:rsidRDefault="008064D7" w:rsidP="009B6E67">
      <w:pPr>
        <w:pStyle w:val="Paragraphedeliste"/>
        <w:spacing w:line="240" w:lineRule="auto"/>
        <w:ind w:left="786"/>
        <w:rPr>
          <w:rFonts w:ascii="Times New Roman" w:hAnsi="Times New Roman"/>
          <w:sz w:val="24"/>
        </w:rPr>
      </w:pPr>
    </w:p>
    <w:p w:rsidR="008064D7" w:rsidRPr="00B61235" w:rsidRDefault="008064D7" w:rsidP="00AC6D36">
      <w:pPr>
        <w:pStyle w:val="Paragraphedeliste"/>
        <w:numPr>
          <w:ilvl w:val="0"/>
          <w:numId w:val="2"/>
        </w:numPr>
        <w:spacing w:line="240" w:lineRule="auto"/>
        <w:rPr>
          <w:rFonts w:ascii="Times New Roman" w:hAnsi="Times New Roman"/>
          <w:sz w:val="24"/>
        </w:rPr>
      </w:pPr>
      <w:r w:rsidRPr="00B61235">
        <w:rPr>
          <w:rFonts w:ascii="Times New Roman" w:hAnsi="Times New Roman"/>
          <w:sz w:val="24"/>
          <w:u w:val="single"/>
        </w:rPr>
        <w:lastRenderedPageBreak/>
        <w:t>Surcotes et décotes en droit Belge</w:t>
      </w:r>
      <w:r w:rsidRPr="00B61235">
        <w:rPr>
          <w:rFonts w:ascii="Times New Roman" w:hAnsi="Times New Roman"/>
          <w:sz w:val="24"/>
        </w:rPr>
        <w:t>.</w:t>
      </w:r>
      <w:r w:rsidR="00AD7574" w:rsidRPr="00B61235">
        <w:rPr>
          <w:rFonts w:ascii="Times New Roman" w:hAnsi="Times New Roman"/>
          <w:sz w:val="24"/>
        </w:rPr>
        <w:t xml:space="preserve"> Une fois arrivé à une valeur, </w:t>
      </w:r>
      <w:r w:rsidR="00B61235" w:rsidRPr="00B61235">
        <w:rPr>
          <w:rFonts w:ascii="Times New Roman" w:hAnsi="Times New Roman"/>
          <w:sz w:val="24"/>
        </w:rPr>
        <w:t>par une méthode ou une autre, s’ouvre un second exercice consistant à minorer (décote) ou majorer (surcote) la valeur standard en prenant en compte des situations d’espèce. Un</w:t>
      </w:r>
      <w:r w:rsidRPr="00B61235">
        <w:rPr>
          <w:rFonts w:ascii="Times New Roman" w:hAnsi="Times New Roman"/>
          <w:sz w:val="24"/>
        </w:rPr>
        <w:t xml:space="preserve"> auteur</w:t>
      </w:r>
      <w:r>
        <w:rPr>
          <w:rStyle w:val="Appelnotedebasdep"/>
          <w:rFonts w:ascii="Times New Roman" w:hAnsi="Times New Roman"/>
          <w:sz w:val="24"/>
        </w:rPr>
        <w:footnoteReference w:id="143"/>
      </w:r>
      <w:r w:rsidRPr="00B61235">
        <w:rPr>
          <w:rFonts w:ascii="Times New Roman" w:hAnsi="Times New Roman"/>
          <w:sz w:val="24"/>
        </w:rPr>
        <w:t xml:space="preserve"> </w:t>
      </w:r>
      <w:r w:rsidR="00B61235" w:rsidRPr="00B61235">
        <w:rPr>
          <w:rFonts w:ascii="Times New Roman" w:hAnsi="Times New Roman"/>
          <w:sz w:val="24"/>
        </w:rPr>
        <w:t>Belge</w:t>
      </w:r>
      <w:r w:rsidRPr="00B61235">
        <w:rPr>
          <w:rFonts w:ascii="Times New Roman" w:hAnsi="Times New Roman"/>
          <w:sz w:val="24"/>
        </w:rPr>
        <w:t xml:space="preserve">, se basant sur des études économiques assez pointues et pertinentes, décrit les valeurs de décote qu’il faut appliquer </w:t>
      </w:r>
      <w:r w:rsidR="00B61235" w:rsidRPr="00B61235">
        <w:rPr>
          <w:rFonts w:ascii="Times New Roman" w:hAnsi="Times New Roman"/>
          <w:sz w:val="24"/>
        </w:rPr>
        <w:t xml:space="preserve">sur le marché belge </w:t>
      </w:r>
      <w:r w:rsidRPr="00B61235">
        <w:rPr>
          <w:rFonts w:ascii="Times New Roman" w:hAnsi="Times New Roman"/>
          <w:sz w:val="24"/>
        </w:rPr>
        <w:t>une fois la valeur brute de l’entreprise fixée</w:t>
      </w:r>
      <w:r w:rsidR="00B61235" w:rsidRPr="00B61235">
        <w:rPr>
          <w:rFonts w:ascii="Times New Roman" w:hAnsi="Times New Roman"/>
          <w:sz w:val="24"/>
        </w:rPr>
        <w:t>.</w:t>
      </w:r>
      <w:r w:rsidR="00B61235">
        <w:rPr>
          <w:rFonts w:ascii="Times New Roman" w:hAnsi="Times New Roman"/>
          <w:sz w:val="24"/>
        </w:rPr>
        <w:t xml:space="preserve"> </w:t>
      </w:r>
      <w:r w:rsidRPr="00B61235">
        <w:rPr>
          <w:rFonts w:ascii="Times New Roman" w:hAnsi="Times New Roman"/>
          <w:sz w:val="24"/>
        </w:rPr>
        <w:t xml:space="preserve">Il décrit les décotes </w:t>
      </w:r>
      <w:r w:rsidRPr="00B61235">
        <w:rPr>
          <w:rFonts w:ascii="Times New Roman" w:hAnsi="Times New Roman"/>
          <w:sz w:val="24"/>
          <w:u w:val="single"/>
        </w:rPr>
        <w:t>usuelles</w:t>
      </w:r>
      <w:r>
        <w:rPr>
          <w:rStyle w:val="Appelnotedebasdep"/>
          <w:rFonts w:ascii="Times New Roman" w:hAnsi="Times New Roman"/>
          <w:sz w:val="24"/>
        </w:rPr>
        <w:footnoteReference w:id="144"/>
      </w:r>
    </w:p>
    <w:p w:rsidR="008064D7" w:rsidRDefault="008064D7" w:rsidP="000C6D1E">
      <w:pPr>
        <w:pStyle w:val="Paragraphedeliste"/>
        <w:spacing w:line="240" w:lineRule="auto"/>
        <w:ind w:left="786"/>
        <w:rPr>
          <w:rFonts w:ascii="Times New Roman" w:hAnsi="Times New Roman"/>
          <w:sz w:val="24"/>
        </w:rPr>
      </w:pPr>
    </w:p>
    <w:p w:rsidR="008064D7" w:rsidRDefault="008064D7" w:rsidP="000C6D1E">
      <w:pPr>
        <w:pStyle w:val="Paragraphedeliste"/>
        <w:spacing w:line="240" w:lineRule="auto"/>
        <w:ind w:left="786"/>
        <w:rPr>
          <w:rFonts w:ascii="Times New Roman" w:hAnsi="Times New Roman"/>
          <w:sz w:val="24"/>
        </w:rPr>
      </w:pPr>
      <w:r w:rsidRPr="00B61235">
        <w:rPr>
          <w:rFonts w:ascii="Times New Roman" w:hAnsi="Times New Roman"/>
          <w:sz w:val="24"/>
          <w:u w:val="single"/>
        </w:rPr>
        <w:t>La première famille</w:t>
      </w:r>
      <w:r w:rsidR="00B61235">
        <w:rPr>
          <w:rFonts w:ascii="Times New Roman" w:hAnsi="Times New Roman"/>
          <w:sz w:val="24"/>
          <w:u w:val="single"/>
        </w:rPr>
        <w:t xml:space="preserve"> de décotes</w:t>
      </w:r>
      <w:r>
        <w:rPr>
          <w:rFonts w:ascii="Times New Roman" w:hAnsi="Times New Roman"/>
          <w:sz w:val="24"/>
        </w:rPr>
        <w:t xml:space="preserve"> est très classique</w:t>
      </w:r>
      <w:r w:rsidR="00B61235">
        <w:rPr>
          <w:rFonts w:ascii="Times New Roman" w:hAnsi="Times New Roman"/>
          <w:sz w:val="24"/>
        </w:rPr>
        <w:t>. Il s’agit de</w:t>
      </w:r>
      <w:r>
        <w:rPr>
          <w:rFonts w:ascii="Times New Roman" w:hAnsi="Times New Roman"/>
          <w:sz w:val="24"/>
        </w:rPr>
        <w:t xml:space="preserve"> </w:t>
      </w:r>
      <w:r w:rsidRPr="000C6D1E">
        <w:rPr>
          <w:rFonts w:ascii="Times New Roman" w:hAnsi="Times New Roman"/>
          <w:sz w:val="24"/>
        </w:rPr>
        <w:t xml:space="preserve">la </w:t>
      </w:r>
      <w:r w:rsidRPr="009B6E67">
        <w:rPr>
          <w:rFonts w:ascii="Times New Roman" w:hAnsi="Times New Roman"/>
          <w:sz w:val="24"/>
          <w:u w:val="single"/>
        </w:rPr>
        <w:t>décote d’illiquidité</w:t>
      </w:r>
      <w:r w:rsidRPr="00302265">
        <w:rPr>
          <w:rFonts w:ascii="Times New Roman" w:hAnsi="Times New Roman"/>
          <w:sz w:val="24"/>
        </w:rPr>
        <w:t xml:space="preserve"> (absence de</w:t>
      </w:r>
      <w:r>
        <w:rPr>
          <w:rFonts w:ascii="Times New Roman" w:hAnsi="Times New Roman"/>
          <w:sz w:val="24"/>
        </w:rPr>
        <w:t xml:space="preserve"> cotation et de marché liquide). Il faut se référer à la publication pour les déterminer situation par situation et secteur par secteur qu</w:t>
      </w:r>
      <w:r w:rsidR="00B61235">
        <w:rPr>
          <w:rFonts w:ascii="Times New Roman" w:hAnsi="Times New Roman"/>
          <w:sz w:val="24"/>
        </w:rPr>
        <w:t xml:space="preserve">i , selon les études, varient </w:t>
      </w:r>
      <w:r>
        <w:rPr>
          <w:rFonts w:ascii="Times New Roman" w:hAnsi="Times New Roman"/>
          <w:sz w:val="24"/>
        </w:rPr>
        <w:t>de 13% à 45 % (sur des transactions de 1960 à 1998)</w:t>
      </w:r>
      <w:r>
        <w:rPr>
          <w:rStyle w:val="Appelnotedebasdep"/>
          <w:rFonts w:ascii="Times New Roman" w:hAnsi="Times New Roman"/>
          <w:sz w:val="24"/>
        </w:rPr>
        <w:footnoteReference w:id="145"/>
      </w:r>
      <w:r>
        <w:rPr>
          <w:rFonts w:ascii="Times New Roman" w:hAnsi="Times New Roman"/>
          <w:sz w:val="24"/>
        </w:rPr>
        <w:t xml:space="preserve"> ou d’autres qui sont plus précise</w:t>
      </w:r>
      <w:r w:rsidR="00B61235">
        <w:rPr>
          <w:rFonts w:ascii="Times New Roman" w:hAnsi="Times New Roman"/>
          <w:sz w:val="24"/>
        </w:rPr>
        <w:t>s</w:t>
      </w:r>
      <w:r>
        <w:rPr>
          <w:rFonts w:ascii="Times New Roman" w:hAnsi="Times New Roman"/>
          <w:sz w:val="24"/>
        </w:rPr>
        <w:t xml:space="preserve"> selon la typologie des entreprises</w:t>
      </w:r>
      <w:r>
        <w:rPr>
          <w:rStyle w:val="Appelnotedebasdep"/>
          <w:rFonts w:ascii="Times New Roman" w:hAnsi="Times New Roman"/>
          <w:sz w:val="24"/>
        </w:rPr>
        <w:footnoteReference w:id="146"/>
      </w:r>
      <w:r>
        <w:rPr>
          <w:rFonts w:ascii="Times New Roman" w:hAnsi="Times New Roman"/>
          <w:sz w:val="24"/>
        </w:rPr>
        <w:t>, ou d’autres selon les formes de transactions (enregistrées ou non)</w:t>
      </w:r>
      <w:r>
        <w:rPr>
          <w:rStyle w:val="Appelnotedebasdep"/>
          <w:rFonts w:ascii="Times New Roman" w:hAnsi="Times New Roman"/>
          <w:sz w:val="24"/>
        </w:rPr>
        <w:footnoteReference w:id="147"/>
      </w:r>
      <w:r>
        <w:rPr>
          <w:rFonts w:ascii="Times New Roman" w:hAnsi="Times New Roman"/>
          <w:sz w:val="24"/>
        </w:rPr>
        <w:t xml:space="preserve"> ou selon les difficultés de l’entreprise</w:t>
      </w:r>
      <w:r w:rsidR="00B61235">
        <w:rPr>
          <w:rFonts w:ascii="Times New Roman" w:hAnsi="Times New Roman"/>
          <w:sz w:val="24"/>
        </w:rPr>
        <w:t>,</w:t>
      </w:r>
      <w:r>
        <w:rPr>
          <w:rFonts w:ascii="Times New Roman" w:hAnsi="Times New Roman"/>
          <w:sz w:val="24"/>
        </w:rPr>
        <w:t xml:space="preserve"> par exemple</w:t>
      </w:r>
      <w:r w:rsidR="00B61235">
        <w:rPr>
          <w:rFonts w:ascii="Times New Roman" w:hAnsi="Times New Roman"/>
          <w:sz w:val="24"/>
        </w:rPr>
        <w:t>,</w:t>
      </w:r>
      <w:r>
        <w:rPr>
          <w:rFonts w:ascii="Times New Roman" w:hAnsi="Times New Roman"/>
          <w:sz w:val="24"/>
        </w:rPr>
        <w:t xml:space="preserve"> en présence d’entreprise qui ont des difficultés financières ou qui sont engagées dans le développements de produits spéculatifs dans lesquelles la prime </w:t>
      </w:r>
      <w:r w:rsidR="00B61235">
        <w:rPr>
          <w:rFonts w:ascii="Times New Roman" w:hAnsi="Times New Roman"/>
          <w:sz w:val="24"/>
        </w:rPr>
        <w:t>est affectée d’une prime de coût</w:t>
      </w:r>
      <w:r>
        <w:rPr>
          <w:rFonts w:ascii="Times New Roman" w:hAnsi="Times New Roman"/>
          <w:sz w:val="24"/>
        </w:rPr>
        <w:t xml:space="preserve"> supérieur pour avoir l’information pertinente  o</w:t>
      </w:r>
      <w:r w:rsidR="00B61235">
        <w:rPr>
          <w:rFonts w:ascii="Times New Roman" w:hAnsi="Times New Roman"/>
          <w:sz w:val="24"/>
        </w:rPr>
        <w:t>ù</w:t>
      </w:r>
      <w:r>
        <w:rPr>
          <w:rFonts w:ascii="Times New Roman" w:hAnsi="Times New Roman"/>
          <w:sz w:val="24"/>
        </w:rPr>
        <w:t xml:space="preserve"> elle peut atteindre 43% </w:t>
      </w:r>
      <w:r>
        <w:rPr>
          <w:rStyle w:val="Appelnotedebasdep"/>
          <w:rFonts w:ascii="Times New Roman" w:hAnsi="Times New Roman"/>
          <w:sz w:val="24"/>
        </w:rPr>
        <w:footnoteReference w:id="148"/>
      </w:r>
      <w:r>
        <w:rPr>
          <w:rFonts w:ascii="Times New Roman" w:hAnsi="Times New Roman"/>
          <w:sz w:val="24"/>
        </w:rPr>
        <w:t xml:space="preserve"> ou celles qui recherche</w:t>
      </w:r>
      <w:r w:rsidR="00B61235">
        <w:rPr>
          <w:rFonts w:ascii="Times New Roman" w:hAnsi="Times New Roman"/>
          <w:sz w:val="24"/>
        </w:rPr>
        <w:t>nt</w:t>
      </w:r>
      <w:r>
        <w:rPr>
          <w:rFonts w:ascii="Times New Roman" w:hAnsi="Times New Roman"/>
          <w:sz w:val="24"/>
        </w:rPr>
        <w:t xml:space="preserve"> sur des actions cotées à voir la différence de prix selon qu’elles </w:t>
      </w:r>
      <w:r w:rsidR="00777442">
        <w:rPr>
          <w:rFonts w:ascii="Times New Roman" w:hAnsi="Times New Roman"/>
          <w:sz w:val="24"/>
        </w:rPr>
        <w:t>ont eu en</w:t>
      </w:r>
      <w:r>
        <w:rPr>
          <w:rFonts w:ascii="Times New Roman" w:hAnsi="Times New Roman"/>
          <w:sz w:val="24"/>
        </w:rPr>
        <w:t xml:space="preserve"> bourse ou sur des marché</w:t>
      </w:r>
      <w:r w:rsidR="00B61235">
        <w:rPr>
          <w:rFonts w:ascii="Times New Roman" w:hAnsi="Times New Roman"/>
          <w:sz w:val="24"/>
        </w:rPr>
        <w:t>s</w:t>
      </w:r>
      <w:r>
        <w:rPr>
          <w:rFonts w:ascii="Times New Roman" w:hAnsi="Times New Roman"/>
          <w:sz w:val="24"/>
        </w:rPr>
        <w:t xml:space="preserve"> privé</w:t>
      </w:r>
      <w:r w:rsidR="00B61235">
        <w:rPr>
          <w:rFonts w:ascii="Times New Roman" w:hAnsi="Times New Roman"/>
          <w:sz w:val="24"/>
        </w:rPr>
        <w:t>s</w:t>
      </w:r>
      <w:r>
        <w:rPr>
          <w:rFonts w:ascii="Times New Roman" w:hAnsi="Times New Roman"/>
          <w:sz w:val="24"/>
        </w:rPr>
        <w:t xml:space="preserve"> (ce qui implique que la décote de 22% est due à d’autres</w:t>
      </w:r>
      <w:r w:rsidR="00B61235">
        <w:rPr>
          <w:rFonts w:ascii="Times New Roman" w:hAnsi="Times New Roman"/>
          <w:sz w:val="24"/>
        </w:rPr>
        <w:t xml:space="preserve"> facteurs que la négociabilité </w:t>
      </w:r>
      <w:r>
        <w:rPr>
          <w:rStyle w:val="Appelnotedebasdep"/>
          <w:rFonts w:ascii="Times New Roman" w:hAnsi="Times New Roman"/>
          <w:sz w:val="24"/>
        </w:rPr>
        <w:footnoteReference w:id="149"/>
      </w:r>
      <w:r w:rsidR="00B61235">
        <w:rPr>
          <w:rFonts w:ascii="Times New Roman" w:hAnsi="Times New Roman"/>
          <w:sz w:val="24"/>
        </w:rPr>
        <w:t>).</w:t>
      </w:r>
    </w:p>
    <w:p w:rsidR="008064D7" w:rsidRDefault="008064D7" w:rsidP="000C6D1E">
      <w:pPr>
        <w:pStyle w:val="Paragraphedeliste"/>
        <w:spacing w:line="240" w:lineRule="auto"/>
        <w:ind w:left="786"/>
        <w:rPr>
          <w:rFonts w:ascii="Times New Roman" w:hAnsi="Times New Roman"/>
          <w:sz w:val="24"/>
        </w:rPr>
      </w:pPr>
    </w:p>
    <w:p w:rsidR="008064D7" w:rsidRDefault="00B61235" w:rsidP="009B6E67">
      <w:pPr>
        <w:pStyle w:val="Paragraphedeliste"/>
        <w:spacing w:line="240" w:lineRule="auto"/>
        <w:ind w:left="786"/>
        <w:rPr>
          <w:rFonts w:ascii="Times New Roman" w:hAnsi="Times New Roman"/>
          <w:sz w:val="24"/>
        </w:rPr>
      </w:pPr>
      <w:r w:rsidRPr="00B61235">
        <w:rPr>
          <w:rFonts w:ascii="Times New Roman" w:hAnsi="Times New Roman"/>
          <w:sz w:val="24"/>
          <w:u w:val="single"/>
        </w:rPr>
        <w:t>L</w:t>
      </w:r>
      <w:r w:rsidRPr="009B6E67">
        <w:rPr>
          <w:rFonts w:ascii="Times New Roman" w:hAnsi="Times New Roman"/>
          <w:sz w:val="24"/>
          <w:u w:val="single"/>
        </w:rPr>
        <w:t>a seconde famille</w:t>
      </w:r>
      <w:r w:rsidR="008064D7" w:rsidRPr="009B6E67">
        <w:rPr>
          <w:rFonts w:ascii="Times New Roman" w:hAnsi="Times New Roman"/>
          <w:sz w:val="24"/>
          <w:u w:val="single"/>
        </w:rPr>
        <w:t xml:space="preserve"> </w:t>
      </w:r>
      <w:r>
        <w:rPr>
          <w:rFonts w:ascii="Times New Roman" w:hAnsi="Times New Roman"/>
          <w:sz w:val="24"/>
          <w:u w:val="single"/>
        </w:rPr>
        <w:t xml:space="preserve">de décotes </w:t>
      </w:r>
      <w:r w:rsidR="008064D7" w:rsidRPr="009B6E67">
        <w:rPr>
          <w:rFonts w:ascii="Times New Roman" w:hAnsi="Times New Roman"/>
          <w:sz w:val="24"/>
          <w:u w:val="single"/>
        </w:rPr>
        <w:t>tient à la position de l’actionnaire</w:t>
      </w:r>
      <w:r>
        <w:rPr>
          <w:rFonts w:ascii="Times New Roman" w:hAnsi="Times New Roman"/>
          <w:sz w:val="24"/>
          <w:u w:val="single"/>
        </w:rPr>
        <w:t xml:space="preserve"> </w:t>
      </w:r>
      <w:r w:rsidR="008064D7" w:rsidRPr="009B6E67">
        <w:rPr>
          <w:rFonts w:ascii="Times New Roman" w:hAnsi="Times New Roman"/>
          <w:sz w:val="24"/>
          <w:u w:val="single"/>
        </w:rPr>
        <w:t>- décote de minorité et surcote de majorité dite prime de contrôle</w:t>
      </w:r>
      <w:r w:rsidR="008064D7">
        <w:rPr>
          <w:rFonts w:ascii="Times New Roman" w:hAnsi="Times New Roman"/>
          <w:sz w:val="24"/>
        </w:rPr>
        <w:t xml:space="preserve">. </w:t>
      </w:r>
      <w:r>
        <w:rPr>
          <w:rFonts w:ascii="Times New Roman" w:hAnsi="Times New Roman"/>
          <w:sz w:val="24"/>
        </w:rPr>
        <w:t xml:space="preserve">Ces </w:t>
      </w:r>
      <w:r w:rsidR="00777442">
        <w:rPr>
          <w:rFonts w:ascii="Times New Roman" w:hAnsi="Times New Roman"/>
          <w:sz w:val="24"/>
        </w:rPr>
        <w:t>surcotes</w:t>
      </w:r>
      <w:r w:rsidR="008064D7">
        <w:rPr>
          <w:rFonts w:ascii="Times New Roman" w:hAnsi="Times New Roman"/>
          <w:sz w:val="24"/>
        </w:rPr>
        <w:t xml:space="preserve"> sont </w:t>
      </w:r>
      <w:r w:rsidR="008064D7" w:rsidRPr="009B6E67">
        <w:rPr>
          <w:rFonts w:ascii="Times New Roman" w:hAnsi="Times New Roman"/>
          <w:sz w:val="24"/>
        </w:rPr>
        <w:t>souvent pour la prime de majorité entre 30 et 40% sur base des travaux de Prall, la décote de minorité de +-18% selon une étude sur des entreprises de taille supérieure de 1000 millions d’€ entre 1999 et 2007.</w:t>
      </w:r>
    </w:p>
    <w:p w:rsidR="00777442" w:rsidRDefault="00777442" w:rsidP="009B6E67">
      <w:pPr>
        <w:pStyle w:val="Paragraphedeliste"/>
        <w:spacing w:line="240" w:lineRule="auto"/>
        <w:ind w:left="786"/>
        <w:rPr>
          <w:rFonts w:ascii="Times New Roman" w:hAnsi="Times New Roman"/>
          <w:sz w:val="24"/>
        </w:rPr>
      </w:pPr>
    </w:p>
    <w:p w:rsidR="00777442" w:rsidRPr="009B6E67" w:rsidRDefault="00777442" w:rsidP="009B6E67">
      <w:pPr>
        <w:pStyle w:val="Paragraphedeliste"/>
        <w:spacing w:line="240" w:lineRule="auto"/>
        <w:ind w:left="786"/>
        <w:rPr>
          <w:rFonts w:ascii="Times New Roman" w:hAnsi="Times New Roman"/>
          <w:sz w:val="24"/>
        </w:rPr>
      </w:pPr>
      <w:r>
        <w:rPr>
          <w:rFonts w:ascii="Times New Roman" w:hAnsi="Times New Roman"/>
          <w:sz w:val="24"/>
        </w:rPr>
        <w:t>D’autres décotes ou surcotes sont plus spécifiques.</w:t>
      </w:r>
    </w:p>
    <w:p w:rsidR="008064D7" w:rsidRDefault="008064D7" w:rsidP="009202FC">
      <w:pPr>
        <w:pStyle w:val="Paragraphedeliste"/>
        <w:spacing w:line="240" w:lineRule="auto"/>
        <w:ind w:left="786"/>
        <w:rPr>
          <w:rFonts w:ascii="Times New Roman" w:hAnsi="Times New Roman"/>
          <w:sz w:val="24"/>
        </w:rPr>
      </w:pPr>
    </w:p>
    <w:p w:rsidR="008064D7" w:rsidRDefault="008064D7" w:rsidP="009202FC">
      <w:pPr>
        <w:pStyle w:val="Paragraphedeliste"/>
        <w:spacing w:line="240" w:lineRule="auto"/>
        <w:ind w:left="786"/>
        <w:rPr>
          <w:rFonts w:ascii="Times New Roman" w:hAnsi="Times New Roman"/>
          <w:sz w:val="24"/>
        </w:rPr>
      </w:pPr>
      <w:r w:rsidRPr="000C6D1E">
        <w:rPr>
          <w:rFonts w:ascii="Times New Roman" w:hAnsi="Times New Roman"/>
          <w:sz w:val="24"/>
          <w:u w:val="single"/>
        </w:rPr>
        <w:t>La décote ou surcote pour la personne-clé</w:t>
      </w:r>
      <w:r>
        <w:rPr>
          <w:rFonts w:ascii="Times New Roman" w:hAnsi="Times New Roman"/>
          <w:sz w:val="24"/>
        </w:rPr>
        <w:t xml:space="preserve"> – créant ou pouvant créer le résultat attendu – </w:t>
      </w:r>
      <w:r w:rsidR="00777442">
        <w:rPr>
          <w:rFonts w:ascii="Times New Roman" w:hAnsi="Times New Roman"/>
          <w:sz w:val="24"/>
        </w:rPr>
        <w:t>est comprise</w:t>
      </w:r>
      <w:r>
        <w:rPr>
          <w:rFonts w:ascii="Times New Roman" w:hAnsi="Times New Roman"/>
          <w:sz w:val="24"/>
        </w:rPr>
        <w:t xml:space="preserve"> entre 0% et 27% et une moyenne pondérée de 8,65% selon le type de dépendance. La décote de ce type, selon une étude des décisions judiciaires, était entre 9% et 12%.</w:t>
      </w:r>
    </w:p>
    <w:p w:rsidR="008064D7" w:rsidRDefault="008064D7" w:rsidP="009202FC">
      <w:pPr>
        <w:pStyle w:val="Paragraphedeliste"/>
        <w:spacing w:line="240" w:lineRule="auto"/>
        <w:ind w:left="786"/>
        <w:rPr>
          <w:rFonts w:ascii="Times New Roman" w:hAnsi="Times New Roman"/>
          <w:sz w:val="24"/>
        </w:rPr>
      </w:pPr>
    </w:p>
    <w:p w:rsidR="008064D7" w:rsidRDefault="008064D7" w:rsidP="009202FC">
      <w:pPr>
        <w:pStyle w:val="Paragraphedeliste"/>
        <w:spacing w:line="240" w:lineRule="auto"/>
        <w:ind w:left="786"/>
        <w:rPr>
          <w:rFonts w:ascii="Times New Roman" w:hAnsi="Times New Roman"/>
          <w:sz w:val="24"/>
        </w:rPr>
      </w:pPr>
      <w:r w:rsidRPr="000C6D1E">
        <w:rPr>
          <w:rFonts w:ascii="Times New Roman" w:hAnsi="Times New Roman"/>
          <w:sz w:val="24"/>
          <w:u w:val="single"/>
        </w:rPr>
        <w:t>La surcote ou décote pour l’existence d’un passif important</w:t>
      </w:r>
      <w:r>
        <w:rPr>
          <w:rFonts w:ascii="Times New Roman" w:hAnsi="Times New Roman"/>
          <w:sz w:val="24"/>
        </w:rPr>
        <w:t xml:space="preserve"> ou, au contraire, peu important en lien avec le cash-flow </w:t>
      </w:r>
      <w:r w:rsidR="00777442">
        <w:rPr>
          <w:rFonts w:ascii="Times New Roman" w:hAnsi="Times New Roman"/>
          <w:sz w:val="24"/>
        </w:rPr>
        <w:t>peut être appliquée</w:t>
      </w:r>
      <w:r>
        <w:rPr>
          <w:rFonts w:ascii="Times New Roman" w:hAnsi="Times New Roman"/>
          <w:sz w:val="24"/>
        </w:rPr>
        <w:t xml:space="preserve">. </w:t>
      </w:r>
    </w:p>
    <w:p w:rsidR="008064D7" w:rsidRDefault="008064D7" w:rsidP="009202FC">
      <w:pPr>
        <w:pStyle w:val="Paragraphedeliste"/>
        <w:spacing w:line="240" w:lineRule="auto"/>
        <w:ind w:left="786"/>
        <w:rPr>
          <w:rFonts w:ascii="Times New Roman" w:hAnsi="Times New Roman"/>
          <w:sz w:val="24"/>
        </w:rPr>
      </w:pPr>
    </w:p>
    <w:p w:rsidR="008064D7" w:rsidRDefault="008064D7" w:rsidP="009202FC">
      <w:pPr>
        <w:pStyle w:val="Paragraphedeliste"/>
        <w:spacing w:line="240" w:lineRule="auto"/>
        <w:ind w:left="786"/>
        <w:rPr>
          <w:rFonts w:ascii="Times New Roman" w:hAnsi="Times New Roman"/>
          <w:sz w:val="24"/>
        </w:rPr>
      </w:pPr>
      <w:r w:rsidRPr="00777442">
        <w:rPr>
          <w:rFonts w:ascii="Times New Roman" w:hAnsi="Times New Roman"/>
          <w:sz w:val="24"/>
          <w:u w:val="single"/>
        </w:rPr>
        <w:t>Un</w:t>
      </w:r>
      <w:r w:rsidRPr="000C6D1E">
        <w:rPr>
          <w:rFonts w:ascii="Times New Roman" w:hAnsi="Times New Roman"/>
          <w:sz w:val="24"/>
          <w:u w:val="single"/>
        </w:rPr>
        <w:t>e décote ou une surcote pour une activité « homogène »</w:t>
      </w:r>
      <w:r>
        <w:rPr>
          <w:rFonts w:ascii="Times New Roman" w:hAnsi="Times New Roman"/>
          <w:i/>
          <w:sz w:val="24"/>
        </w:rPr>
        <w:t xml:space="preserve"> </w:t>
      </w:r>
      <w:r>
        <w:rPr>
          <w:rFonts w:ascii="Times New Roman" w:hAnsi="Times New Roman"/>
          <w:sz w:val="24"/>
        </w:rPr>
        <w:t>ou, au contraire, « </w:t>
      </w:r>
      <w:r>
        <w:rPr>
          <w:rFonts w:ascii="Times New Roman" w:hAnsi="Times New Roman"/>
          <w:i/>
          <w:sz w:val="24"/>
        </w:rPr>
        <w:t>disparate</w:t>
      </w:r>
      <w:r>
        <w:rPr>
          <w:rFonts w:ascii="Times New Roman" w:hAnsi="Times New Roman"/>
          <w:sz w:val="24"/>
        </w:rPr>
        <w:t> » ou « </w:t>
      </w:r>
      <w:r>
        <w:rPr>
          <w:rFonts w:ascii="Times New Roman" w:hAnsi="Times New Roman"/>
          <w:i/>
          <w:sz w:val="24"/>
        </w:rPr>
        <w:t>complémentaire</w:t>
      </w:r>
      <w:r>
        <w:rPr>
          <w:rFonts w:ascii="Times New Roman" w:hAnsi="Times New Roman"/>
          <w:sz w:val="24"/>
        </w:rPr>
        <w:t> » existe. Les tribunaux américains les reconnaissent.</w:t>
      </w:r>
    </w:p>
    <w:p w:rsidR="008064D7" w:rsidRDefault="008064D7" w:rsidP="009202FC">
      <w:pPr>
        <w:pStyle w:val="Paragraphedeliste"/>
        <w:spacing w:line="240" w:lineRule="auto"/>
        <w:ind w:left="786"/>
        <w:rPr>
          <w:rFonts w:ascii="Times New Roman" w:hAnsi="Times New Roman"/>
          <w:sz w:val="24"/>
        </w:rPr>
      </w:pPr>
    </w:p>
    <w:p w:rsidR="008064D7" w:rsidRDefault="008064D7" w:rsidP="001A2DFB">
      <w:pPr>
        <w:pStyle w:val="Paragraphedeliste"/>
        <w:spacing w:line="240" w:lineRule="auto"/>
        <w:ind w:left="786"/>
        <w:rPr>
          <w:rFonts w:ascii="Times New Roman" w:hAnsi="Times New Roman"/>
          <w:sz w:val="24"/>
        </w:rPr>
      </w:pPr>
      <w:r w:rsidRPr="000C6D1E">
        <w:rPr>
          <w:rFonts w:ascii="Times New Roman" w:hAnsi="Times New Roman"/>
          <w:sz w:val="24"/>
          <w:u w:val="single"/>
        </w:rPr>
        <w:t>Une décote de taille existe (dite décote PME)</w:t>
      </w:r>
      <w:r>
        <w:rPr>
          <w:rFonts w:ascii="Times New Roman" w:hAnsi="Times New Roman"/>
          <w:sz w:val="24"/>
        </w:rPr>
        <w:t xml:space="preserve"> et l’auteur, sur base d’une étude US, la calcule entre 0,36 et 6,36% pour les toutes petites, 4,07 pour les micro-cap et 1,20 pour les Mid-cap. </w:t>
      </w:r>
    </w:p>
    <w:p w:rsidR="008064D7" w:rsidRDefault="008064D7" w:rsidP="001A2DFB">
      <w:pPr>
        <w:pStyle w:val="Paragraphedeliste"/>
        <w:spacing w:line="240" w:lineRule="auto"/>
        <w:ind w:left="786"/>
        <w:rPr>
          <w:rFonts w:ascii="Times New Roman" w:hAnsi="Times New Roman"/>
          <w:sz w:val="24"/>
        </w:rPr>
      </w:pPr>
    </w:p>
    <w:p w:rsidR="008064D7" w:rsidRPr="001A2DFB" w:rsidRDefault="008064D7" w:rsidP="001A2DFB">
      <w:pPr>
        <w:pStyle w:val="Paragraphedeliste"/>
        <w:spacing w:line="240" w:lineRule="auto"/>
        <w:ind w:left="786"/>
        <w:rPr>
          <w:rFonts w:ascii="Times New Roman" w:hAnsi="Times New Roman"/>
          <w:sz w:val="24"/>
        </w:rPr>
      </w:pPr>
      <w:r w:rsidRPr="008D4C02">
        <w:rPr>
          <w:rFonts w:ascii="Times New Roman" w:hAnsi="Times New Roman"/>
          <w:sz w:val="24"/>
          <w:u w:val="single"/>
        </w:rPr>
        <w:t>D’autres décotes</w:t>
      </w:r>
      <w:r>
        <w:rPr>
          <w:rFonts w:ascii="Times New Roman" w:hAnsi="Times New Roman"/>
          <w:sz w:val="24"/>
        </w:rPr>
        <w:t xml:space="preserve"> peuvent être appliquées en présence d’un univers règlementaire prépondérant et susceptible de changement, de holding, de </w:t>
      </w:r>
      <w:r w:rsidR="00777442">
        <w:rPr>
          <w:rFonts w:ascii="Times New Roman" w:hAnsi="Times New Roman"/>
          <w:sz w:val="24"/>
        </w:rPr>
        <w:t xml:space="preserve">la </w:t>
      </w:r>
      <w:r>
        <w:rPr>
          <w:rFonts w:ascii="Times New Roman" w:hAnsi="Times New Roman"/>
          <w:sz w:val="24"/>
        </w:rPr>
        <w:t xml:space="preserve">nécessité d’intervention ou non, de </w:t>
      </w:r>
      <w:r w:rsidR="00777442">
        <w:rPr>
          <w:rFonts w:ascii="Times New Roman" w:hAnsi="Times New Roman"/>
          <w:sz w:val="24"/>
        </w:rPr>
        <w:t xml:space="preserve">présence de </w:t>
      </w:r>
      <w:r>
        <w:rPr>
          <w:rFonts w:ascii="Times New Roman" w:hAnsi="Times New Roman"/>
          <w:sz w:val="24"/>
        </w:rPr>
        <w:t xml:space="preserve">venture capitaliste ou, au contraire, </w:t>
      </w:r>
      <w:r w:rsidR="00777442">
        <w:rPr>
          <w:rFonts w:ascii="Times New Roman" w:hAnsi="Times New Roman"/>
          <w:sz w:val="24"/>
        </w:rPr>
        <w:t>d’</w:t>
      </w:r>
      <w:r>
        <w:rPr>
          <w:rFonts w:ascii="Times New Roman" w:hAnsi="Times New Roman"/>
          <w:sz w:val="24"/>
        </w:rPr>
        <w:t>institutionnel, du coût possible des transactions.</w:t>
      </w:r>
    </w:p>
    <w:p w:rsidR="008064D7" w:rsidRDefault="008064D7" w:rsidP="001A2DFB">
      <w:pPr>
        <w:pStyle w:val="Paragraphedeliste"/>
        <w:spacing w:line="240" w:lineRule="auto"/>
        <w:ind w:left="786"/>
        <w:rPr>
          <w:rFonts w:ascii="Times New Roman" w:hAnsi="Times New Roman"/>
          <w:sz w:val="24"/>
        </w:rPr>
      </w:pPr>
    </w:p>
    <w:p w:rsidR="00777442" w:rsidRDefault="008064D7" w:rsidP="008D4C02">
      <w:pPr>
        <w:spacing w:line="240" w:lineRule="auto"/>
        <w:ind w:left="708"/>
        <w:contextualSpacing/>
        <w:rPr>
          <w:rFonts w:ascii="Times New Roman" w:eastAsiaTheme="minorHAnsi" w:hAnsi="Times New Roman"/>
          <w:sz w:val="24"/>
          <w:szCs w:val="22"/>
          <w:lang w:eastAsia="en-US"/>
        </w:rPr>
      </w:pPr>
      <w:r w:rsidRPr="001A2DFB">
        <w:rPr>
          <w:rFonts w:ascii="Times New Roman" w:eastAsiaTheme="minorHAnsi" w:hAnsi="Times New Roman"/>
          <w:sz w:val="24"/>
          <w:szCs w:val="22"/>
          <w:lang w:eastAsia="en-US"/>
        </w:rPr>
        <w:t>Cette étude</w:t>
      </w:r>
      <w:r>
        <w:rPr>
          <w:rFonts w:ascii="Times New Roman" w:eastAsiaTheme="minorHAnsi" w:hAnsi="Times New Roman"/>
          <w:sz w:val="24"/>
          <w:szCs w:val="22"/>
          <w:lang w:eastAsia="en-US"/>
        </w:rPr>
        <w:t xml:space="preserve"> québécoise</w:t>
      </w:r>
      <w:r w:rsidRPr="001A2DFB">
        <w:rPr>
          <w:rFonts w:ascii="Times New Roman" w:eastAsiaTheme="minorHAnsi" w:hAnsi="Times New Roman"/>
          <w:sz w:val="24"/>
          <w:szCs w:val="22"/>
          <w:vertAlign w:val="superscript"/>
          <w:lang w:eastAsia="en-US"/>
        </w:rPr>
        <w:footnoteReference w:id="150"/>
      </w:r>
      <w:r w:rsidRPr="001A2DFB">
        <w:rPr>
          <w:rFonts w:ascii="Times New Roman" w:eastAsiaTheme="minorHAnsi" w:hAnsi="Times New Roman"/>
          <w:sz w:val="24"/>
          <w:szCs w:val="22"/>
          <w:lang w:eastAsia="en-US"/>
        </w:rPr>
        <w:t xml:space="preserve"> qualifie les risques afférents à une PME sur base d’une analyse de 343 PME entre 10 et 250 employés au Québec en déclinant le risque de gestion, technologique, commercial, de capacité de remboursement, de garante et de défaut de paiement. En fonction des données pour un chiffre d’</w:t>
      </w:r>
      <w:r w:rsidRPr="007C17D3">
        <w:rPr>
          <w:rFonts w:ascii="Times New Roman" w:eastAsiaTheme="minorHAnsi" w:hAnsi="Times New Roman"/>
          <w:sz w:val="24"/>
          <w:szCs w:val="22"/>
          <w:lang w:eastAsia="en-US"/>
        </w:rPr>
        <w:t>affaire</w:t>
      </w:r>
      <w:r w:rsidRPr="001A2DFB">
        <w:rPr>
          <w:rFonts w:ascii="Times New Roman" w:eastAsiaTheme="minorHAnsi" w:hAnsi="Times New Roman"/>
          <w:sz w:val="24"/>
          <w:szCs w:val="22"/>
          <w:lang w:eastAsia="en-US"/>
        </w:rPr>
        <w:t>s de moins de 3 milliards, l</w:t>
      </w:r>
      <w:r>
        <w:rPr>
          <w:rFonts w:ascii="Times New Roman" w:eastAsiaTheme="minorHAnsi" w:hAnsi="Times New Roman"/>
          <w:sz w:val="24"/>
          <w:szCs w:val="22"/>
          <w:lang w:eastAsia="en-US"/>
        </w:rPr>
        <w:t xml:space="preserve">a prime de risque est déclinée. </w:t>
      </w:r>
    </w:p>
    <w:p w:rsidR="00777442" w:rsidRDefault="00777442" w:rsidP="008D4C02">
      <w:pPr>
        <w:spacing w:line="240" w:lineRule="auto"/>
        <w:ind w:left="708"/>
        <w:contextualSpacing/>
        <w:rPr>
          <w:rFonts w:ascii="Times New Roman" w:eastAsiaTheme="minorHAnsi" w:hAnsi="Times New Roman"/>
          <w:sz w:val="24"/>
          <w:szCs w:val="22"/>
          <w:lang w:eastAsia="en-US"/>
        </w:rPr>
      </w:pPr>
    </w:p>
    <w:p w:rsidR="008064D7" w:rsidRPr="001A2DFB" w:rsidRDefault="008064D7" w:rsidP="00777442">
      <w:pPr>
        <w:spacing w:line="240" w:lineRule="auto"/>
        <w:ind w:left="708"/>
        <w:contextualSpacing/>
        <w:rPr>
          <w:rFonts w:ascii="Times New Roman" w:eastAsiaTheme="minorHAnsi" w:hAnsi="Times New Roman"/>
          <w:sz w:val="24"/>
          <w:szCs w:val="22"/>
          <w:lang w:eastAsia="en-US"/>
        </w:rPr>
      </w:pPr>
      <w:r w:rsidRPr="001A2DFB">
        <w:rPr>
          <w:rFonts w:ascii="Times New Roman" w:eastAsiaTheme="minorHAnsi" w:hAnsi="Times New Roman"/>
          <w:sz w:val="24"/>
          <w:szCs w:val="22"/>
          <w:lang w:eastAsia="en-US"/>
        </w:rPr>
        <w:t xml:space="preserve">Dans une </w:t>
      </w:r>
      <w:r w:rsidR="00777442">
        <w:rPr>
          <w:rFonts w:ascii="Times New Roman" w:eastAsiaTheme="minorHAnsi" w:hAnsi="Times New Roman"/>
          <w:sz w:val="24"/>
          <w:szCs w:val="22"/>
          <w:lang w:eastAsia="en-US"/>
        </w:rPr>
        <w:t xml:space="preserve">autre </w:t>
      </w:r>
      <w:r w:rsidRPr="001A2DFB">
        <w:rPr>
          <w:rFonts w:ascii="Times New Roman" w:eastAsiaTheme="minorHAnsi" w:hAnsi="Times New Roman"/>
          <w:sz w:val="24"/>
          <w:szCs w:val="22"/>
          <w:lang w:eastAsia="en-US"/>
        </w:rPr>
        <w:t>étude</w:t>
      </w:r>
      <w:r w:rsidRPr="001A2DFB">
        <w:rPr>
          <w:rFonts w:ascii="Times New Roman" w:eastAsiaTheme="minorHAnsi" w:hAnsi="Times New Roman"/>
          <w:sz w:val="24"/>
          <w:szCs w:val="22"/>
          <w:vertAlign w:val="superscript"/>
          <w:lang w:eastAsia="en-US"/>
        </w:rPr>
        <w:footnoteReference w:id="151"/>
      </w:r>
      <w:r w:rsidRPr="001A2DFB">
        <w:rPr>
          <w:rFonts w:ascii="Times New Roman" w:eastAsiaTheme="minorHAnsi" w:hAnsi="Times New Roman"/>
          <w:sz w:val="24"/>
          <w:szCs w:val="22"/>
          <w:lang w:eastAsia="en-US"/>
        </w:rPr>
        <w:t xml:space="preserve">, le coût du capital (CMPC ou WAAC) est présenté comme le taux de rendement exigé par un </w:t>
      </w:r>
      <w:r w:rsidRPr="001A2DFB">
        <w:rPr>
          <w:rFonts w:ascii="Times New Roman" w:eastAsiaTheme="minorHAnsi" w:hAnsi="Times New Roman"/>
          <w:sz w:val="24"/>
          <w:szCs w:val="22"/>
          <w:u w:val="single"/>
          <w:lang w:eastAsia="en-US"/>
        </w:rPr>
        <w:t>investisseur</w:t>
      </w:r>
      <w:r w:rsidRPr="001A2DFB">
        <w:rPr>
          <w:rFonts w:ascii="Times New Roman" w:eastAsiaTheme="minorHAnsi" w:hAnsi="Times New Roman"/>
          <w:sz w:val="24"/>
          <w:szCs w:val="22"/>
          <w:lang w:eastAsia="en-US"/>
        </w:rPr>
        <w:t xml:space="preserve"> pour </w:t>
      </w:r>
      <w:r w:rsidRPr="001A2DFB">
        <w:rPr>
          <w:rFonts w:ascii="Times New Roman" w:eastAsiaTheme="minorHAnsi" w:hAnsi="Times New Roman"/>
          <w:sz w:val="24"/>
          <w:szCs w:val="22"/>
          <w:u w:val="single"/>
          <w:lang w:eastAsia="en-US"/>
        </w:rPr>
        <w:t>placer des fonds</w:t>
      </w:r>
      <w:r w:rsidRPr="001A2DFB">
        <w:rPr>
          <w:rFonts w:ascii="Times New Roman" w:eastAsiaTheme="minorHAnsi" w:hAnsi="Times New Roman"/>
          <w:sz w:val="24"/>
          <w:szCs w:val="22"/>
          <w:lang w:eastAsia="en-US"/>
        </w:rPr>
        <w:t xml:space="preserve"> dans une </w:t>
      </w:r>
      <w:r w:rsidRPr="001A2DFB">
        <w:rPr>
          <w:rFonts w:ascii="Times New Roman" w:eastAsiaTheme="minorHAnsi" w:hAnsi="Times New Roman"/>
          <w:sz w:val="24"/>
          <w:szCs w:val="22"/>
          <w:u w:val="single"/>
          <w:lang w:eastAsia="en-US"/>
        </w:rPr>
        <w:t>petite entreprise à risque</w:t>
      </w:r>
      <w:r w:rsidRPr="001A2DFB">
        <w:rPr>
          <w:rFonts w:ascii="Times New Roman" w:eastAsiaTheme="minorHAnsi" w:hAnsi="Times New Roman"/>
          <w:sz w:val="24"/>
          <w:szCs w:val="22"/>
          <w:lang w:eastAsia="en-US"/>
        </w:rPr>
        <w:t xml:space="preserve"> par opposition au coût du capital dans les grandes entreprises liquides (CAPM pour Capital </w:t>
      </w:r>
      <w:r w:rsidRPr="007C17D3">
        <w:rPr>
          <w:rFonts w:ascii="Times New Roman" w:eastAsiaTheme="minorHAnsi" w:hAnsi="Times New Roman"/>
          <w:i/>
          <w:sz w:val="24"/>
          <w:szCs w:val="22"/>
          <w:lang w:eastAsia="en-US"/>
        </w:rPr>
        <w:t>Assets</w:t>
      </w:r>
      <w:r w:rsidRPr="001A2DFB">
        <w:rPr>
          <w:rFonts w:ascii="Times New Roman" w:eastAsiaTheme="minorHAnsi" w:hAnsi="Times New Roman"/>
          <w:sz w:val="24"/>
          <w:szCs w:val="22"/>
          <w:lang w:eastAsia="en-US"/>
        </w:rPr>
        <w:t xml:space="preserve"> Pricing Model). Dans le second modèle, la relation linéaire entre le taux de rendement et son risque systémique (le facteur B). Le beta évolue d’après les secteurs et dans le secteur selon le risque concret opérationnel et l’endettement</w:t>
      </w:r>
      <w:r w:rsidRPr="001A2DFB">
        <w:rPr>
          <w:rFonts w:ascii="Times New Roman" w:eastAsiaTheme="minorHAnsi" w:hAnsi="Times New Roman"/>
          <w:sz w:val="24"/>
          <w:szCs w:val="22"/>
          <w:vertAlign w:val="superscript"/>
          <w:lang w:eastAsia="en-US"/>
        </w:rPr>
        <w:footnoteReference w:id="152"/>
      </w:r>
      <w:r w:rsidRPr="001A2DFB">
        <w:rPr>
          <w:rFonts w:ascii="Times New Roman" w:eastAsiaTheme="minorHAnsi" w:hAnsi="Times New Roman"/>
          <w:sz w:val="24"/>
          <w:szCs w:val="22"/>
          <w:lang w:eastAsia="en-US"/>
        </w:rPr>
        <w:t xml:space="preserve"> et selon la taille qui inhère au risque. Pour les PME, ce modèle a d’importantes limites et n’explique pas les prix</w:t>
      </w:r>
      <w:r w:rsidR="00777442">
        <w:rPr>
          <w:rFonts w:ascii="Times New Roman" w:eastAsiaTheme="minorHAnsi" w:hAnsi="Times New Roman"/>
          <w:sz w:val="24"/>
          <w:szCs w:val="22"/>
          <w:lang w:eastAsia="en-US"/>
        </w:rPr>
        <w:t xml:space="preserve"> observés. </w:t>
      </w:r>
      <w:r w:rsidRPr="001A2DFB">
        <w:rPr>
          <w:rFonts w:ascii="Times New Roman" w:eastAsiaTheme="minorHAnsi" w:hAnsi="Times New Roman"/>
          <w:sz w:val="24"/>
          <w:szCs w:val="22"/>
          <w:lang w:eastAsia="en-US"/>
        </w:rPr>
        <w:t>Ainsi, des auteurs décrivent</w:t>
      </w:r>
      <w:r w:rsidRPr="001A2DFB">
        <w:rPr>
          <w:rFonts w:ascii="Times New Roman" w:eastAsiaTheme="minorHAnsi" w:hAnsi="Times New Roman"/>
          <w:sz w:val="24"/>
          <w:szCs w:val="22"/>
          <w:vertAlign w:val="superscript"/>
          <w:lang w:eastAsia="en-US"/>
        </w:rPr>
        <w:footnoteReference w:id="153"/>
      </w:r>
      <w:r w:rsidRPr="001A2DFB">
        <w:rPr>
          <w:rFonts w:ascii="Times New Roman" w:eastAsiaTheme="minorHAnsi" w:hAnsi="Times New Roman"/>
          <w:sz w:val="24"/>
          <w:szCs w:val="22"/>
          <w:lang w:eastAsia="en-US"/>
        </w:rPr>
        <w:t xml:space="preserve"> des taux de 36 à 45% pour des start-up en démarrage, les </w:t>
      </w:r>
      <w:r w:rsidRPr="00242A1C">
        <w:rPr>
          <w:rFonts w:ascii="Times New Roman" w:eastAsiaTheme="minorHAnsi" w:hAnsi="Times New Roman"/>
          <w:i/>
          <w:sz w:val="24"/>
          <w:szCs w:val="22"/>
          <w:lang w:eastAsia="en-US"/>
        </w:rPr>
        <w:t>business angels</w:t>
      </w:r>
      <w:r w:rsidRPr="001A2DFB">
        <w:rPr>
          <w:rFonts w:ascii="Times New Roman" w:eastAsiaTheme="minorHAnsi" w:hAnsi="Times New Roman"/>
          <w:sz w:val="24"/>
          <w:szCs w:val="22"/>
          <w:lang w:eastAsia="en-US"/>
        </w:rPr>
        <w:t xml:space="preserve"> de 30 à 58%, le taux sans risque de 3 à 4%.</w:t>
      </w:r>
    </w:p>
    <w:p w:rsidR="008064D7" w:rsidRPr="001A2DFB" w:rsidRDefault="008064D7" w:rsidP="001A2DFB">
      <w:pPr>
        <w:spacing w:line="240" w:lineRule="auto"/>
        <w:contextualSpacing/>
        <w:rPr>
          <w:rFonts w:ascii="Times New Roman" w:eastAsiaTheme="minorHAnsi" w:hAnsi="Times New Roman"/>
          <w:sz w:val="24"/>
          <w:szCs w:val="22"/>
          <w:lang w:eastAsia="en-US"/>
        </w:rPr>
      </w:pPr>
    </w:p>
    <w:p w:rsidR="008064D7" w:rsidRDefault="008064D7" w:rsidP="00777442">
      <w:pPr>
        <w:spacing w:line="240" w:lineRule="auto"/>
        <w:ind w:left="708"/>
        <w:contextualSpacing/>
        <w:rPr>
          <w:rFonts w:ascii="Times New Roman" w:eastAsiaTheme="minorHAnsi" w:hAnsi="Times New Roman"/>
          <w:sz w:val="24"/>
          <w:szCs w:val="22"/>
          <w:lang w:eastAsia="en-US"/>
        </w:rPr>
      </w:pPr>
      <w:r w:rsidRPr="001A2DFB">
        <w:rPr>
          <w:rFonts w:ascii="Times New Roman" w:eastAsiaTheme="minorHAnsi" w:hAnsi="Times New Roman"/>
          <w:sz w:val="24"/>
          <w:szCs w:val="22"/>
          <w:lang w:eastAsia="en-US"/>
        </w:rPr>
        <w:t xml:space="preserve">Et même avec ce taux, l’analyse montre que les </w:t>
      </w:r>
      <w:r w:rsidR="00777442" w:rsidRPr="00777442">
        <w:rPr>
          <w:rFonts w:ascii="Times New Roman" w:eastAsiaTheme="minorHAnsi" w:hAnsi="Times New Roman"/>
          <w:i/>
          <w:sz w:val="24"/>
          <w:szCs w:val="22"/>
          <w:lang w:eastAsia="en-US"/>
        </w:rPr>
        <w:t>Business</w:t>
      </w:r>
      <w:r w:rsidR="00777442">
        <w:rPr>
          <w:rFonts w:ascii="Times New Roman" w:eastAsiaTheme="minorHAnsi" w:hAnsi="Times New Roman"/>
          <w:sz w:val="24"/>
          <w:szCs w:val="22"/>
          <w:lang w:eastAsia="en-US"/>
        </w:rPr>
        <w:t xml:space="preserve"> </w:t>
      </w:r>
      <w:r w:rsidRPr="00242A1C">
        <w:rPr>
          <w:rFonts w:ascii="Times New Roman" w:eastAsiaTheme="minorHAnsi" w:hAnsi="Times New Roman"/>
          <w:i/>
          <w:sz w:val="24"/>
          <w:szCs w:val="22"/>
          <w:lang w:eastAsia="en-US"/>
        </w:rPr>
        <w:t>angels</w:t>
      </w:r>
      <w:r w:rsidRPr="001A2DFB">
        <w:rPr>
          <w:rFonts w:ascii="Times New Roman" w:eastAsiaTheme="minorHAnsi" w:hAnsi="Times New Roman"/>
          <w:sz w:val="24"/>
          <w:szCs w:val="22"/>
          <w:lang w:eastAsia="en-US"/>
        </w:rPr>
        <w:t xml:space="preserve"> ont obtenu dans 50 à 60% </w:t>
      </w:r>
      <w:r w:rsidR="00777442">
        <w:rPr>
          <w:rFonts w:ascii="Times New Roman" w:eastAsiaTheme="minorHAnsi" w:hAnsi="Times New Roman"/>
          <w:sz w:val="24"/>
          <w:szCs w:val="22"/>
          <w:lang w:eastAsia="en-US"/>
        </w:rPr>
        <w:t xml:space="preserve">des cas </w:t>
      </w:r>
      <w:r w:rsidRPr="001A2DFB">
        <w:rPr>
          <w:rFonts w:ascii="Times New Roman" w:eastAsiaTheme="minorHAnsi" w:hAnsi="Times New Roman"/>
          <w:sz w:val="24"/>
          <w:szCs w:val="22"/>
          <w:lang w:eastAsia="en-US"/>
        </w:rPr>
        <w:t xml:space="preserve">des rendements négatifs, un tiers </w:t>
      </w:r>
      <w:r w:rsidR="00777442">
        <w:rPr>
          <w:rFonts w:ascii="Times New Roman" w:eastAsiaTheme="minorHAnsi" w:hAnsi="Times New Roman"/>
          <w:sz w:val="24"/>
          <w:szCs w:val="22"/>
          <w:lang w:eastAsia="en-US"/>
        </w:rPr>
        <w:t>des cas avec</w:t>
      </w:r>
      <w:r w:rsidRPr="001A2DFB">
        <w:rPr>
          <w:rFonts w:ascii="Times New Roman" w:eastAsiaTheme="minorHAnsi" w:hAnsi="Times New Roman"/>
          <w:sz w:val="24"/>
          <w:szCs w:val="22"/>
          <w:lang w:eastAsia="en-US"/>
        </w:rPr>
        <w:t xml:space="preserve"> une perte totale, la moitié la récupération de la mise, 14,5% des placements ré</w:t>
      </w:r>
      <w:r>
        <w:rPr>
          <w:rFonts w:ascii="Times New Roman" w:eastAsiaTheme="minorHAnsi" w:hAnsi="Times New Roman"/>
          <w:sz w:val="24"/>
          <w:szCs w:val="22"/>
          <w:lang w:eastAsia="en-US"/>
        </w:rPr>
        <w:t xml:space="preserve">alisés </w:t>
      </w:r>
      <w:r w:rsidR="00777442">
        <w:rPr>
          <w:rFonts w:ascii="Times New Roman" w:eastAsiaTheme="minorHAnsi" w:hAnsi="Times New Roman"/>
          <w:sz w:val="24"/>
          <w:szCs w:val="22"/>
          <w:lang w:eastAsia="en-US"/>
        </w:rPr>
        <w:t>avec un multiple de 5</w:t>
      </w:r>
      <w:r>
        <w:rPr>
          <w:rFonts w:ascii="Times New Roman" w:eastAsiaTheme="minorHAnsi" w:hAnsi="Times New Roman"/>
          <w:sz w:val="24"/>
          <w:szCs w:val="22"/>
          <w:lang w:eastAsia="en-US"/>
        </w:rPr>
        <w:t xml:space="preserve"> et 5,3% des cas </w:t>
      </w:r>
      <w:r w:rsidR="00777442">
        <w:rPr>
          <w:rFonts w:ascii="Times New Roman" w:eastAsiaTheme="minorHAnsi" w:hAnsi="Times New Roman"/>
          <w:sz w:val="24"/>
          <w:szCs w:val="22"/>
          <w:lang w:eastAsia="en-US"/>
        </w:rPr>
        <w:t>avec un multiple plus élevé</w:t>
      </w:r>
      <w:r>
        <w:rPr>
          <w:rFonts w:ascii="Times New Roman" w:eastAsiaTheme="minorHAnsi" w:hAnsi="Times New Roman"/>
          <w:sz w:val="24"/>
          <w:szCs w:val="22"/>
          <w:lang w:eastAsia="en-US"/>
        </w:rPr>
        <w:t xml:space="preserve"> </w:t>
      </w:r>
      <w:r w:rsidRPr="00497A97">
        <w:rPr>
          <w:rFonts w:ascii="Times New Roman" w:eastAsiaTheme="minorHAnsi" w:hAnsi="Times New Roman"/>
          <w:sz w:val="24"/>
          <w:szCs w:val="22"/>
          <w:vertAlign w:val="superscript"/>
          <w:lang w:eastAsia="en-US"/>
        </w:rPr>
        <w:footnoteReference w:id="154"/>
      </w:r>
      <w:r w:rsidRPr="00497A97">
        <w:rPr>
          <w:rFonts w:ascii="Times New Roman" w:eastAsiaTheme="minorHAnsi" w:hAnsi="Times New Roman"/>
          <w:sz w:val="24"/>
          <w:szCs w:val="22"/>
          <w:lang w:eastAsia="en-US"/>
        </w:rPr>
        <w:t>.</w:t>
      </w:r>
      <w:r w:rsidRPr="001A2DFB">
        <w:rPr>
          <w:rFonts w:ascii="Times New Roman" w:eastAsiaTheme="minorHAnsi" w:hAnsi="Times New Roman"/>
          <w:sz w:val="24"/>
          <w:szCs w:val="22"/>
          <w:lang w:eastAsia="en-US"/>
        </w:rPr>
        <w:t xml:space="preserve"> Le taux moyen entre 1995 </w:t>
      </w:r>
      <w:r w:rsidR="00777442">
        <w:rPr>
          <w:rFonts w:ascii="Times New Roman" w:eastAsiaTheme="minorHAnsi" w:hAnsi="Times New Roman"/>
          <w:sz w:val="24"/>
          <w:szCs w:val="22"/>
          <w:lang w:eastAsia="en-US"/>
        </w:rPr>
        <w:t xml:space="preserve">et 2005 a été de -3% au Canada. </w:t>
      </w:r>
      <w:r w:rsidRPr="001A2DFB">
        <w:rPr>
          <w:rFonts w:ascii="Times New Roman" w:eastAsiaTheme="minorHAnsi" w:hAnsi="Times New Roman"/>
          <w:sz w:val="24"/>
          <w:szCs w:val="22"/>
          <w:lang w:eastAsia="en-US"/>
        </w:rPr>
        <w:t>L’étude examine</w:t>
      </w:r>
      <w:r w:rsidR="00777442">
        <w:rPr>
          <w:rFonts w:ascii="Times New Roman" w:eastAsiaTheme="minorHAnsi" w:hAnsi="Times New Roman"/>
          <w:sz w:val="24"/>
          <w:szCs w:val="22"/>
          <w:lang w:eastAsia="en-US"/>
        </w:rPr>
        <w:t>, sur cette base,</w:t>
      </w:r>
      <w:r w:rsidRPr="001A2DFB">
        <w:rPr>
          <w:rFonts w:ascii="Times New Roman" w:eastAsiaTheme="minorHAnsi" w:hAnsi="Times New Roman"/>
          <w:sz w:val="24"/>
          <w:szCs w:val="22"/>
          <w:lang w:eastAsia="en-US"/>
        </w:rPr>
        <w:t xml:space="preserve"> les différentes primes</w:t>
      </w:r>
      <w:r w:rsidRPr="001A2DFB">
        <w:rPr>
          <w:rFonts w:ascii="Times New Roman" w:eastAsiaTheme="minorHAnsi" w:hAnsi="Times New Roman"/>
          <w:sz w:val="24"/>
          <w:szCs w:val="22"/>
          <w:vertAlign w:val="superscript"/>
          <w:lang w:eastAsia="en-US"/>
        </w:rPr>
        <w:footnoteReference w:id="155"/>
      </w:r>
      <w:r w:rsidRPr="001A2DFB">
        <w:rPr>
          <w:rFonts w:ascii="Times New Roman" w:eastAsiaTheme="minorHAnsi" w:hAnsi="Times New Roman"/>
          <w:sz w:val="24"/>
          <w:szCs w:val="22"/>
          <w:lang w:eastAsia="en-US"/>
        </w:rPr>
        <w:t xml:space="preserve"> : taux sans risque + prime de risque de marché + prime de taille + prime spécifique à l’entreprise. </w:t>
      </w:r>
    </w:p>
    <w:p w:rsidR="008064D7" w:rsidRDefault="008064D7" w:rsidP="001A2DFB">
      <w:pPr>
        <w:spacing w:line="240" w:lineRule="auto"/>
        <w:ind w:left="708"/>
        <w:contextualSpacing/>
        <w:rPr>
          <w:rFonts w:ascii="Times New Roman" w:eastAsiaTheme="minorHAnsi" w:hAnsi="Times New Roman"/>
          <w:sz w:val="24"/>
          <w:szCs w:val="22"/>
          <w:lang w:eastAsia="en-US"/>
        </w:rPr>
      </w:pPr>
    </w:p>
    <w:p w:rsidR="008064D7" w:rsidRPr="001A2DFB" w:rsidRDefault="008064D7" w:rsidP="001A2DFB">
      <w:pPr>
        <w:spacing w:line="240" w:lineRule="auto"/>
        <w:ind w:left="708"/>
        <w:contextualSpacing/>
        <w:rPr>
          <w:rFonts w:ascii="Times New Roman" w:eastAsiaTheme="minorHAnsi" w:hAnsi="Times New Roman"/>
          <w:sz w:val="24"/>
          <w:szCs w:val="22"/>
          <w:lang w:eastAsia="en-US"/>
        </w:rPr>
      </w:pPr>
      <w:r w:rsidRPr="001A2DFB">
        <w:rPr>
          <w:rFonts w:ascii="Times New Roman" w:eastAsiaTheme="minorHAnsi" w:hAnsi="Times New Roman"/>
          <w:sz w:val="24"/>
          <w:szCs w:val="22"/>
          <w:lang w:eastAsia="en-US"/>
        </w:rPr>
        <w:t>Le rapport annuel Grabrowski</w:t>
      </w:r>
      <w:r w:rsidRPr="001A2DFB">
        <w:rPr>
          <w:rFonts w:ascii="Times New Roman" w:eastAsiaTheme="minorHAnsi" w:hAnsi="Times New Roman"/>
          <w:sz w:val="24"/>
          <w:szCs w:val="22"/>
          <w:vertAlign w:val="superscript"/>
          <w:lang w:eastAsia="en-US"/>
        </w:rPr>
        <w:footnoteReference w:id="156"/>
      </w:r>
      <w:r w:rsidRPr="001A2DFB">
        <w:rPr>
          <w:rFonts w:ascii="Times New Roman" w:eastAsiaTheme="minorHAnsi" w:hAnsi="Times New Roman"/>
          <w:sz w:val="24"/>
          <w:szCs w:val="22"/>
          <w:lang w:eastAsia="en-US"/>
        </w:rPr>
        <w:t xml:space="preserve"> donne les estimations annuelles de ces primes (par exemple, en 2010 : prime de risque de marché 4 à 5%, prime de taille 3 à 4%).</w:t>
      </w:r>
    </w:p>
    <w:p w:rsidR="008064D7" w:rsidRPr="001A2DFB" w:rsidRDefault="008064D7" w:rsidP="001A2DFB">
      <w:pPr>
        <w:spacing w:line="240" w:lineRule="auto"/>
        <w:contextualSpacing/>
        <w:rPr>
          <w:rFonts w:ascii="Times New Roman" w:eastAsiaTheme="minorHAnsi" w:hAnsi="Times New Roman"/>
          <w:sz w:val="24"/>
          <w:szCs w:val="22"/>
          <w:lang w:eastAsia="en-US"/>
        </w:rPr>
      </w:pPr>
    </w:p>
    <w:p w:rsidR="008064D7"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Contrôle des valeurs et décotes par les tribunaux.</w:t>
      </w:r>
      <w:r>
        <w:rPr>
          <w:rFonts w:ascii="Times New Roman" w:hAnsi="Times New Roman"/>
          <w:sz w:val="24"/>
        </w:rPr>
        <w:t xml:space="preserve"> Ceci étant, l’exercice</w:t>
      </w:r>
      <w:r w:rsidR="00777442">
        <w:rPr>
          <w:rFonts w:ascii="Times New Roman" w:hAnsi="Times New Roman"/>
          <w:sz w:val="24"/>
        </w:rPr>
        <w:t xml:space="preserve"> de valorisation par un expert doit être contrôlé par les Cours et les tribunaux</w:t>
      </w:r>
      <w:r>
        <w:rPr>
          <w:rFonts w:ascii="Times New Roman" w:hAnsi="Times New Roman"/>
          <w:sz w:val="24"/>
        </w:rPr>
        <w:t xml:space="preserve">. Sans </w:t>
      </w:r>
      <w:r w:rsidRPr="007C17D3">
        <w:rPr>
          <w:rFonts w:ascii="Times New Roman" w:hAnsi="Times New Roman"/>
          <w:i/>
          <w:sz w:val="24"/>
        </w:rPr>
        <w:t>Fair</w:t>
      </w:r>
      <w:r>
        <w:rPr>
          <w:rFonts w:ascii="Times New Roman" w:hAnsi="Times New Roman"/>
          <w:sz w:val="24"/>
        </w:rPr>
        <w:t xml:space="preserve">e un relevé </w:t>
      </w:r>
      <w:r>
        <w:rPr>
          <w:rFonts w:ascii="Times New Roman" w:hAnsi="Times New Roman"/>
          <w:sz w:val="24"/>
        </w:rPr>
        <w:lastRenderedPageBreak/>
        <w:t>exhaustif qui dépasse le cadre de la présente contribution, notons par exemple</w:t>
      </w:r>
      <w:r w:rsidR="00777442">
        <w:rPr>
          <w:rFonts w:ascii="Times New Roman" w:hAnsi="Times New Roman"/>
          <w:sz w:val="24"/>
        </w:rPr>
        <w:t xml:space="preserve"> en Belgique</w:t>
      </w:r>
      <w:r>
        <w:rPr>
          <w:rFonts w:ascii="Times New Roman" w:hAnsi="Times New Roman"/>
          <w:sz w:val="24"/>
        </w:rPr>
        <w:t> :</w:t>
      </w:r>
    </w:p>
    <w:p w:rsidR="008064D7" w:rsidRDefault="008064D7" w:rsidP="00F506FE">
      <w:pPr>
        <w:pStyle w:val="Paragraphedeliste"/>
        <w:spacing w:line="240" w:lineRule="auto"/>
        <w:ind w:left="786"/>
        <w:rPr>
          <w:rFonts w:ascii="Times New Roman" w:hAnsi="Times New Roman"/>
          <w:sz w:val="24"/>
        </w:rPr>
      </w:pPr>
    </w:p>
    <w:p w:rsidR="008064D7" w:rsidRDefault="008064D7" w:rsidP="007565AA">
      <w:pPr>
        <w:pStyle w:val="Paragraphedeliste"/>
        <w:numPr>
          <w:ilvl w:val="0"/>
          <w:numId w:val="7"/>
        </w:numPr>
        <w:spacing w:line="240" w:lineRule="auto"/>
        <w:rPr>
          <w:rFonts w:ascii="Times New Roman" w:hAnsi="Times New Roman"/>
          <w:sz w:val="24"/>
        </w:rPr>
      </w:pPr>
      <w:r w:rsidRPr="007E15DC">
        <w:rPr>
          <w:rFonts w:ascii="Times New Roman" w:hAnsi="Times New Roman"/>
          <w:sz w:val="24"/>
          <w:u w:val="single"/>
        </w:rPr>
        <w:t>Cour de Cassation</w:t>
      </w:r>
      <w:r>
        <w:rPr>
          <w:rFonts w:ascii="Times New Roman" w:hAnsi="Times New Roman"/>
          <w:sz w:val="24"/>
          <w:u w:val="single"/>
        </w:rPr>
        <w:t xml:space="preserve"> du</w:t>
      </w:r>
      <w:r w:rsidRPr="007E15DC">
        <w:rPr>
          <w:rFonts w:ascii="Times New Roman" w:hAnsi="Times New Roman"/>
          <w:sz w:val="24"/>
          <w:u w:val="single"/>
        </w:rPr>
        <w:t xml:space="preserve"> 28 avril 2014</w:t>
      </w:r>
      <w:r>
        <w:rPr>
          <w:rStyle w:val="Appelnotedebasdep"/>
          <w:rFonts w:ascii="Times New Roman" w:hAnsi="Times New Roman"/>
          <w:sz w:val="24"/>
        </w:rPr>
        <w:footnoteReference w:id="157"/>
      </w:r>
      <w:r>
        <w:rPr>
          <w:rFonts w:ascii="Times New Roman" w:hAnsi="Times New Roman"/>
          <w:sz w:val="24"/>
        </w:rPr>
        <w:t> : admet que le juge apprécie l’importance de la décote d’illiquidité sur une appréciation de fait et admet que le juge doit apprécier la valeur des différentes parts (en l’espèce, des actions et des parts de fondateur) de manière différente sur les faits en justifiant de sa position ici de les é</w:t>
      </w:r>
      <w:r w:rsidRPr="007C17D3">
        <w:rPr>
          <w:rFonts w:ascii="Times New Roman" w:hAnsi="Times New Roman"/>
          <w:i/>
          <w:sz w:val="24"/>
        </w:rPr>
        <w:t>value</w:t>
      </w:r>
      <w:r>
        <w:rPr>
          <w:rFonts w:ascii="Times New Roman" w:hAnsi="Times New Roman"/>
          <w:sz w:val="24"/>
        </w:rPr>
        <w:t>r de la même manière ;</w:t>
      </w:r>
    </w:p>
    <w:p w:rsidR="008064D7" w:rsidRDefault="008064D7" w:rsidP="007565AA">
      <w:pPr>
        <w:pStyle w:val="Paragraphedeliste"/>
        <w:numPr>
          <w:ilvl w:val="0"/>
          <w:numId w:val="7"/>
        </w:numPr>
        <w:spacing w:line="240" w:lineRule="auto"/>
        <w:rPr>
          <w:rFonts w:ascii="Times New Roman" w:hAnsi="Times New Roman"/>
          <w:sz w:val="24"/>
        </w:rPr>
      </w:pPr>
      <w:r w:rsidRPr="007E15DC">
        <w:rPr>
          <w:rFonts w:ascii="Times New Roman" w:hAnsi="Times New Roman"/>
          <w:sz w:val="24"/>
          <w:u w:val="single"/>
        </w:rPr>
        <w:t>Cour de Cassation</w:t>
      </w:r>
      <w:r>
        <w:rPr>
          <w:rFonts w:ascii="Times New Roman" w:hAnsi="Times New Roman"/>
          <w:sz w:val="24"/>
          <w:u w:val="single"/>
        </w:rPr>
        <w:t xml:space="preserve"> du</w:t>
      </w:r>
      <w:r w:rsidRPr="007E15DC">
        <w:rPr>
          <w:rFonts w:ascii="Times New Roman" w:hAnsi="Times New Roman"/>
          <w:sz w:val="24"/>
          <w:u w:val="single"/>
        </w:rPr>
        <w:t xml:space="preserve"> 15 décembre</w:t>
      </w:r>
      <w:r>
        <w:rPr>
          <w:rFonts w:ascii="Times New Roman" w:hAnsi="Times New Roman"/>
          <w:sz w:val="24"/>
          <w:u w:val="single"/>
        </w:rPr>
        <w:t xml:space="preserve"> 2017</w:t>
      </w:r>
      <w:r w:rsidRPr="007E15DC">
        <w:rPr>
          <w:rStyle w:val="Appelnotedebasdep"/>
          <w:rFonts w:ascii="Times New Roman" w:hAnsi="Times New Roman"/>
          <w:sz w:val="24"/>
        </w:rPr>
        <w:footnoteReference w:id="158"/>
      </w:r>
      <w:r>
        <w:rPr>
          <w:rFonts w:ascii="Times New Roman" w:hAnsi="Times New Roman"/>
          <w:sz w:val="24"/>
        </w:rPr>
        <w:t> : l’évaluation se fait à la date de cession ;</w:t>
      </w:r>
    </w:p>
    <w:p w:rsidR="008064D7" w:rsidRDefault="008064D7" w:rsidP="007565AA">
      <w:pPr>
        <w:pStyle w:val="Paragraphedeliste"/>
        <w:numPr>
          <w:ilvl w:val="0"/>
          <w:numId w:val="7"/>
        </w:numPr>
        <w:spacing w:line="240" w:lineRule="auto"/>
        <w:rPr>
          <w:rFonts w:ascii="Times New Roman" w:hAnsi="Times New Roman"/>
          <w:sz w:val="24"/>
        </w:rPr>
      </w:pPr>
      <w:r>
        <w:rPr>
          <w:rFonts w:ascii="Times New Roman" w:hAnsi="Times New Roman"/>
          <w:sz w:val="24"/>
          <w:u w:val="single"/>
        </w:rPr>
        <w:t>Cour de Cassation du 30 novembre 2017</w:t>
      </w:r>
      <w:r>
        <w:rPr>
          <w:rStyle w:val="Appelnotedebasdep"/>
          <w:rFonts w:ascii="Times New Roman" w:hAnsi="Times New Roman"/>
          <w:sz w:val="24"/>
        </w:rPr>
        <w:footnoteReference w:id="159"/>
      </w:r>
      <w:r>
        <w:rPr>
          <w:rFonts w:ascii="Times New Roman" w:hAnsi="Times New Roman"/>
          <w:sz w:val="24"/>
        </w:rPr>
        <w:t> : le juge peut se baser sur les méthodes d’évaluation retenue par l’expert si elles ont été longuement débattues ;</w:t>
      </w:r>
    </w:p>
    <w:p w:rsidR="008064D7" w:rsidRPr="007E15DC" w:rsidRDefault="008064D7" w:rsidP="007565AA">
      <w:pPr>
        <w:pStyle w:val="Paragraphedeliste"/>
        <w:numPr>
          <w:ilvl w:val="0"/>
          <w:numId w:val="7"/>
        </w:numPr>
        <w:spacing w:line="240" w:lineRule="auto"/>
        <w:rPr>
          <w:rFonts w:ascii="Times New Roman" w:hAnsi="Times New Roman"/>
          <w:sz w:val="24"/>
        </w:rPr>
      </w:pPr>
      <w:r w:rsidRPr="007E15DC">
        <w:rPr>
          <w:rFonts w:ascii="Times New Roman" w:hAnsi="Times New Roman"/>
          <w:sz w:val="24"/>
          <w:u w:val="single"/>
        </w:rPr>
        <w:t>Cour d’appel de Bruxelles du 28 juin 2012</w:t>
      </w:r>
      <w:r w:rsidRPr="007E15DC">
        <w:rPr>
          <w:rStyle w:val="Appelnotedebasdep"/>
          <w:rFonts w:ascii="Times New Roman" w:hAnsi="Times New Roman"/>
          <w:sz w:val="24"/>
        </w:rPr>
        <w:footnoteReference w:id="160"/>
      </w:r>
      <w:r w:rsidRPr="007E15DC">
        <w:rPr>
          <w:rFonts w:ascii="Times New Roman" w:hAnsi="Times New Roman"/>
          <w:sz w:val="24"/>
        </w:rPr>
        <w:t> :</w:t>
      </w:r>
      <w:r>
        <w:rPr>
          <w:rFonts w:ascii="Times New Roman" w:hAnsi="Times New Roman"/>
          <w:sz w:val="24"/>
        </w:rPr>
        <w:t xml:space="preserve"> qui examine les méthodes d’évaluation pertinente sur la décote de holding (20%), la décote d’illiquidité (75%) et la prime de contrôle (25%).</w:t>
      </w:r>
    </w:p>
    <w:p w:rsidR="008064D7" w:rsidRDefault="008064D7" w:rsidP="00AF45D5">
      <w:pPr>
        <w:pStyle w:val="Paragraphedeliste"/>
        <w:spacing w:line="240" w:lineRule="auto"/>
        <w:ind w:left="786"/>
        <w:rPr>
          <w:rFonts w:ascii="Times New Roman" w:hAnsi="Times New Roman"/>
          <w:sz w:val="24"/>
        </w:rPr>
      </w:pPr>
    </w:p>
    <w:p w:rsidR="008064D7" w:rsidRPr="009A4B61" w:rsidRDefault="008064D7" w:rsidP="00AF45D5">
      <w:pPr>
        <w:pStyle w:val="Paragraphedeliste"/>
        <w:numPr>
          <w:ilvl w:val="0"/>
          <w:numId w:val="2"/>
        </w:numPr>
        <w:spacing w:line="240" w:lineRule="auto"/>
        <w:rPr>
          <w:rFonts w:ascii="Times New Roman" w:hAnsi="Times New Roman"/>
          <w:sz w:val="24"/>
          <w:u w:val="single"/>
        </w:rPr>
      </w:pPr>
      <w:r w:rsidRPr="009A4B61">
        <w:rPr>
          <w:rFonts w:ascii="Times New Roman" w:hAnsi="Times New Roman"/>
          <w:sz w:val="24"/>
          <w:u w:val="single"/>
        </w:rPr>
        <w:t xml:space="preserve">Les </w:t>
      </w:r>
      <w:r w:rsidR="00777442">
        <w:rPr>
          <w:rFonts w:ascii="Times New Roman" w:hAnsi="Times New Roman"/>
          <w:sz w:val="24"/>
          <w:u w:val="single"/>
        </w:rPr>
        <w:t>propositions de définition de la valeur</w:t>
      </w:r>
      <w:r>
        <w:rPr>
          <w:rFonts w:ascii="Times New Roman" w:hAnsi="Times New Roman"/>
          <w:sz w:val="24"/>
          <w:u w:val="single"/>
        </w:rPr>
        <w:t xml:space="preserve"> </w:t>
      </w:r>
      <w:r w:rsidRPr="007C17D3">
        <w:rPr>
          <w:rFonts w:ascii="Times New Roman" w:hAnsi="Times New Roman"/>
          <w:i/>
          <w:sz w:val="24"/>
          <w:u w:val="single"/>
        </w:rPr>
        <w:t>going-concern</w:t>
      </w:r>
      <w:r>
        <w:rPr>
          <w:rFonts w:ascii="Times New Roman" w:hAnsi="Times New Roman"/>
          <w:sz w:val="24"/>
        </w:rPr>
        <w:t>. On peut déduire de ceci quatre</w:t>
      </w:r>
      <w:r w:rsidR="00777442">
        <w:rPr>
          <w:rFonts w:ascii="Times New Roman" w:hAnsi="Times New Roman"/>
          <w:sz w:val="24"/>
        </w:rPr>
        <w:t xml:space="preserve"> définitions de</w:t>
      </w:r>
      <w:r>
        <w:rPr>
          <w:rFonts w:ascii="Times New Roman" w:hAnsi="Times New Roman"/>
          <w:sz w:val="24"/>
        </w:rPr>
        <w:t xml:space="preserve"> valeurs </w:t>
      </w:r>
      <w:r w:rsidRPr="007C17D3">
        <w:rPr>
          <w:rFonts w:ascii="Times New Roman" w:hAnsi="Times New Roman"/>
          <w:i/>
          <w:sz w:val="24"/>
        </w:rPr>
        <w:t>going-concern</w:t>
      </w:r>
      <w:r w:rsidRPr="0040709E">
        <w:rPr>
          <w:rFonts w:ascii="Times New Roman" w:hAnsi="Times New Roman"/>
          <w:i/>
          <w:sz w:val="24"/>
        </w:rPr>
        <w:t xml:space="preserve"> </w:t>
      </w:r>
      <w:r>
        <w:rPr>
          <w:rFonts w:ascii="Times New Roman" w:hAnsi="Times New Roman"/>
          <w:sz w:val="24"/>
        </w:rPr>
        <w:t>spécifiques aux entreprises en difficulté et une spécifique aux entreprises qui ne sont pas en difficulté.</w:t>
      </w:r>
    </w:p>
    <w:p w:rsidR="008064D7" w:rsidRDefault="008064D7" w:rsidP="00AF45D5">
      <w:pPr>
        <w:pStyle w:val="Paragraphedeliste"/>
        <w:spacing w:line="240" w:lineRule="auto"/>
        <w:ind w:left="786"/>
        <w:rPr>
          <w:rFonts w:ascii="Times New Roman" w:hAnsi="Times New Roman"/>
          <w:sz w:val="24"/>
          <w:u w:val="single"/>
        </w:rPr>
      </w:pPr>
    </w:p>
    <w:p w:rsidR="008064D7" w:rsidRPr="00A46F7E" w:rsidRDefault="008064D7" w:rsidP="00AF45D5">
      <w:pPr>
        <w:pStyle w:val="Paragraphedeliste"/>
        <w:numPr>
          <w:ilvl w:val="0"/>
          <w:numId w:val="23"/>
        </w:numPr>
        <w:spacing w:line="240" w:lineRule="auto"/>
        <w:rPr>
          <w:rFonts w:ascii="Times New Roman" w:hAnsi="Times New Roman"/>
          <w:sz w:val="24"/>
          <w:u w:val="single"/>
        </w:rPr>
      </w:pPr>
      <w:r w:rsidRPr="009A4B61">
        <w:rPr>
          <w:rFonts w:ascii="Times New Roman" w:hAnsi="Times New Roman"/>
          <w:sz w:val="24"/>
          <w:u w:val="single"/>
        </w:rPr>
        <w:t>Valeur</w:t>
      </w:r>
      <w:r>
        <w:rPr>
          <w:rFonts w:ascii="Times New Roman" w:hAnsi="Times New Roman"/>
          <w:sz w:val="24"/>
          <w:u w:val="single"/>
        </w:rPr>
        <w:t xml:space="preserve"> </w:t>
      </w:r>
      <w:r w:rsidRPr="007C17D3">
        <w:rPr>
          <w:rFonts w:ascii="Times New Roman" w:hAnsi="Times New Roman"/>
          <w:i/>
          <w:sz w:val="24"/>
          <w:u w:val="single"/>
        </w:rPr>
        <w:t>going-concern</w:t>
      </w:r>
      <w:r>
        <w:rPr>
          <w:rFonts w:ascii="Times New Roman" w:hAnsi="Times New Roman"/>
          <w:sz w:val="24"/>
          <w:u w:val="single"/>
        </w:rPr>
        <w:t xml:space="preserve"> d’une petite et moyenne entité dans une activité moyennement rentable</w:t>
      </w:r>
      <w:r>
        <w:rPr>
          <w:rFonts w:ascii="Times New Roman" w:hAnsi="Times New Roman"/>
          <w:sz w:val="24"/>
        </w:rPr>
        <w:t xml:space="preserve">. La valeur DCF sera affectée d’un WAAC incluant des décotes importantes – illiquidité – taille – Keyman – de procédure. Les comparables seront assez peu pertinents et souvent assez faibles. La valeur </w:t>
      </w:r>
      <w:r w:rsidRPr="007C17D3">
        <w:rPr>
          <w:rFonts w:ascii="Times New Roman" w:hAnsi="Times New Roman"/>
          <w:i/>
          <w:sz w:val="24"/>
        </w:rPr>
        <w:t>going-concern</w:t>
      </w:r>
      <w:r>
        <w:rPr>
          <w:rFonts w:ascii="Times New Roman" w:hAnsi="Times New Roman"/>
          <w:sz w:val="24"/>
        </w:rPr>
        <w:t xml:space="preserve"> n’est pas très éloignée de la valeur liquidative en activité. Le plan financier et les hypothèses sont assez incertains, peu documentés et très dépendantes des circonstances générales de marché et l’entreprise a peu de prise sur elles. L’entreprise est sous-financée et a souvent été en-dessous des prévisions ou structurellement déficitaire. Sa restructuration ne laisse pas un fonds de roulement très confortable. Elle est assez dépendante de ses clients (acompte) ou fournisseurs (délai de paiement).</w:t>
      </w:r>
    </w:p>
    <w:p w:rsidR="008064D7" w:rsidRPr="009A4B61" w:rsidRDefault="008064D7" w:rsidP="00AF45D5">
      <w:pPr>
        <w:pStyle w:val="Paragraphedeliste"/>
        <w:spacing w:line="240" w:lineRule="auto"/>
        <w:ind w:left="1776"/>
        <w:rPr>
          <w:rFonts w:ascii="Times New Roman" w:hAnsi="Times New Roman"/>
          <w:sz w:val="24"/>
          <w:u w:val="single"/>
        </w:rPr>
      </w:pPr>
    </w:p>
    <w:p w:rsidR="008064D7" w:rsidRPr="00A46F7E" w:rsidRDefault="008064D7" w:rsidP="00AF45D5">
      <w:pPr>
        <w:pStyle w:val="Paragraphedeliste"/>
        <w:numPr>
          <w:ilvl w:val="0"/>
          <w:numId w:val="23"/>
        </w:numPr>
        <w:spacing w:line="240" w:lineRule="auto"/>
        <w:rPr>
          <w:rFonts w:ascii="Times New Roman" w:hAnsi="Times New Roman"/>
          <w:sz w:val="24"/>
          <w:u w:val="single"/>
        </w:rPr>
      </w:pPr>
      <w:r>
        <w:rPr>
          <w:rFonts w:ascii="Times New Roman" w:hAnsi="Times New Roman"/>
          <w:sz w:val="24"/>
          <w:u w:val="single"/>
        </w:rPr>
        <w:t xml:space="preserve">Valeur </w:t>
      </w:r>
      <w:r w:rsidRPr="007C17D3">
        <w:rPr>
          <w:rFonts w:ascii="Times New Roman" w:hAnsi="Times New Roman"/>
          <w:i/>
          <w:sz w:val="24"/>
          <w:u w:val="single"/>
        </w:rPr>
        <w:t>going-concern</w:t>
      </w:r>
      <w:r>
        <w:rPr>
          <w:rFonts w:ascii="Times New Roman" w:hAnsi="Times New Roman"/>
          <w:sz w:val="24"/>
          <w:u w:val="single"/>
        </w:rPr>
        <w:t xml:space="preserve"> d’une structure organisée avec des activités potentiellement rentables. </w:t>
      </w:r>
      <w:r>
        <w:rPr>
          <w:rFonts w:ascii="Times New Roman" w:hAnsi="Times New Roman"/>
          <w:sz w:val="24"/>
        </w:rPr>
        <w:t>Il s’agit d’une structure peu dépendante d’un home clé disposant de collaborateurs stables dans une activité pouvant être rentable. Son plan financier est basé, pour partie, sur des engagements concrets. Sa valeur actualisée des flux est diminuée d’un WAAC qui ne reprend pas la valeur maximale de toutes les décotes, voire bénéficiant de surcote. Elle un fonds de roulement raisonnable. Elle a quelques comparables et une valeur d’opportunité possible. Elle est moyennement dépendante du marché et de la conjoncture.</w:t>
      </w:r>
    </w:p>
    <w:p w:rsidR="008064D7" w:rsidRPr="00A20D7E" w:rsidRDefault="008064D7" w:rsidP="00AF45D5">
      <w:pPr>
        <w:pStyle w:val="Paragraphedeliste"/>
        <w:spacing w:line="240" w:lineRule="auto"/>
        <w:ind w:left="1776"/>
        <w:rPr>
          <w:rFonts w:ascii="Times New Roman" w:hAnsi="Times New Roman"/>
          <w:sz w:val="24"/>
          <w:u w:val="single"/>
        </w:rPr>
      </w:pPr>
    </w:p>
    <w:p w:rsidR="008064D7" w:rsidRPr="00A46F7E" w:rsidRDefault="008064D7" w:rsidP="00AF45D5">
      <w:pPr>
        <w:pStyle w:val="Paragraphedeliste"/>
        <w:numPr>
          <w:ilvl w:val="0"/>
          <w:numId w:val="23"/>
        </w:numPr>
        <w:spacing w:line="240" w:lineRule="auto"/>
        <w:rPr>
          <w:rFonts w:ascii="Times New Roman" w:hAnsi="Times New Roman"/>
          <w:sz w:val="24"/>
          <w:u w:val="single"/>
        </w:rPr>
      </w:pPr>
      <w:r>
        <w:rPr>
          <w:rFonts w:ascii="Times New Roman" w:hAnsi="Times New Roman"/>
          <w:sz w:val="24"/>
          <w:u w:val="single"/>
        </w:rPr>
        <w:t xml:space="preserve">Valeur </w:t>
      </w:r>
      <w:r w:rsidRPr="007C17D3">
        <w:rPr>
          <w:rFonts w:ascii="Times New Roman" w:hAnsi="Times New Roman"/>
          <w:i/>
          <w:sz w:val="24"/>
          <w:u w:val="single"/>
        </w:rPr>
        <w:t>going-concern</w:t>
      </w:r>
      <w:r>
        <w:rPr>
          <w:rFonts w:ascii="Times New Roman" w:hAnsi="Times New Roman"/>
          <w:sz w:val="24"/>
          <w:u w:val="single"/>
        </w:rPr>
        <w:t xml:space="preserve"> d’une structure importante (cotée ou non) sur un marché standard.</w:t>
      </w:r>
      <w:r>
        <w:rPr>
          <w:rFonts w:ascii="Times New Roman" w:hAnsi="Times New Roman"/>
          <w:sz w:val="24"/>
        </w:rPr>
        <w:t xml:space="preserve"> Elle est peu dépendante des </w:t>
      </w:r>
      <w:r w:rsidRPr="00D15D42">
        <w:rPr>
          <w:rFonts w:ascii="Times New Roman" w:hAnsi="Times New Roman"/>
          <w:i/>
          <w:sz w:val="24"/>
        </w:rPr>
        <w:t>homes</w:t>
      </w:r>
      <w:r>
        <w:rPr>
          <w:rFonts w:ascii="Times New Roman" w:hAnsi="Times New Roman"/>
          <w:sz w:val="24"/>
        </w:rPr>
        <w:t xml:space="preserve"> clé ou </w:t>
      </w:r>
      <w:r w:rsidRPr="00D15D42">
        <w:rPr>
          <w:rFonts w:ascii="Times New Roman" w:hAnsi="Times New Roman"/>
          <w:i/>
          <w:sz w:val="24"/>
        </w:rPr>
        <w:t>input</w:t>
      </w:r>
      <w:r>
        <w:rPr>
          <w:rFonts w:ascii="Times New Roman" w:hAnsi="Times New Roman"/>
          <w:sz w:val="24"/>
        </w:rPr>
        <w:t xml:space="preserve">. Son </w:t>
      </w:r>
      <w:r>
        <w:rPr>
          <w:rFonts w:ascii="Times New Roman" w:hAnsi="Times New Roman"/>
          <w:sz w:val="24"/>
        </w:rPr>
        <w:lastRenderedPageBreak/>
        <w:t>activité est une activité mature ou en voie de l’être, basée sur un historique pertinent. Son plan financier est fiable et documenté. Sa restructuration lui apportera des fonds propres et un fonds de roulement raisonnable. Ses flux sont affectés d’un WAAC proche du WAAC standard si ce n’est la décote pour procédure. Elle peut intéresser des acheteurs d’actifs ou d’actions et peut être une voie utile pour une concentration. L’EBITDA libre croît de manière raisonnable et l’exploitation ne réserve pas un potentiel anormal. Elle a de nombreux comparables en termes d’entreprise ou de transaction.</w:t>
      </w:r>
    </w:p>
    <w:p w:rsidR="008064D7" w:rsidRPr="00A20D7E" w:rsidRDefault="008064D7" w:rsidP="00AF45D5">
      <w:pPr>
        <w:pStyle w:val="Paragraphedeliste"/>
        <w:spacing w:line="240" w:lineRule="auto"/>
        <w:ind w:left="1776"/>
        <w:rPr>
          <w:rFonts w:ascii="Times New Roman" w:hAnsi="Times New Roman"/>
          <w:sz w:val="24"/>
          <w:u w:val="single"/>
        </w:rPr>
      </w:pPr>
    </w:p>
    <w:p w:rsidR="008064D7" w:rsidRPr="00A46F7E" w:rsidRDefault="008064D7" w:rsidP="00AF45D5">
      <w:pPr>
        <w:pStyle w:val="Paragraphedeliste"/>
        <w:numPr>
          <w:ilvl w:val="0"/>
          <w:numId w:val="23"/>
        </w:numPr>
        <w:spacing w:line="240" w:lineRule="auto"/>
        <w:rPr>
          <w:rFonts w:ascii="Times New Roman" w:hAnsi="Times New Roman"/>
          <w:sz w:val="24"/>
          <w:u w:val="single"/>
        </w:rPr>
      </w:pPr>
      <w:r>
        <w:rPr>
          <w:rFonts w:ascii="Times New Roman" w:hAnsi="Times New Roman"/>
          <w:sz w:val="24"/>
          <w:u w:val="single"/>
        </w:rPr>
        <w:t>Société plus grande (cotée ou non) sur des marchés à potentiel mais sur un marché en progression</w:t>
      </w:r>
      <w:r>
        <w:rPr>
          <w:rFonts w:ascii="Times New Roman" w:hAnsi="Times New Roman"/>
          <w:sz w:val="24"/>
        </w:rPr>
        <w:t>. Bien organisée, la société est active sur un segment de marché répondant à un besoin avéré et exploité mais réservant de belles opportunités. Elle est valorisable (en bourse ou non) selon des standards d’évaluation. Elle a beaucoup de comparables. Elle a les moyens de son développement en fonds de roulement ou en crédit et moyens d’investissement. Le DCF est affecté d’un WAAC qui ne prend pas en compte des décotes beaucoup plus grandes que pour ses consœurs. Il peut s’agir de structure qui attire les investisseurs et une concentration est possible. L’EBITDA pourrait grandir de manière linéaire.</w:t>
      </w:r>
    </w:p>
    <w:p w:rsidR="008064D7" w:rsidRDefault="008064D7" w:rsidP="00AF45D5">
      <w:pPr>
        <w:pStyle w:val="Paragraphedeliste"/>
        <w:spacing w:line="240" w:lineRule="auto"/>
        <w:ind w:left="1776"/>
        <w:rPr>
          <w:rFonts w:ascii="Times New Roman" w:hAnsi="Times New Roman"/>
          <w:sz w:val="24"/>
          <w:u w:val="single"/>
        </w:rPr>
      </w:pPr>
    </w:p>
    <w:p w:rsidR="008064D7" w:rsidRDefault="00777442" w:rsidP="00AF45D5">
      <w:pPr>
        <w:pStyle w:val="Paragraphedeliste"/>
        <w:spacing w:line="240" w:lineRule="auto"/>
        <w:ind w:left="786"/>
        <w:rPr>
          <w:rFonts w:ascii="Times New Roman" w:hAnsi="Times New Roman"/>
          <w:sz w:val="24"/>
        </w:rPr>
      </w:pPr>
      <w:r>
        <w:rPr>
          <w:rFonts w:ascii="Times New Roman" w:hAnsi="Times New Roman"/>
          <w:sz w:val="24"/>
        </w:rPr>
        <w:t>Ces</w:t>
      </w:r>
      <w:r w:rsidR="008064D7">
        <w:rPr>
          <w:rFonts w:ascii="Times New Roman" w:hAnsi="Times New Roman"/>
          <w:sz w:val="24"/>
        </w:rPr>
        <w:t xml:space="preserve"> valorisations doivent être testées avec la valeur de marché (défini ici comme des valeurs de transaction) d’une entreprise similaire non-affectée par des difficultés ou un endettement important soit sur le marché boursier pour des comparables, soit sur le marché M&amp;A privé. L’écart entre la 1</w:t>
      </w:r>
      <w:r w:rsidR="008064D7" w:rsidRPr="00A46F7E">
        <w:rPr>
          <w:rFonts w:ascii="Times New Roman" w:hAnsi="Times New Roman"/>
          <w:sz w:val="24"/>
          <w:vertAlign w:val="superscript"/>
        </w:rPr>
        <w:t>ère</w:t>
      </w:r>
      <w:r w:rsidR="008064D7">
        <w:rPr>
          <w:rFonts w:ascii="Times New Roman" w:hAnsi="Times New Roman"/>
          <w:sz w:val="24"/>
        </w:rPr>
        <w:t xml:space="preserve"> valeur et la 5</w:t>
      </w:r>
      <w:r w:rsidR="008064D7" w:rsidRPr="00A46F7E">
        <w:rPr>
          <w:rFonts w:ascii="Times New Roman" w:hAnsi="Times New Roman"/>
          <w:sz w:val="24"/>
          <w:vertAlign w:val="superscript"/>
        </w:rPr>
        <w:t>ème</w:t>
      </w:r>
      <w:r w:rsidR="008064D7">
        <w:rPr>
          <w:rFonts w:ascii="Times New Roman" w:hAnsi="Times New Roman"/>
          <w:sz w:val="24"/>
        </w:rPr>
        <w:t xml:space="preserve"> doit pouvoir s’expliquer raisonnablement par un juge sur des faits avérés et par des spécialistes d’économétrie capable d’associer à des faits des fourchettes usuelles de décote. L’analyse du marché boursier des entreprises ayant subi une procédure permet de quantifier des décotes en prenant en compte les circonstances économiques du moment et du secteur.</w:t>
      </w:r>
    </w:p>
    <w:p w:rsidR="008064D7" w:rsidRDefault="008064D7" w:rsidP="00AF45D5">
      <w:pPr>
        <w:pStyle w:val="Paragraphedeliste"/>
        <w:spacing w:line="240" w:lineRule="auto"/>
        <w:ind w:left="786"/>
        <w:rPr>
          <w:rFonts w:ascii="Times New Roman" w:hAnsi="Times New Roman"/>
          <w:sz w:val="24"/>
        </w:rPr>
      </w:pPr>
    </w:p>
    <w:p w:rsidR="008064D7" w:rsidRDefault="008064D7" w:rsidP="00AF45D5">
      <w:pPr>
        <w:pStyle w:val="Paragraphedeliste"/>
        <w:spacing w:line="240" w:lineRule="auto"/>
        <w:ind w:left="786"/>
        <w:rPr>
          <w:rFonts w:ascii="Times New Roman" w:hAnsi="Times New Roman"/>
          <w:sz w:val="24"/>
        </w:rPr>
      </w:pPr>
      <w:r>
        <w:rPr>
          <w:rFonts w:ascii="Times New Roman" w:hAnsi="Times New Roman"/>
          <w:sz w:val="24"/>
        </w:rPr>
        <w:t>Dans cette perspective, on classera les entreprises en fonction de critères similaires ou équivalents à ceux décrits. Par exemple, une start-up exploitant un produit incertain sera plutôt analysée au regard des règles A et B ou une entreprise cotée sur un marché très mature et présentant des risques économiques sera analysée selon les règles entre B et C.</w:t>
      </w:r>
    </w:p>
    <w:p w:rsidR="008064D7" w:rsidRDefault="008064D7" w:rsidP="00AF45D5">
      <w:pPr>
        <w:pStyle w:val="Paragraphedeliste"/>
        <w:spacing w:line="240" w:lineRule="auto"/>
        <w:ind w:left="786"/>
        <w:rPr>
          <w:rFonts w:ascii="Times New Roman" w:hAnsi="Times New Roman"/>
          <w:sz w:val="24"/>
        </w:rPr>
      </w:pPr>
    </w:p>
    <w:p w:rsidR="008064D7" w:rsidRDefault="008064D7" w:rsidP="00AF45D5">
      <w:pPr>
        <w:pStyle w:val="Paragraphedeliste"/>
        <w:spacing w:line="240" w:lineRule="auto"/>
        <w:ind w:left="786"/>
        <w:rPr>
          <w:rFonts w:ascii="Times New Roman" w:hAnsi="Times New Roman"/>
          <w:sz w:val="24"/>
        </w:rPr>
      </w:pPr>
      <w:r>
        <w:rPr>
          <w:rFonts w:ascii="Times New Roman" w:hAnsi="Times New Roman"/>
          <w:sz w:val="24"/>
        </w:rPr>
        <w:t>Cette classification permet aux experts en économétrie de tenter de regrouper des fourchettes de décotes ou surcotes pour des types de surcotes et décotes spécifiques à ce segment moyen d’entreprise. Il peut aussi déclasser les comparables.</w:t>
      </w:r>
    </w:p>
    <w:p w:rsidR="008064D7" w:rsidRDefault="008064D7" w:rsidP="00AF45D5">
      <w:pPr>
        <w:pStyle w:val="Paragraphedeliste"/>
        <w:spacing w:line="240" w:lineRule="auto"/>
        <w:ind w:left="786"/>
        <w:rPr>
          <w:rFonts w:ascii="Times New Roman" w:hAnsi="Times New Roman"/>
          <w:sz w:val="24"/>
        </w:rPr>
      </w:pPr>
    </w:p>
    <w:p w:rsidR="008064D7" w:rsidRDefault="008064D7" w:rsidP="00AF45D5">
      <w:pPr>
        <w:pStyle w:val="Paragraphedeliste"/>
        <w:spacing w:line="240" w:lineRule="auto"/>
        <w:ind w:left="786"/>
        <w:rPr>
          <w:rFonts w:ascii="Times New Roman" w:hAnsi="Times New Roman"/>
          <w:sz w:val="24"/>
        </w:rPr>
      </w:pPr>
      <w:r>
        <w:rPr>
          <w:rFonts w:ascii="Times New Roman" w:hAnsi="Times New Roman"/>
          <w:sz w:val="24"/>
        </w:rPr>
        <w:t xml:space="preserve">Ainsi, nous verrons en conclusions que les valeurs de liquidation forment avec les valeurs </w:t>
      </w:r>
      <w:r w:rsidRPr="007C17D3">
        <w:rPr>
          <w:rFonts w:ascii="Times New Roman" w:hAnsi="Times New Roman"/>
          <w:i/>
          <w:sz w:val="24"/>
        </w:rPr>
        <w:t>going-concern</w:t>
      </w:r>
      <w:r>
        <w:rPr>
          <w:rFonts w:ascii="Times New Roman" w:hAnsi="Times New Roman"/>
          <w:sz w:val="24"/>
        </w:rPr>
        <w:t xml:space="preserve"> un long continuum.</w:t>
      </w:r>
    </w:p>
    <w:p w:rsidR="008064D7" w:rsidRDefault="008064D7" w:rsidP="00435843">
      <w:pPr>
        <w:pStyle w:val="Paragraphedeliste"/>
        <w:spacing w:line="240" w:lineRule="auto"/>
        <w:ind w:left="786"/>
        <w:rPr>
          <w:rFonts w:ascii="Times New Roman" w:hAnsi="Times New Roman"/>
          <w:sz w:val="24"/>
          <w:u w:val="single"/>
        </w:rPr>
      </w:pPr>
    </w:p>
    <w:p w:rsidR="008064D7" w:rsidRDefault="008064D7" w:rsidP="00435843">
      <w:pPr>
        <w:pStyle w:val="Paragraphedeliste"/>
        <w:spacing w:line="240" w:lineRule="auto"/>
        <w:ind w:left="786"/>
        <w:rPr>
          <w:rFonts w:ascii="Times New Roman" w:hAnsi="Times New Roman"/>
          <w:sz w:val="24"/>
          <w:u w:val="single"/>
        </w:rPr>
      </w:pPr>
    </w:p>
    <w:p w:rsidR="008064D7" w:rsidRPr="00B55C55" w:rsidRDefault="008064D7" w:rsidP="00B55C55">
      <w:pPr>
        <w:pStyle w:val="Titre3"/>
        <w:numPr>
          <w:ilvl w:val="0"/>
          <w:numId w:val="42"/>
        </w:numPr>
        <w:rPr>
          <w:b/>
          <w:u w:val="single"/>
        </w:rPr>
      </w:pPr>
      <w:bookmarkStart w:id="14" w:name="_Toc55407460"/>
      <w:r w:rsidRPr="00B55C55">
        <w:rPr>
          <w:b/>
          <w:u w:val="single"/>
        </w:rPr>
        <w:t>Partie pratique</w:t>
      </w:r>
      <w:bookmarkEnd w:id="14"/>
      <w:r w:rsidRPr="00B55C55">
        <w:rPr>
          <w:b/>
          <w:u w:val="single"/>
        </w:rPr>
        <w:t xml:space="preserve"> </w:t>
      </w:r>
    </w:p>
    <w:p w:rsidR="008064D7" w:rsidRDefault="008064D7" w:rsidP="004B10FE">
      <w:pPr>
        <w:spacing w:line="240" w:lineRule="auto"/>
        <w:ind w:left="708"/>
        <w:rPr>
          <w:rFonts w:ascii="Times New Roman" w:hAnsi="Times New Roman"/>
          <w:sz w:val="24"/>
        </w:rPr>
      </w:pPr>
    </w:p>
    <w:p w:rsidR="00B55C55" w:rsidRDefault="00B55C55" w:rsidP="00B55C55">
      <w:pPr>
        <w:pStyle w:val="Paragraphedeliste"/>
        <w:numPr>
          <w:ilvl w:val="0"/>
          <w:numId w:val="2"/>
        </w:numPr>
        <w:spacing w:line="240" w:lineRule="auto"/>
        <w:rPr>
          <w:rFonts w:ascii="Times New Roman" w:hAnsi="Times New Roman"/>
          <w:sz w:val="24"/>
        </w:rPr>
      </w:pPr>
      <w:r>
        <w:rPr>
          <w:rFonts w:ascii="Times New Roman" w:hAnsi="Times New Roman"/>
          <w:sz w:val="24"/>
          <w:u w:val="single"/>
        </w:rPr>
        <w:t>Évaluer l’évaluation</w:t>
      </w:r>
      <w:r>
        <w:rPr>
          <w:rFonts w:ascii="Times New Roman" w:hAnsi="Times New Roman"/>
          <w:sz w:val="24"/>
        </w:rPr>
        <w:t xml:space="preserve"> suppose de décrire les différentes étapes utiles à aboutir à une évaluation. C’est dans ces différentes étapes que se cache, en réalité, le contrôle du juge et impacte la valeur retenue.</w:t>
      </w:r>
    </w:p>
    <w:p w:rsidR="00B55C55" w:rsidRDefault="00B55C55" w:rsidP="004B10FE">
      <w:pPr>
        <w:spacing w:line="240" w:lineRule="auto"/>
        <w:ind w:left="708"/>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sidRPr="00C77AD5">
        <w:rPr>
          <w:rFonts w:ascii="Times New Roman" w:hAnsi="Times New Roman"/>
          <w:sz w:val="24"/>
          <w:u w:val="single"/>
        </w:rPr>
        <w:t>La 1</w:t>
      </w:r>
      <w:r w:rsidRPr="00C77AD5">
        <w:rPr>
          <w:rFonts w:ascii="Times New Roman" w:hAnsi="Times New Roman"/>
          <w:sz w:val="24"/>
          <w:u w:val="single"/>
          <w:vertAlign w:val="superscript"/>
        </w:rPr>
        <w:t>ère</w:t>
      </w:r>
      <w:r w:rsidRPr="00C77AD5">
        <w:rPr>
          <w:rFonts w:ascii="Times New Roman" w:hAnsi="Times New Roman"/>
          <w:sz w:val="24"/>
          <w:u w:val="single"/>
        </w:rPr>
        <w:t xml:space="preserve"> étape est </w:t>
      </w:r>
      <w:r w:rsidR="00B44220" w:rsidRPr="00C77AD5">
        <w:rPr>
          <w:rFonts w:ascii="Times New Roman" w:hAnsi="Times New Roman"/>
          <w:sz w:val="24"/>
          <w:u w:val="single"/>
        </w:rPr>
        <w:t>de pouvoir émettre</w:t>
      </w:r>
      <w:r w:rsidRPr="00C77AD5">
        <w:rPr>
          <w:rFonts w:ascii="Times New Roman" w:hAnsi="Times New Roman"/>
          <w:sz w:val="24"/>
          <w:u w:val="single"/>
        </w:rPr>
        <w:t xml:space="preserve"> une opinion</w:t>
      </w:r>
      <w:r w:rsidRPr="00B55C55">
        <w:rPr>
          <w:rFonts w:ascii="Times New Roman" w:hAnsi="Times New Roman"/>
          <w:b/>
          <w:sz w:val="24"/>
          <w:u w:val="single"/>
        </w:rPr>
        <w:t xml:space="preserve"> sur la pertinence raisonnable du plan financier sous-jacent à l’évaluation</w:t>
      </w:r>
      <w:r>
        <w:rPr>
          <w:rFonts w:ascii="Times New Roman" w:hAnsi="Times New Roman"/>
          <w:sz w:val="24"/>
        </w:rPr>
        <w:t xml:space="preserve">. </w:t>
      </w:r>
      <w:r w:rsidR="00B55C55">
        <w:rPr>
          <w:rFonts w:ascii="Times New Roman" w:hAnsi="Times New Roman"/>
          <w:sz w:val="24"/>
        </w:rPr>
        <w:t>Ce plan et ces hypothèses</w:t>
      </w:r>
      <w:r>
        <w:rPr>
          <w:rFonts w:ascii="Times New Roman" w:hAnsi="Times New Roman"/>
          <w:sz w:val="24"/>
        </w:rPr>
        <w:t xml:space="preserve"> impacter</w:t>
      </w:r>
      <w:r w:rsidR="00B55C55">
        <w:rPr>
          <w:rFonts w:ascii="Times New Roman" w:hAnsi="Times New Roman"/>
          <w:sz w:val="24"/>
        </w:rPr>
        <w:t>ont</w:t>
      </w:r>
      <w:r>
        <w:rPr>
          <w:rFonts w:ascii="Times New Roman" w:hAnsi="Times New Roman"/>
          <w:sz w:val="24"/>
        </w:rPr>
        <w:t xml:space="preserve"> le choix de la méthode – selon que le modèle est en rupture avec le passé ou dans une continuité acceptable, que le modèle est comparables à des modèles d’autres entreprises, que les flux financiers futurs sont raisonnables et calculés de manière pertinente au regard des coûts et en prenant en compte tous les besoins de financement, tant la trésorerie opérationnelle que la trésorerie d’investissement et surtout celle de financement en fonction de la certitude plus ou moins grande d’obtenir des financement nouveaux et devoir rembourser des dettes anciennes. </w:t>
      </w:r>
    </w:p>
    <w:p w:rsidR="008064D7" w:rsidRDefault="008064D7" w:rsidP="009D3617">
      <w:pPr>
        <w:pStyle w:val="Paragraphedeliste"/>
        <w:spacing w:line="240" w:lineRule="auto"/>
        <w:ind w:left="786"/>
        <w:rPr>
          <w:rFonts w:ascii="Times New Roman" w:hAnsi="Times New Roman"/>
          <w:sz w:val="24"/>
        </w:rPr>
      </w:pPr>
    </w:p>
    <w:p w:rsidR="008064D7" w:rsidRDefault="008064D7" w:rsidP="009D3617">
      <w:pPr>
        <w:pStyle w:val="Paragraphedeliste"/>
        <w:spacing w:line="240" w:lineRule="auto"/>
        <w:ind w:left="786"/>
        <w:rPr>
          <w:rFonts w:ascii="Times New Roman" w:hAnsi="Times New Roman"/>
          <w:sz w:val="24"/>
        </w:rPr>
      </w:pPr>
      <w:r w:rsidRPr="0071523A">
        <w:rPr>
          <w:rFonts w:ascii="Times New Roman" w:hAnsi="Times New Roman"/>
          <w:sz w:val="24"/>
        </w:rPr>
        <w:t xml:space="preserve">Mais </w:t>
      </w:r>
      <w:r w:rsidR="00B44220">
        <w:rPr>
          <w:rFonts w:ascii="Times New Roman" w:hAnsi="Times New Roman"/>
          <w:sz w:val="24"/>
        </w:rPr>
        <w:t>le plus important dans</w:t>
      </w:r>
      <w:r>
        <w:rPr>
          <w:rFonts w:ascii="Times New Roman" w:hAnsi="Times New Roman"/>
          <w:sz w:val="24"/>
        </w:rPr>
        <w:t xml:space="preserve"> la jurisprudence américaine</w:t>
      </w:r>
      <w:r>
        <w:rPr>
          <w:rStyle w:val="Appelnotedebasdep"/>
          <w:rFonts w:ascii="Times New Roman" w:hAnsi="Times New Roman"/>
          <w:sz w:val="24"/>
        </w:rPr>
        <w:footnoteReference w:id="161"/>
      </w:r>
      <w:r w:rsidRPr="0071523A">
        <w:rPr>
          <w:rFonts w:ascii="Times New Roman" w:hAnsi="Times New Roman"/>
          <w:sz w:val="24"/>
        </w:rPr>
        <w:t>, c’est que l’examinateur doit considérer le plan d’</w:t>
      </w:r>
      <w:r w:rsidRPr="007C17D3">
        <w:rPr>
          <w:rFonts w:ascii="Times New Roman" w:hAnsi="Times New Roman"/>
          <w:sz w:val="24"/>
        </w:rPr>
        <w:t>affaire</w:t>
      </w:r>
      <w:r w:rsidRPr="0071523A">
        <w:rPr>
          <w:rFonts w:ascii="Times New Roman" w:hAnsi="Times New Roman"/>
          <w:sz w:val="24"/>
        </w:rPr>
        <w:t xml:space="preserve"> dans une perspective </w:t>
      </w:r>
      <w:r w:rsidRPr="007C17D3">
        <w:rPr>
          <w:rFonts w:ascii="Times New Roman" w:hAnsi="Times New Roman"/>
          <w:i/>
          <w:sz w:val="24"/>
          <w:u w:val="single"/>
        </w:rPr>
        <w:t>going-concern</w:t>
      </w:r>
      <w:r w:rsidRPr="00E10BAE">
        <w:rPr>
          <w:rFonts w:ascii="Times New Roman" w:hAnsi="Times New Roman"/>
          <w:i/>
          <w:sz w:val="24"/>
        </w:rPr>
        <w:t xml:space="preserve">, </w:t>
      </w:r>
      <w:r w:rsidRPr="0071523A">
        <w:rPr>
          <w:rFonts w:ascii="Times New Roman" w:hAnsi="Times New Roman"/>
          <w:sz w:val="24"/>
        </w:rPr>
        <w:t xml:space="preserve">c’est-à-dire, </w:t>
      </w:r>
      <w:r w:rsidR="00B44220">
        <w:rPr>
          <w:rFonts w:ascii="Times New Roman" w:hAnsi="Times New Roman"/>
          <w:sz w:val="24"/>
        </w:rPr>
        <w:t>concrètement, s’</w:t>
      </w:r>
      <w:r w:rsidRPr="0071523A">
        <w:rPr>
          <w:rFonts w:ascii="Times New Roman" w:hAnsi="Times New Roman"/>
          <w:sz w:val="24"/>
        </w:rPr>
        <w:t xml:space="preserve">écarter </w:t>
      </w:r>
      <w:r w:rsidR="00B44220">
        <w:rPr>
          <w:rFonts w:ascii="Times New Roman" w:hAnsi="Times New Roman"/>
          <w:sz w:val="24"/>
        </w:rPr>
        <w:t>du</w:t>
      </w:r>
      <w:r w:rsidRPr="0071523A">
        <w:rPr>
          <w:rFonts w:ascii="Times New Roman" w:hAnsi="Times New Roman"/>
          <w:sz w:val="24"/>
        </w:rPr>
        <w:t xml:space="preserve"> scepticisme excessif dû à la situation d’entreprise en difficulté pour se placer dans l’optimisme raisonnable de l’entreprise en activité. Dans la mesure où cet exercice</w:t>
      </w:r>
      <w:r>
        <w:rPr>
          <w:rFonts w:ascii="Times New Roman" w:hAnsi="Times New Roman"/>
          <w:sz w:val="24"/>
        </w:rPr>
        <w:t xml:space="preserve"> se fait dans un cadre où</w:t>
      </w:r>
      <w:r w:rsidRPr="0071523A">
        <w:rPr>
          <w:rFonts w:ascii="Times New Roman" w:hAnsi="Times New Roman"/>
          <w:sz w:val="24"/>
        </w:rPr>
        <w:t xml:space="preserve"> les conséquences</w:t>
      </w:r>
      <w:r>
        <w:rPr>
          <w:rFonts w:ascii="Times New Roman" w:hAnsi="Times New Roman"/>
          <w:sz w:val="24"/>
        </w:rPr>
        <w:t xml:space="preserve"> de l’approche sont importantes, il conviendra que les paramètres de cette analyse soient révélés et débattus pour permettre aux créanciers et au juge de substituer </w:t>
      </w:r>
      <w:r w:rsidR="00B44220">
        <w:rPr>
          <w:rFonts w:ascii="Times New Roman" w:hAnsi="Times New Roman"/>
          <w:sz w:val="24"/>
        </w:rPr>
        <w:t>au débiteur sur un point précis</w:t>
      </w:r>
      <w:r>
        <w:rPr>
          <w:rFonts w:ascii="Times New Roman" w:hAnsi="Times New Roman"/>
          <w:sz w:val="24"/>
        </w:rPr>
        <w:t xml:space="preserve">.  </w:t>
      </w:r>
    </w:p>
    <w:p w:rsidR="008064D7" w:rsidRDefault="008064D7" w:rsidP="009D3617">
      <w:pPr>
        <w:pStyle w:val="Paragraphedeliste"/>
        <w:spacing w:line="240" w:lineRule="auto"/>
        <w:ind w:left="786"/>
        <w:rPr>
          <w:rFonts w:ascii="Times New Roman" w:hAnsi="Times New Roman"/>
          <w:sz w:val="24"/>
        </w:rPr>
      </w:pPr>
    </w:p>
    <w:p w:rsidR="008064D7" w:rsidRDefault="008064D7" w:rsidP="00736DE2">
      <w:pPr>
        <w:pStyle w:val="Paragraphedeliste"/>
        <w:spacing w:line="240" w:lineRule="auto"/>
        <w:ind w:left="786"/>
        <w:rPr>
          <w:rFonts w:ascii="Times New Roman" w:hAnsi="Times New Roman"/>
          <w:sz w:val="24"/>
        </w:rPr>
      </w:pPr>
      <w:r>
        <w:rPr>
          <w:rFonts w:ascii="Times New Roman" w:hAnsi="Times New Roman"/>
          <w:sz w:val="24"/>
        </w:rPr>
        <w:t xml:space="preserve">Présenter un tel plan n’est pas impossible. </w:t>
      </w:r>
      <w:r w:rsidRPr="009D3617">
        <w:rPr>
          <w:rFonts w:ascii="Times New Roman" w:hAnsi="Times New Roman"/>
          <w:sz w:val="24"/>
        </w:rPr>
        <w:t>Notre droit actuel, prévoit déjà</w:t>
      </w:r>
      <w:r>
        <w:rPr>
          <w:rFonts w:ascii="Times New Roman" w:hAnsi="Times New Roman"/>
          <w:sz w:val="24"/>
        </w:rPr>
        <w:t>, en son article XX.</w:t>
      </w:r>
      <w:r w:rsidRPr="009D3617">
        <w:rPr>
          <w:rFonts w:ascii="Times New Roman" w:hAnsi="Times New Roman"/>
          <w:sz w:val="24"/>
        </w:rPr>
        <w:t>41</w:t>
      </w:r>
      <w:r>
        <w:rPr>
          <w:rFonts w:ascii="Times New Roman" w:hAnsi="Times New Roman"/>
          <w:sz w:val="24"/>
        </w:rPr>
        <w:t>,</w:t>
      </w:r>
      <w:r w:rsidRPr="009D3617">
        <w:rPr>
          <w:rFonts w:ascii="Times New Roman" w:hAnsi="Times New Roman"/>
          <w:sz w:val="24"/>
        </w:rPr>
        <w:t xml:space="preserve"> que le débiteur prépare</w:t>
      </w:r>
      <w:r>
        <w:rPr>
          <w:rFonts w:ascii="Times New Roman" w:hAnsi="Times New Roman"/>
          <w:sz w:val="24"/>
        </w:rPr>
        <w:t> :</w:t>
      </w:r>
      <w:r w:rsidRPr="009D3617">
        <w:rPr>
          <w:rFonts w:ascii="Times New Roman" w:hAnsi="Times New Roman"/>
          <w:sz w:val="24"/>
        </w:rPr>
        <w:t xml:space="preserve"> </w:t>
      </w:r>
      <w:r w:rsidR="00B44220" w:rsidRPr="009D3617">
        <w:rPr>
          <w:rFonts w:ascii="Times New Roman" w:hAnsi="Times New Roman"/>
          <w:sz w:val="24"/>
        </w:rPr>
        <w:t>« un</w:t>
      </w:r>
      <w:r w:rsidRPr="00736DE2">
        <w:rPr>
          <w:rFonts w:ascii="Times New Roman" w:hAnsi="Times New Roman"/>
          <w:i/>
          <w:sz w:val="24"/>
        </w:rPr>
        <w:t xml:space="preserve"> budget contenant </w:t>
      </w:r>
      <w:r w:rsidRPr="00B44220">
        <w:rPr>
          <w:rFonts w:ascii="Times New Roman" w:hAnsi="Times New Roman"/>
          <w:i/>
          <w:sz w:val="24"/>
          <w:u w:val="single"/>
        </w:rPr>
        <w:t>une estimation</w:t>
      </w:r>
      <w:r w:rsidRPr="00736DE2">
        <w:rPr>
          <w:rFonts w:ascii="Times New Roman" w:hAnsi="Times New Roman"/>
          <w:i/>
          <w:sz w:val="24"/>
        </w:rPr>
        <w:t xml:space="preserve"> des recettes et dépenses pour la durée minimale du sursis demandé, préparé avec l'assistance d'un des professionnels visés au 5° de cet article; sur avis de la Commission des normes comptables, le Roi peut établir un modèle de prévisions budgétaires</w:t>
      </w:r>
      <w:r w:rsidRPr="009D3617">
        <w:rPr>
          <w:rFonts w:ascii="Times New Roman" w:hAnsi="Times New Roman"/>
          <w:sz w:val="24"/>
        </w:rPr>
        <w:t> »</w:t>
      </w:r>
      <w:r>
        <w:rPr>
          <w:rFonts w:ascii="Times New Roman" w:hAnsi="Times New Roman"/>
          <w:sz w:val="24"/>
        </w:rPr>
        <w:t>.</w:t>
      </w:r>
      <w:r w:rsidRPr="009D3617">
        <w:rPr>
          <w:rFonts w:ascii="Times New Roman" w:hAnsi="Times New Roman"/>
          <w:sz w:val="24"/>
        </w:rPr>
        <w:t xml:space="preserve"> </w:t>
      </w:r>
      <w:r>
        <w:rPr>
          <w:rFonts w:ascii="Times New Roman" w:hAnsi="Times New Roman"/>
          <w:sz w:val="24"/>
        </w:rPr>
        <w:t xml:space="preserve"> L’article XX.70 </w:t>
      </w:r>
      <w:r w:rsidRPr="00013258">
        <w:rPr>
          <w:rFonts w:ascii="Times New Roman" w:hAnsi="Times New Roman"/>
          <w:sz w:val="24"/>
        </w:rPr>
        <w:t>§ 2</w:t>
      </w:r>
      <w:r>
        <w:rPr>
          <w:rFonts w:ascii="Times New Roman" w:hAnsi="Times New Roman"/>
          <w:sz w:val="24"/>
        </w:rPr>
        <w:t xml:space="preserve"> énonce que le plan contient : « </w:t>
      </w:r>
      <w:r w:rsidRPr="00013258">
        <w:rPr>
          <w:rFonts w:ascii="Times New Roman" w:hAnsi="Times New Roman"/>
          <w:sz w:val="24"/>
        </w:rPr>
        <w:t>La</w:t>
      </w:r>
      <w:r w:rsidRPr="00736DE2">
        <w:rPr>
          <w:rFonts w:ascii="Times New Roman" w:hAnsi="Times New Roman"/>
          <w:i/>
          <w:sz w:val="24"/>
        </w:rPr>
        <w:t xml:space="preserve"> partie descriptive du plan décrit l'état de l'entreprise, les difficultés qu'elle rencontre et les moyens à mettre en œuvre pour y remédier. Elle précise la manière dont le débiteur envisage de rétablir la rentabilité de l'entreprise</w:t>
      </w:r>
      <w:r>
        <w:rPr>
          <w:rFonts w:ascii="Times New Roman" w:hAnsi="Times New Roman"/>
          <w:sz w:val="24"/>
        </w:rPr>
        <w:t> » et au §3 que : «</w:t>
      </w:r>
      <w:r w:rsidRPr="00736DE2">
        <w:rPr>
          <w:rFonts w:ascii="Times New Roman" w:hAnsi="Times New Roman"/>
          <w:i/>
          <w:sz w:val="24"/>
        </w:rPr>
        <w:t xml:space="preserve"> La partie prescriptive du plan contient les mesures à prendre pour désintéresser les créanciers sursitaires portés sur la liste visée aux articles XX.41, § 2, 7°, et XX.77</w:t>
      </w:r>
      <w:r>
        <w:rPr>
          <w:rFonts w:ascii="Times New Roman" w:hAnsi="Times New Roman"/>
          <w:sz w:val="24"/>
        </w:rPr>
        <w:t xml:space="preserve"> ». </w:t>
      </w:r>
    </w:p>
    <w:p w:rsidR="008064D7" w:rsidRDefault="008064D7" w:rsidP="00736DE2">
      <w:pPr>
        <w:pStyle w:val="Paragraphedeliste"/>
        <w:spacing w:line="240" w:lineRule="auto"/>
        <w:ind w:left="786"/>
        <w:rPr>
          <w:rFonts w:ascii="Times New Roman" w:hAnsi="Times New Roman"/>
          <w:sz w:val="24"/>
        </w:rPr>
      </w:pPr>
    </w:p>
    <w:p w:rsidR="008064D7" w:rsidRDefault="00B44220" w:rsidP="00736DE2">
      <w:pPr>
        <w:pStyle w:val="Paragraphedeliste"/>
        <w:spacing w:line="240" w:lineRule="auto"/>
        <w:ind w:left="786"/>
        <w:rPr>
          <w:rFonts w:ascii="Times New Roman" w:hAnsi="Times New Roman"/>
          <w:sz w:val="24"/>
        </w:rPr>
      </w:pPr>
      <w:r>
        <w:rPr>
          <w:rFonts w:ascii="Times New Roman" w:hAnsi="Times New Roman"/>
          <w:sz w:val="24"/>
        </w:rPr>
        <w:t xml:space="preserve">Le débiteur devra </w:t>
      </w:r>
      <w:r w:rsidR="008064D7" w:rsidRPr="00013258">
        <w:rPr>
          <w:rFonts w:ascii="Times New Roman" w:hAnsi="Times New Roman"/>
          <w:sz w:val="24"/>
        </w:rPr>
        <w:t xml:space="preserve">justifier de sa capacité de paiement à travers un plan financier prévisionnel </w:t>
      </w:r>
      <w:r>
        <w:rPr>
          <w:rFonts w:ascii="Times New Roman" w:hAnsi="Times New Roman"/>
          <w:sz w:val="24"/>
        </w:rPr>
        <w:t>en donnant</w:t>
      </w:r>
      <w:r w:rsidR="008064D7" w:rsidRPr="00013258">
        <w:rPr>
          <w:rFonts w:ascii="Times New Roman" w:hAnsi="Times New Roman"/>
          <w:sz w:val="24"/>
        </w:rPr>
        <w:t xml:space="preserve"> une description des flux financiers futurs. Cette analyse – obligatoire dans le plan </w:t>
      </w:r>
      <w:r w:rsidR="008064D7">
        <w:rPr>
          <w:rFonts w:ascii="Times New Roman" w:hAnsi="Times New Roman"/>
          <w:sz w:val="24"/>
        </w:rPr>
        <w:t xml:space="preserve">- </w:t>
      </w:r>
      <w:r w:rsidR="008064D7" w:rsidRPr="00013258">
        <w:rPr>
          <w:rFonts w:ascii="Times New Roman" w:hAnsi="Times New Roman"/>
          <w:sz w:val="24"/>
        </w:rPr>
        <w:t xml:space="preserve">doit donc </w:t>
      </w:r>
      <w:r>
        <w:rPr>
          <w:rFonts w:ascii="Times New Roman" w:hAnsi="Times New Roman"/>
          <w:sz w:val="24"/>
        </w:rPr>
        <w:t>faire</w:t>
      </w:r>
      <w:r w:rsidR="008064D7" w:rsidRPr="00013258">
        <w:rPr>
          <w:rFonts w:ascii="Times New Roman" w:hAnsi="Times New Roman"/>
          <w:sz w:val="24"/>
        </w:rPr>
        <w:t xml:space="preserve"> l’objet d’une appréciation et d’une opinion</w:t>
      </w:r>
      <w:r>
        <w:rPr>
          <w:rFonts w:ascii="Times New Roman" w:hAnsi="Times New Roman"/>
          <w:sz w:val="24"/>
        </w:rPr>
        <w:t xml:space="preserve"> sur base de</w:t>
      </w:r>
      <w:r w:rsidR="008064D7" w:rsidRPr="00013258">
        <w:rPr>
          <w:rFonts w:ascii="Times New Roman" w:hAnsi="Times New Roman"/>
          <w:sz w:val="24"/>
        </w:rPr>
        <w:t xml:space="preserve"> scénarios </w:t>
      </w:r>
      <w:r w:rsidR="008064D7" w:rsidRPr="00E10BAE">
        <w:rPr>
          <w:rFonts w:ascii="Times New Roman" w:hAnsi="Times New Roman"/>
          <w:i/>
          <w:sz w:val="24"/>
        </w:rPr>
        <w:t>Worst case</w:t>
      </w:r>
      <w:r w:rsidR="008064D7" w:rsidRPr="00013258">
        <w:rPr>
          <w:rFonts w:ascii="Times New Roman" w:hAnsi="Times New Roman"/>
          <w:sz w:val="24"/>
        </w:rPr>
        <w:t xml:space="preserve">, </w:t>
      </w:r>
      <w:r w:rsidR="008064D7" w:rsidRPr="00E10BAE">
        <w:rPr>
          <w:rFonts w:ascii="Times New Roman" w:hAnsi="Times New Roman"/>
          <w:i/>
          <w:sz w:val="24"/>
        </w:rPr>
        <w:t>middle case</w:t>
      </w:r>
      <w:r w:rsidR="008064D7" w:rsidRPr="00013258">
        <w:rPr>
          <w:rFonts w:ascii="Times New Roman" w:hAnsi="Times New Roman"/>
          <w:sz w:val="24"/>
        </w:rPr>
        <w:t xml:space="preserve"> et </w:t>
      </w:r>
      <w:r w:rsidR="008064D7" w:rsidRPr="00E10BAE">
        <w:rPr>
          <w:rFonts w:ascii="Times New Roman" w:hAnsi="Times New Roman"/>
          <w:i/>
          <w:sz w:val="24"/>
        </w:rPr>
        <w:t>best case</w:t>
      </w:r>
      <w:r>
        <w:rPr>
          <w:rFonts w:ascii="Times New Roman" w:hAnsi="Times New Roman"/>
          <w:i/>
          <w:sz w:val="24"/>
        </w:rPr>
        <w:t>.</w:t>
      </w:r>
      <w:r>
        <w:rPr>
          <w:rFonts w:ascii="Times New Roman" w:hAnsi="Times New Roman"/>
          <w:sz w:val="24"/>
        </w:rPr>
        <w:t xml:space="preserve"> Le débiteur justifiera </w:t>
      </w:r>
      <w:r w:rsidR="008064D7" w:rsidRPr="00013258">
        <w:rPr>
          <w:rFonts w:ascii="Times New Roman" w:hAnsi="Times New Roman"/>
          <w:sz w:val="24"/>
        </w:rPr>
        <w:t>la valeur technique des plans financiers</w:t>
      </w:r>
      <w:r>
        <w:rPr>
          <w:rFonts w:ascii="Times New Roman" w:hAnsi="Times New Roman"/>
          <w:sz w:val="24"/>
        </w:rPr>
        <w:t xml:space="preserve"> sur le plan financier. Le débiteur examinera aussi</w:t>
      </w:r>
      <w:r w:rsidR="008064D7" w:rsidRPr="00013258">
        <w:rPr>
          <w:rFonts w:ascii="Times New Roman" w:hAnsi="Times New Roman"/>
          <w:sz w:val="24"/>
        </w:rPr>
        <w:t xml:space="preserve"> la probabilité de réaliser le business plan proposé : </w:t>
      </w:r>
      <w:r>
        <w:rPr>
          <w:rFonts w:ascii="Times New Roman" w:hAnsi="Times New Roman"/>
          <w:sz w:val="24"/>
        </w:rPr>
        <w:t xml:space="preserve">le débiteur émettra une </w:t>
      </w:r>
      <w:r w:rsidR="008064D7" w:rsidRPr="00013258">
        <w:rPr>
          <w:rFonts w:ascii="Times New Roman" w:hAnsi="Times New Roman"/>
          <w:sz w:val="24"/>
        </w:rPr>
        <w:t xml:space="preserve">opinion sur différents facteurs subjectifs devant aboutir à une opinion raisonnable et argumentée. </w:t>
      </w:r>
    </w:p>
    <w:p w:rsidR="00B44220" w:rsidRDefault="00B44220" w:rsidP="00736DE2">
      <w:pPr>
        <w:pStyle w:val="Paragraphedeliste"/>
        <w:spacing w:line="240" w:lineRule="auto"/>
        <w:ind w:left="786"/>
        <w:rPr>
          <w:rFonts w:ascii="Times New Roman" w:hAnsi="Times New Roman"/>
          <w:sz w:val="24"/>
        </w:rPr>
      </w:pPr>
    </w:p>
    <w:p w:rsidR="00B44220" w:rsidRDefault="008064D7" w:rsidP="00736DE2">
      <w:pPr>
        <w:pStyle w:val="Paragraphedeliste"/>
        <w:spacing w:line="240" w:lineRule="auto"/>
        <w:ind w:left="786"/>
        <w:rPr>
          <w:rFonts w:ascii="Times New Roman" w:hAnsi="Times New Roman"/>
          <w:sz w:val="24"/>
        </w:rPr>
      </w:pPr>
      <w:r>
        <w:rPr>
          <w:rFonts w:ascii="Times New Roman" w:hAnsi="Times New Roman"/>
          <w:sz w:val="24"/>
        </w:rPr>
        <w:t>Il fau</w:t>
      </w:r>
      <w:r w:rsidR="00B44220">
        <w:rPr>
          <w:rFonts w:ascii="Times New Roman" w:hAnsi="Times New Roman"/>
          <w:sz w:val="24"/>
        </w:rPr>
        <w:t>dra</w:t>
      </w:r>
      <w:r>
        <w:rPr>
          <w:rFonts w:ascii="Times New Roman" w:hAnsi="Times New Roman"/>
          <w:sz w:val="24"/>
        </w:rPr>
        <w:t xml:space="preserve"> débattre des hypothèses retenues de développement des </w:t>
      </w:r>
      <w:r w:rsidRPr="007C17D3">
        <w:rPr>
          <w:rFonts w:ascii="Times New Roman" w:hAnsi="Times New Roman"/>
          <w:sz w:val="24"/>
        </w:rPr>
        <w:t>affaire</w:t>
      </w:r>
      <w:r>
        <w:rPr>
          <w:rFonts w:ascii="Times New Roman" w:hAnsi="Times New Roman"/>
          <w:sz w:val="24"/>
        </w:rPr>
        <w:t xml:space="preserve">s et des flux financiers et, notamment, de la capacité de financement du besoin de fond de roulement, que ce soit pour le fond de roulement opérationnel, pour le financement des investissements et pour la couverture des besoins de trésorerie liés au besoin de financement lui-même. </w:t>
      </w:r>
    </w:p>
    <w:p w:rsidR="00B44220" w:rsidRDefault="00B44220" w:rsidP="00736DE2">
      <w:pPr>
        <w:pStyle w:val="Paragraphedeliste"/>
        <w:spacing w:line="240" w:lineRule="auto"/>
        <w:ind w:left="786"/>
        <w:rPr>
          <w:rFonts w:ascii="Times New Roman" w:hAnsi="Times New Roman"/>
          <w:sz w:val="24"/>
        </w:rPr>
      </w:pPr>
    </w:p>
    <w:p w:rsidR="008064D7" w:rsidRDefault="008064D7" w:rsidP="00736DE2">
      <w:pPr>
        <w:pStyle w:val="Paragraphedeliste"/>
        <w:spacing w:line="240" w:lineRule="auto"/>
        <w:ind w:left="786"/>
        <w:rPr>
          <w:rFonts w:ascii="Times New Roman" w:hAnsi="Times New Roman"/>
          <w:sz w:val="24"/>
        </w:rPr>
      </w:pPr>
      <w:r>
        <w:rPr>
          <w:rFonts w:ascii="Times New Roman" w:hAnsi="Times New Roman"/>
          <w:sz w:val="24"/>
        </w:rPr>
        <w:lastRenderedPageBreak/>
        <w:t>En droit américain, le juge peut imposer la communication de tous les renseignements utiles aux créanciers et si le débiteur résiste, désigner un praticien ou un expert pour conduire une investigation</w:t>
      </w:r>
      <w:r>
        <w:rPr>
          <w:rStyle w:val="Appelnotedebasdep"/>
          <w:rFonts w:ascii="Times New Roman" w:hAnsi="Times New Roman"/>
          <w:sz w:val="24"/>
        </w:rPr>
        <w:footnoteReference w:id="162"/>
      </w:r>
      <w:r>
        <w:rPr>
          <w:rStyle w:val="Appelnotedebasdep"/>
          <w:rFonts w:ascii="Times New Roman" w:hAnsi="Times New Roman"/>
          <w:sz w:val="24"/>
        </w:rPr>
        <w:footnoteReference w:id="163"/>
      </w:r>
      <w:r>
        <w:rPr>
          <w:rFonts w:ascii="Times New Roman" w:hAnsi="Times New Roman"/>
          <w:sz w:val="24"/>
        </w:rPr>
        <w:t>.</w:t>
      </w:r>
    </w:p>
    <w:p w:rsidR="00B44220" w:rsidRDefault="00B44220" w:rsidP="00736DE2">
      <w:pPr>
        <w:pStyle w:val="Paragraphedeliste"/>
        <w:spacing w:line="240" w:lineRule="auto"/>
        <w:ind w:left="786"/>
        <w:rPr>
          <w:rFonts w:ascii="Times New Roman" w:hAnsi="Times New Roman"/>
          <w:sz w:val="24"/>
        </w:rPr>
      </w:pPr>
    </w:p>
    <w:p w:rsidR="00B44220" w:rsidRDefault="00B44220" w:rsidP="00736DE2">
      <w:pPr>
        <w:pStyle w:val="Paragraphedeliste"/>
        <w:spacing w:line="240" w:lineRule="auto"/>
        <w:ind w:left="786"/>
        <w:rPr>
          <w:rFonts w:ascii="Times New Roman" w:hAnsi="Times New Roman"/>
          <w:sz w:val="24"/>
        </w:rPr>
      </w:pPr>
      <w:r>
        <w:rPr>
          <w:rFonts w:ascii="Times New Roman" w:hAnsi="Times New Roman"/>
          <w:sz w:val="24"/>
        </w:rPr>
        <w:t xml:space="preserve">Le </w:t>
      </w:r>
      <w:r w:rsidR="00C77AD5">
        <w:rPr>
          <w:rFonts w:ascii="Times New Roman" w:hAnsi="Times New Roman"/>
          <w:sz w:val="24"/>
        </w:rPr>
        <w:t>juge et les créanciers pourront débattre de ces éléments qui fondent le contrôle du juge (voir ci-après).</w:t>
      </w:r>
    </w:p>
    <w:p w:rsidR="008064D7" w:rsidRDefault="008064D7" w:rsidP="004B10FE">
      <w:pPr>
        <w:spacing w:line="240" w:lineRule="auto"/>
        <w:ind w:left="426"/>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u w:val="single"/>
        </w:rPr>
      </w:pPr>
      <w:r w:rsidRPr="00C77AD5">
        <w:rPr>
          <w:rFonts w:ascii="Times New Roman" w:hAnsi="Times New Roman"/>
          <w:sz w:val="24"/>
          <w:u w:val="single"/>
        </w:rPr>
        <w:t>La seconde étape est</w:t>
      </w:r>
      <w:r w:rsidRPr="00C77AD5">
        <w:rPr>
          <w:rFonts w:ascii="Times New Roman" w:hAnsi="Times New Roman"/>
          <w:b/>
          <w:sz w:val="24"/>
          <w:u w:val="single"/>
        </w:rPr>
        <w:t xml:space="preserve"> la justification de la méthode d’évaluation </w:t>
      </w:r>
      <w:r>
        <w:rPr>
          <w:rFonts w:ascii="Times New Roman" w:hAnsi="Times New Roman"/>
          <w:sz w:val="24"/>
          <w:u w:val="single"/>
        </w:rPr>
        <w:t xml:space="preserve">retenue </w:t>
      </w:r>
      <w:r w:rsidRPr="0071523A">
        <w:rPr>
          <w:rFonts w:ascii="Times New Roman" w:hAnsi="Times New Roman"/>
          <w:sz w:val="24"/>
          <w:u w:val="single"/>
        </w:rPr>
        <w:t xml:space="preserve">par la description des caractéristiques de l’entreprise et de son activité qui justifie le recours à telle ou telle méthode. </w:t>
      </w:r>
      <w:r>
        <w:rPr>
          <w:rFonts w:ascii="Times New Roman" w:hAnsi="Times New Roman"/>
          <w:sz w:val="24"/>
          <w:u w:val="single"/>
        </w:rPr>
        <w:t xml:space="preserve"> </w:t>
      </w:r>
    </w:p>
    <w:p w:rsidR="008064D7" w:rsidRDefault="008064D7" w:rsidP="00736DE2">
      <w:pPr>
        <w:pStyle w:val="Paragraphedeliste"/>
        <w:spacing w:line="240" w:lineRule="auto"/>
        <w:ind w:left="786"/>
        <w:rPr>
          <w:rFonts w:ascii="Times New Roman" w:hAnsi="Times New Roman"/>
          <w:sz w:val="24"/>
          <w:u w:val="single"/>
        </w:rPr>
      </w:pPr>
    </w:p>
    <w:p w:rsidR="008064D7" w:rsidRDefault="008064D7" w:rsidP="00736DE2">
      <w:pPr>
        <w:pStyle w:val="Paragraphedeliste"/>
        <w:spacing w:line="240" w:lineRule="auto"/>
        <w:ind w:left="786"/>
        <w:rPr>
          <w:rFonts w:ascii="Times New Roman" w:hAnsi="Times New Roman"/>
          <w:sz w:val="24"/>
        </w:rPr>
      </w:pPr>
      <w:r>
        <w:rPr>
          <w:rFonts w:ascii="Times New Roman" w:hAnsi="Times New Roman"/>
          <w:sz w:val="24"/>
        </w:rPr>
        <w:t>Comme on l’a décrit, selon l’activité, la constance du passé ou la cohérence du passé et du futur, la portée de la restructuration ou les aléas affectant économiquement son business modèle, il faudra choisir une</w:t>
      </w:r>
      <w:r w:rsidR="00C77AD5">
        <w:rPr>
          <w:rFonts w:ascii="Times New Roman" w:hAnsi="Times New Roman"/>
          <w:sz w:val="24"/>
        </w:rPr>
        <w:t xml:space="preserve"> ou plusieurs</w:t>
      </w:r>
      <w:r>
        <w:rPr>
          <w:rFonts w:ascii="Times New Roman" w:hAnsi="Times New Roman"/>
          <w:sz w:val="24"/>
        </w:rPr>
        <w:t xml:space="preserve"> méthode</w:t>
      </w:r>
      <w:r w:rsidR="00C77AD5">
        <w:rPr>
          <w:rFonts w:ascii="Times New Roman" w:hAnsi="Times New Roman"/>
          <w:sz w:val="24"/>
        </w:rPr>
        <w:t>s</w:t>
      </w:r>
      <w:r>
        <w:rPr>
          <w:rFonts w:ascii="Times New Roman" w:hAnsi="Times New Roman"/>
          <w:sz w:val="24"/>
        </w:rPr>
        <w:t xml:space="preserve"> plus tournée</w:t>
      </w:r>
      <w:r w:rsidR="00C77AD5">
        <w:rPr>
          <w:rFonts w:ascii="Times New Roman" w:hAnsi="Times New Roman"/>
          <w:sz w:val="24"/>
        </w:rPr>
        <w:t>s</w:t>
      </w:r>
      <w:r>
        <w:rPr>
          <w:rFonts w:ascii="Times New Roman" w:hAnsi="Times New Roman"/>
          <w:sz w:val="24"/>
        </w:rPr>
        <w:t xml:space="preserve"> vers le passé ou extrapolant le futur du passé ou, au contraire, résolument tourné</w:t>
      </w:r>
      <w:r w:rsidR="00C77AD5">
        <w:rPr>
          <w:rFonts w:ascii="Times New Roman" w:hAnsi="Times New Roman"/>
          <w:sz w:val="24"/>
        </w:rPr>
        <w:t>es</w:t>
      </w:r>
      <w:r>
        <w:rPr>
          <w:rFonts w:ascii="Times New Roman" w:hAnsi="Times New Roman"/>
          <w:sz w:val="24"/>
        </w:rPr>
        <w:t xml:space="preserve"> vers le seul futur, ou </w:t>
      </w:r>
      <w:r w:rsidRPr="007C17D3">
        <w:rPr>
          <w:rFonts w:ascii="Times New Roman" w:hAnsi="Times New Roman"/>
          <w:i/>
          <w:sz w:val="24"/>
        </w:rPr>
        <w:t>Fair</w:t>
      </w:r>
      <w:r>
        <w:rPr>
          <w:rFonts w:ascii="Times New Roman" w:hAnsi="Times New Roman"/>
          <w:sz w:val="24"/>
        </w:rPr>
        <w:t>e des moyennes pondérées des résultats de ces méthodes.</w:t>
      </w:r>
    </w:p>
    <w:p w:rsidR="008064D7" w:rsidRDefault="008064D7" w:rsidP="00736DE2">
      <w:pPr>
        <w:pStyle w:val="Paragraphedeliste"/>
        <w:spacing w:line="240" w:lineRule="auto"/>
        <w:ind w:left="786"/>
        <w:rPr>
          <w:rFonts w:ascii="Times New Roman" w:hAnsi="Times New Roman"/>
          <w:sz w:val="24"/>
        </w:rPr>
      </w:pPr>
    </w:p>
    <w:p w:rsidR="008064D7" w:rsidRDefault="008064D7" w:rsidP="00736DE2">
      <w:pPr>
        <w:pStyle w:val="Paragraphedeliste"/>
        <w:spacing w:line="240" w:lineRule="auto"/>
        <w:ind w:left="786"/>
        <w:rPr>
          <w:rFonts w:ascii="Times New Roman" w:hAnsi="Times New Roman"/>
          <w:sz w:val="24"/>
        </w:rPr>
      </w:pPr>
      <w:r>
        <w:rPr>
          <w:rFonts w:ascii="Times New Roman" w:hAnsi="Times New Roman"/>
          <w:sz w:val="24"/>
        </w:rPr>
        <w:t>Mais, à mon avis, il faudra toujours au moins reprendre dans les méthodes utilisées aux fins de juger les autres, la méthode DCF.</w:t>
      </w:r>
    </w:p>
    <w:p w:rsidR="008064D7" w:rsidRDefault="008064D7" w:rsidP="00736DE2">
      <w:pPr>
        <w:pStyle w:val="Paragraphedeliste"/>
        <w:spacing w:line="240" w:lineRule="auto"/>
        <w:ind w:left="786"/>
        <w:rPr>
          <w:rFonts w:ascii="Times New Roman" w:hAnsi="Times New Roman"/>
          <w:sz w:val="24"/>
        </w:rPr>
      </w:pPr>
    </w:p>
    <w:p w:rsidR="008064D7" w:rsidRDefault="008064D7" w:rsidP="00736DE2">
      <w:pPr>
        <w:pStyle w:val="Paragraphedeliste"/>
        <w:spacing w:line="240" w:lineRule="auto"/>
        <w:ind w:left="786"/>
        <w:rPr>
          <w:rFonts w:ascii="Times New Roman" w:hAnsi="Times New Roman"/>
          <w:sz w:val="24"/>
        </w:rPr>
      </w:pPr>
      <w:r>
        <w:rPr>
          <w:rFonts w:ascii="Times New Roman" w:hAnsi="Times New Roman"/>
          <w:sz w:val="24"/>
        </w:rPr>
        <w:t xml:space="preserve">Le </w:t>
      </w:r>
      <w:r w:rsidR="00C77AD5">
        <w:rPr>
          <w:rFonts w:ascii="Times New Roman" w:hAnsi="Times New Roman"/>
          <w:sz w:val="24"/>
        </w:rPr>
        <w:t>juge Américain retient que</w:t>
      </w:r>
      <w:r>
        <w:rPr>
          <w:rFonts w:ascii="Times New Roman" w:hAnsi="Times New Roman"/>
          <w:sz w:val="24"/>
        </w:rPr>
        <w:t> : « </w:t>
      </w:r>
      <w:r>
        <w:rPr>
          <w:rFonts w:ascii="Times New Roman" w:hAnsi="Times New Roman"/>
          <w:i/>
          <w:sz w:val="24"/>
        </w:rPr>
        <w:t>la valeur de marché</w:t>
      </w:r>
      <w:r>
        <w:rPr>
          <w:rFonts w:ascii="Times New Roman" w:hAnsi="Times New Roman"/>
          <w:sz w:val="24"/>
        </w:rPr>
        <w:t xml:space="preserve"> » </w:t>
      </w:r>
      <w:r w:rsidR="00C77AD5">
        <w:rPr>
          <w:rFonts w:ascii="Times New Roman" w:hAnsi="Times New Roman"/>
          <w:sz w:val="24"/>
        </w:rPr>
        <w:t>repose au moins sur le calcul résultant de</w:t>
      </w:r>
      <w:r>
        <w:rPr>
          <w:rFonts w:ascii="Times New Roman" w:hAnsi="Times New Roman"/>
          <w:sz w:val="24"/>
        </w:rPr>
        <w:t xml:space="preserve"> la méthode DCF</w:t>
      </w:r>
      <w:r>
        <w:rPr>
          <w:rStyle w:val="Appelnotedebasdep"/>
          <w:rFonts w:ascii="Times New Roman" w:hAnsi="Times New Roman"/>
          <w:sz w:val="24"/>
        </w:rPr>
        <w:footnoteReference w:id="164"/>
      </w:r>
      <w:r>
        <w:rPr>
          <w:rFonts w:ascii="Times New Roman" w:hAnsi="Times New Roman"/>
          <w:sz w:val="24"/>
        </w:rPr>
        <w:t>. Ce résultat est</w:t>
      </w:r>
      <w:r w:rsidR="00C77AD5">
        <w:rPr>
          <w:rFonts w:ascii="Times New Roman" w:hAnsi="Times New Roman"/>
          <w:sz w:val="24"/>
        </w:rPr>
        <w:t xml:space="preserve"> comparé et</w:t>
      </w:r>
      <w:r>
        <w:rPr>
          <w:rFonts w:ascii="Times New Roman" w:hAnsi="Times New Roman"/>
          <w:sz w:val="24"/>
        </w:rPr>
        <w:t xml:space="preserve"> analysé face aux « </w:t>
      </w:r>
      <w:r>
        <w:rPr>
          <w:rFonts w:ascii="Times New Roman" w:hAnsi="Times New Roman"/>
          <w:i/>
          <w:sz w:val="24"/>
        </w:rPr>
        <w:t>comparables</w:t>
      </w:r>
      <w:r>
        <w:rPr>
          <w:rFonts w:ascii="Times New Roman" w:hAnsi="Times New Roman"/>
          <w:sz w:val="24"/>
        </w:rPr>
        <w:t> »</w:t>
      </w:r>
      <w:r>
        <w:rPr>
          <w:rStyle w:val="Appelnotedebasdep"/>
          <w:rFonts w:ascii="Times New Roman" w:hAnsi="Times New Roman"/>
          <w:sz w:val="24"/>
        </w:rPr>
        <w:footnoteReference w:id="165"/>
      </w:r>
      <w:r>
        <w:rPr>
          <w:rFonts w:ascii="Times New Roman" w:hAnsi="Times New Roman"/>
          <w:sz w:val="24"/>
        </w:rPr>
        <w:t xml:space="preserve"> avec une analyse de sensitivité</w:t>
      </w:r>
      <w:r w:rsidRPr="00F038CD">
        <w:rPr>
          <w:rStyle w:val="Appelnotedebasdep"/>
          <w:rFonts w:ascii="Times New Roman" w:hAnsi="Times New Roman"/>
          <w:sz w:val="24"/>
        </w:rPr>
        <w:footnoteReference w:id="166"/>
      </w:r>
      <w:r>
        <w:rPr>
          <w:rStyle w:val="Appelnotedebasdep"/>
          <w:rFonts w:ascii="Times New Roman" w:hAnsi="Times New Roman"/>
          <w:sz w:val="24"/>
        </w:rPr>
        <w:footnoteReference w:id="167"/>
      </w:r>
      <w:r>
        <w:rPr>
          <w:rFonts w:ascii="Times New Roman" w:hAnsi="Times New Roman"/>
          <w:sz w:val="24"/>
        </w:rPr>
        <w:t>. La doctrine américaine présente les différentes méthodologies utilisables pour chaque type d’entreprise</w:t>
      </w:r>
      <w:r>
        <w:rPr>
          <w:rStyle w:val="Appelnotedebasdep"/>
          <w:rFonts w:ascii="Times New Roman" w:hAnsi="Times New Roman"/>
          <w:sz w:val="24"/>
        </w:rPr>
        <w:footnoteReference w:id="168"/>
      </w:r>
      <w:r>
        <w:rPr>
          <w:rFonts w:ascii="Times New Roman" w:hAnsi="Times New Roman"/>
          <w:sz w:val="24"/>
        </w:rPr>
        <w:t>.</w:t>
      </w:r>
    </w:p>
    <w:p w:rsidR="00C77AD5" w:rsidRDefault="00C77AD5" w:rsidP="00736DE2">
      <w:pPr>
        <w:pStyle w:val="Paragraphedeliste"/>
        <w:spacing w:line="240" w:lineRule="auto"/>
        <w:ind w:left="786"/>
        <w:rPr>
          <w:rFonts w:ascii="Times New Roman" w:hAnsi="Times New Roman"/>
          <w:sz w:val="24"/>
        </w:rPr>
      </w:pPr>
    </w:p>
    <w:p w:rsidR="00C77AD5" w:rsidRPr="00C516D5" w:rsidRDefault="00C77AD5" w:rsidP="00736DE2">
      <w:pPr>
        <w:pStyle w:val="Paragraphedeliste"/>
        <w:spacing w:line="240" w:lineRule="auto"/>
        <w:ind w:left="786"/>
        <w:rPr>
          <w:rFonts w:ascii="Times New Roman" w:hAnsi="Times New Roman"/>
          <w:sz w:val="24"/>
        </w:rPr>
      </w:pPr>
      <w:r>
        <w:rPr>
          <w:rFonts w:ascii="Times New Roman" w:hAnsi="Times New Roman"/>
          <w:sz w:val="24"/>
        </w:rPr>
        <w:t>Le choix même des méthodes est l’objet de la discussion des parties et du contrôle marginal du juge.</w:t>
      </w:r>
    </w:p>
    <w:p w:rsidR="008064D7" w:rsidRDefault="008064D7" w:rsidP="004B10FE">
      <w:pPr>
        <w:spacing w:line="240" w:lineRule="auto"/>
        <w:ind w:left="708"/>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sidRPr="0071523A">
        <w:rPr>
          <w:rFonts w:ascii="Times New Roman" w:hAnsi="Times New Roman"/>
          <w:sz w:val="24"/>
          <w:u w:val="single"/>
        </w:rPr>
        <w:t xml:space="preserve">La troisième étape est </w:t>
      </w:r>
      <w:r w:rsidRPr="00C77AD5">
        <w:rPr>
          <w:rFonts w:ascii="Times New Roman" w:hAnsi="Times New Roman"/>
          <w:b/>
          <w:sz w:val="24"/>
          <w:u w:val="single"/>
        </w:rPr>
        <w:t xml:space="preserve">la recherche des facteurs de calcul </w:t>
      </w:r>
      <w:r w:rsidRPr="00C77AD5">
        <w:rPr>
          <w:rFonts w:ascii="Times New Roman" w:hAnsi="Times New Roman"/>
          <w:sz w:val="24"/>
          <w:u w:val="single"/>
        </w:rPr>
        <w:t>qui, sur base de l’actualisation des flux financiers futurs,</w:t>
      </w:r>
      <w:r w:rsidRPr="0071523A">
        <w:rPr>
          <w:rFonts w:ascii="Times New Roman" w:hAnsi="Times New Roman"/>
          <w:sz w:val="24"/>
          <w:u w:val="single"/>
        </w:rPr>
        <w:t xml:space="preserve"> donne une image du comportement d’un investisseur qui devrait acquérir ces actions</w:t>
      </w:r>
      <w:r>
        <w:rPr>
          <w:rFonts w:ascii="Times New Roman" w:hAnsi="Times New Roman"/>
          <w:sz w:val="24"/>
          <w:u w:val="single"/>
        </w:rPr>
        <w:t xml:space="preserve"> (WAAC)</w:t>
      </w:r>
      <w:r>
        <w:rPr>
          <w:rFonts w:ascii="Times New Roman" w:hAnsi="Times New Roman"/>
          <w:sz w:val="24"/>
        </w:rPr>
        <w:t xml:space="preserve">. </w:t>
      </w:r>
    </w:p>
    <w:p w:rsidR="008064D7" w:rsidRDefault="008064D7" w:rsidP="00736DE2">
      <w:pPr>
        <w:pStyle w:val="Paragraphedeliste"/>
        <w:spacing w:line="240" w:lineRule="auto"/>
        <w:ind w:left="786"/>
        <w:rPr>
          <w:rFonts w:ascii="Times New Roman" w:hAnsi="Times New Roman"/>
          <w:sz w:val="24"/>
        </w:rPr>
      </w:pPr>
    </w:p>
    <w:p w:rsidR="008064D7" w:rsidRDefault="008064D7" w:rsidP="00736DE2">
      <w:pPr>
        <w:pStyle w:val="Paragraphedeliste"/>
        <w:spacing w:line="240" w:lineRule="auto"/>
        <w:ind w:left="786"/>
        <w:rPr>
          <w:rFonts w:ascii="Times New Roman" w:hAnsi="Times New Roman"/>
          <w:sz w:val="24"/>
        </w:rPr>
      </w:pPr>
      <w:r>
        <w:rPr>
          <w:rFonts w:ascii="Times New Roman" w:hAnsi="Times New Roman"/>
          <w:sz w:val="24"/>
        </w:rPr>
        <w:t xml:space="preserve">Le point capital </w:t>
      </w:r>
      <w:r w:rsidR="00C77AD5">
        <w:rPr>
          <w:rFonts w:ascii="Times New Roman" w:hAnsi="Times New Roman"/>
          <w:sz w:val="24"/>
        </w:rPr>
        <w:t>qui focalise les débats des parties et le contrôle du juge</w:t>
      </w:r>
      <w:r>
        <w:rPr>
          <w:rFonts w:ascii="Times New Roman" w:hAnsi="Times New Roman"/>
          <w:sz w:val="24"/>
        </w:rPr>
        <w:t xml:space="preserve"> est le calcul du </w:t>
      </w:r>
      <w:r w:rsidRPr="00FD207B">
        <w:rPr>
          <w:rFonts w:ascii="Times New Roman" w:hAnsi="Times New Roman"/>
          <w:sz w:val="24"/>
          <w:u w:val="single"/>
        </w:rPr>
        <w:t>coût moyen pondéré du capital</w:t>
      </w:r>
      <w:r w:rsidRPr="00173E62">
        <w:rPr>
          <w:rFonts w:ascii="Times New Roman" w:hAnsi="Times New Roman"/>
          <w:sz w:val="24"/>
        </w:rPr>
        <w:t xml:space="preserve"> (en Français </w:t>
      </w:r>
      <w:r w:rsidRPr="00FD207B">
        <w:rPr>
          <w:rFonts w:ascii="Times New Roman" w:hAnsi="Times New Roman"/>
          <w:sz w:val="24"/>
          <w:u w:val="single"/>
        </w:rPr>
        <w:t>CPMC</w:t>
      </w:r>
      <w:r w:rsidRPr="00173E62">
        <w:rPr>
          <w:rFonts w:ascii="Times New Roman" w:hAnsi="Times New Roman"/>
          <w:sz w:val="24"/>
        </w:rPr>
        <w:t xml:space="preserve"> en </w:t>
      </w:r>
      <w:r>
        <w:rPr>
          <w:rFonts w:ascii="Times New Roman" w:hAnsi="Times New Roman"/>
          <w:sz w:val="24"/>
        </w:rPr>
        <w:t>Anglais</w:t>
      </w:r>
      <w:r w:rsidRPr="00173E62">
        <w:rPr>
          <w:rFonts w:ascii="Times New Roman" w:hAnsi="Times New Roman"/>
          <w:sz w:val="24"/>
        </w:rPr>
        <w:t xml:space="preserve"> </w:t>
      </w:r>
      <w:r w:rsidRPr="00FD207B">
        <w:rPr>
          <w:rFonts w:ascii="Times New Roman" w:hAnsi="Times New Roman"/>
          <w:sz w:val="24"/>
          <w:u w:val="single"/>
        </w:rPr>
        <w:t>WAAC</w:t>
      </w:r>
      <w:r w:rsidRPr="00173E62">
        <w:rPr>
          <w:rFonts w:ascii="Times New Roman" w:hAnsi="Times New Roman"/>
          <w:sz w:val="24"/>
        </w:rPr>
        <w:t xml:space="preserve">) </w:t>
      </w:r>
      <w:r w:rsidR="00C77AD5">
        <w:rPr>
          <w:rFonts w:ascii="Times New Roman" w:hAnsi="Times New Roman"/>
          <w:sz w:val="24"/>
        </w:rPr>
        <w:t>représentant</w:t>
      </w:r>
      <w:r w:rsidRPr="00173E62">
        <w:rPr>
          <w:rFonts w:ascii="Times New Roman" w:hAnsi="Times New Roman"/>
          <w:sz w:val="24"/>
        </w:rPr>
        <w:t xml:space="preserve"> la moyenne pondérée du coût des capitaux propres et de capital externe à «</w:t>
      </w:r>
      <w:r w:rsidRPr="00376EA5">
        <w:rPr>
          <w:rFonts w:ascii="Times New Roman" w:hAnsi="Times New Roman"/>
          <w:i/>
          <w:sz w:val="24"/>
        </w:rPr>
        <w:t xml:space="preserve"> peser</w:t>
      </w:r>
      <w:r w:rsidRPr="00173E62">
        <w:rPr>
          <w:rFonts w:ascii="Times New Roman" w:hAnsi="Times New Roman"/>
          <w:sz w:val="24"/>
        </w:rPr>
        <w:t xml:space="preserve"> » sur la base de la part que chaque type de capital détient dans le financement global de l'entreprise. Est compris dans le CMPC trois paramètres clés à savoir </w:t>
      </w:r>
      <w:r w:rsidRPr="00FD207B">
        <w:rPr>
          <w:rFonts w:ascii="Times New Roman" w:hAnsi="Times New Roman"/>
          <w:sz w:val="24"/>
          <w:u w:val="single"/>
        </w:rPr>
        <w:t>le taux d’intérêt</w:t>
      </w:r>
      <w:r w:rsidRPr="00173E62">
        <w:rPr>
          <w:rFonts w:ascii="Times New Roman" w:hAnsi="Times New Roman"/>
          <w:sz w:val="24"/>
        </w:rPr>
        <w:t xml:space="preserve"> qu’obtiendrait un investisseur d’un placement sans risque (souvent calculé sur base des taux des OLO) </w:t>
      </w:r>
      <w:r w:rsidRPr="00FD207B">
        <w:rPr>
          <w:rFonts w:ascii="Times New Roman" w:hAnsi="Times New Roman"/>
          <w:sz w:val="24"/>
          <w:u w:val="single"/>
        </w:rPr>
        <w:t>une prime de risque</w:t>
      </w:r>
      <w:r>
        <w:rPr>
          <w:rFonts w:ascii="Times New Roman" w:hAnsi="Times New Roman"/>
          <w:sz w:val="24"/>
        </w:rPr>
        <w:t xml:space="preserve"> </w:t>
      </w:r>
      <w:r w:rsidRPr="00173E62">
        <w:rPr>
          <w:rFonts w:ascii="Times New Roman" w:hAnsi="Times New Roman"/>
          <w:sz w:val="24"/>
        </w:rPr>
        <w:t xml:space="preserve">qui dépends de la nature des entreprises (PME , grandes entreprises ou sociétés cotées) supposé représenter le risque afférents à un investissement dans ces types d’entreprises et </w:t>
      </w:r>
      <w:r w:rsidRPr="00FD207B">
        <w:rPr>
          <w:rFonts w:ascii="Times New Roman" w:hAnsi="Times New Roman"/>
          <w:sz w:val="24"/>
          <w:u w:val="single"/>
        </w:rPr>
        <w:t>la prime de risque qui dépends de l’entreprise concrète</w:t>
      </w:r>
      <w:r w:rsidRPr="00173E62">
        <w:rPr>
          <w:rFonts w:ascii="Times New Roman" w:hAnsi="Times New Roman"/>
          <w:sz w:val="24"/>
        </w:rPr>
        <w:t xml:space="preserve">, de son secteur et de son activité mais aussi du climat économique </w:t>
      </w:r>
      <w:r w:rsidRPr="00173E62">
        <w:rPr>
          <w:rFonts w:ascii="Times New Roman" w:hAnsi="Times New Roman"/>
          <w:sz w:val="24"/>
        </w:rPr>
        <w:lastRenderedPageBreak/>
        <w:t xml:space="preserve">et financier du moment. </w:t>
      </w:r>
      <w:r w:rsidR="00C77AD5">
        <w:rPr>
          <w:rFonts w:ascii="Times New Roman" w:hAnsi="Times New Roman"/>
          <w:sz w:val="24"/>
        </w:rPr>
        <w:t>Ces éléments seront source de discussion. On voit bien, dans cette période de Covid, que ces paramètres sont source de débat.</w:t>
      </w:r>
    </w:p>
    <w:p w:rsidR="008064D7" w:rsidRDefault="008064D7" w:rsidP="00736DE2">
      <w:pPr>
        <w:pStyle w:val="Paragraphedeliste"/>
        <w:spacing w:line="240" w:lineRule="auto"/>
        <w:ind w:left="786"/>
        <w:rPr>
          <w:rFonts w:ascii="Times New Roman" w:hAnsi="Times New Roman"/>
          <w:sz w:val="24"/>
        </w:rPr>
      </w:pPr>
    </w:p>
    <w:p w:rsidR="0074452C" w:rsidRDefault="00C77AD5" w:rsidP="00F038CD">
      <w:pPr>
        <w:pStyle w:val="Paragraphedeliste"/>
        <w:spacing w:line="240" w:lineRule="auto"/>
        <w:ind w:left="786"/>
        <w:rPr>
          <w:rFonts w:ascii="Times New Roman" w:hAnsi="Times New Roman"/>
          <w:sz w:val="24"/>
        </w:rPr>
      </w:pPr>
      <w:r>
        <w:rPr>
          <w:rFonts w:ascii="Times New Roman" w:hAnsi="Times New Roman"/>
          <w:sz w:val="24"/>
        </w:rPr>
        <w:t>Cette discussion se base sur des faits :</w:t>
      </w:r>
      <w:r w:rsidR="008064D7" w:rsidRPr="00173E62">
        <w:rPr>
          <w:rFonts w:ascii="Times New Roman" w:hAnsi="Times New Roman"/>
          <w:sz w:val="24"/>
        </w:rPr>
        <w:t xml:space="preserve"> comme investisseur à ce moment de l’histoire</w:t>
      </w:r>
      <w:r w:rsidR="008064D7">
        <w:rPr>
          <w:rFonts w:ascii="Times New Roman" w:hAnsi="Times New Roman"/>
          <w:sz w:val="24"/>
        </w:rPr>
        <w:t>,</w:t>
      </w:r>
      <w:r w:rsidR="008064D7" w:rsidRPr="00173E62">
        <w:rPr>
          <w:rFonts w:ascii="Times New Roman" w:hAnsi="Times New Roman"/>
          <w:sz w:val="24"/>
        </w:rPr>
        <w:t xml:space="preserve"> quelle est la rémunération supplémentaire </w:t>
      </w:r>
      <w:r>
        <w:rPr>
          <w:rFonts w:ascii="Times New Roman" w:hAnsi="Times New Roman"/>
          <w:sz w:val="24"/>
        </w:rPr>
        <w:t>qu’il voudrais avoir pour s</w:t>
      </w:r>
      <w:r w:rsidR="008064D7" w:rsidRPr="00173E62">
        <w:rPr>
          <w:rFonts w:ascii="Times New Roman" w:hAnsi="Times New Roman"/>
          <w:sz w:val="24"/>
        </w:rPr>
        <w:t>e décider à investir dans une société d’espèce plutôt que d’investir dans ce qui est</w:t>
      </w:r>
      <w:r w:rsidR="008064D7">
        <w:rPr>
          <w:rFonts w:ascii="Times New Roman" w:hAnsi="Times New Roman"/>
          <w:sz w:val="24"/>
        </w:rPr>
        <w:t xml:space="preserve"> présenté comme sur le carnet d’</w:t>
      </w:r>
      <w:r w:rsidR="008064D7" w:rsidRPr="00173E62">
        <w:rPr>
          <w:rFonts w:ascii="Times New Roman" w:hAnsi="Times New Roman"/>
          <w:sz w:val="24"/>
        </w:rPr>
        <w:t>épargne sans risque</w:t>
      </w:r>
      <w:r w:rsidR="008064D7">
        <w:rPr>
          <w:rFonts w:ascii="Times New Roman" w:hAnsi="Times New Roman"/>
          <w:sz w:val="24"/>
        </w:rPr>
        <w:t xml:space="preserve"> ? </w:t>
      </w:r>
    </w:p>
    <w:p w:rsidR="0074452C" w:rsidRDefault="0074452C" w:rsidP="00F038CD">
      <w:pPr>
        <w:pStyle w:val="Paragraphedeliste"/>
        <w:spacing w:line="240" w:lineRule="auto"/>
        <w:ind w:left="786"/>
        <w:rPr>
          <w:rFonts w:ascii="Times New Roman" w:hAnsi="Times New Roman"/>
          <w:sz w:val="24"/>
        </w:rPr>
      </w:pPr>
    </w:p>
    <w:p w:rsidR="008064D7" w:rsidRPr="00F038CD" w:rsidRDefault="008064D7" w:rsidP="00F038CD">
      <w:pPr>
        <w:pStyle w:val="Paragraphedeliste"/>
        <w:spacing w:line="240" w:lineRule="auto"/>
        <w:ind w:left="786"/>
        <w:rPr>
          <w:rFonts w:ascii="Times New Roman" w:hAnsi="Times New Roman"/>
          <w:sz w:val="24"/>
        </w:rPr>
      </w:pPr>
      <w:r w:rsidRPr="00F038CD">
        <w:rPr>
          <w:rFonts w:ascii="Times New Roman" w:hAnsi="Times New Roman"/>
          <w:sz w:val="24"/>
        </w:rPr>
        <w:t>Le taux des OLO est public et évolue au gré de la situation économique. S’il est bas, l’investisseur n’a pas d’autres alternatives que d’investir à</w:t>
      </w:r>
      <w:r w:rsidR="0074452C">
        <w:rPr>
          <w:rFonts w:ascii="Times New Roman" w:hAnsi="Times New Roman"/>
          <w:sz w:val="24"/>
        </w:rPr>
        <w:t xml:space="preserve"> risque pour avoir un rendement. On</w:t>
      </w:r>
      <w:r w:rsidRPr="00F038CD">
        <w:rPr>
          <w:rFonts w:ascii="Times New Roman" w:hAnsi="Times New Roman"/>
          <w:sz w:val="24"/>
        </w:rPr>
        <w:t xml:space="preserve"> a vu apparaître, après 2008, des fonds distribuant l’épargne devenue très grande et les liquidités crées par les banques centrales pour soutenir la reprise et les banques dans de très nombreuses entreprises, y compris en difficultés (</w:t>
      </w:r>
      <w:r w:rsidRPr="00A92D75">
        <w:rPr>
          <w:rFonts w:ascii="Times New Roman" w:hAnsi="Times New Roman"/>
          <w:i/>
          <w:sz w:val="24"/>
        </w:rPr>
        <w:t>distress LBO</w:t>
      </w:r>
      <w:r w:rsidRPr="00F038CD">
        <w:rPr>
          <w:rFonts w:ascii="Times New Roman" w:hAnsi="Times New Roman"/>
          <w:sz w:val="24"/>
        </w:rPr>
        <w:t xml:space="preserve">, </w:t>
      </w:r>
      <w:r w:rsidRPr="00A92D75">
        <w:rPr>
          <w:rFonts w:ascii="Times New Roman" w:hAnsi="Times New Roman"/>
          <w:i/>
          <w:sz w:val="24"/>
        </w:rPr>
        <w:t>distress funds</w:t>
      </w:r>
      <w:r w:rsidRPr="00F038CD">
        <w:rPr>
          <w:rFonts w:ascii="Times New Roman" w:hAnsi="Times New Roman"/>
          <w:sz w:val="24"/>
        </w:rPr>
        <w:t>, rachat de dette).</w:t>
      </w:r>
    </w:p>
    <w:p w:rsidR="008064D7" w:rsidRDefault="008064D7" w:rsidP="00736DE2">
      <w:pPr>
        <w:pStyle w:val="Paragraphedeliste"/>
        <w:spacing w:line="240" w:lineRule="auto"/>
        <w:ind w:left="786"/>
        <w:rPr>
          <w:rFonts w:ascii="Times New Roman" w:hAnsi="Times New Roman"/>
          <w:sz w:val="24"/>
        </w:rPr>
      </w:pPr>
    </w:p>
    <w:p w:rsidR="008064D7" w:rsidRDefault="0074452C" w:rsidP="00736DE2">
      <w:pPr>
        <w:pStyle w:val="Paragraphedeliste"/>
        <w:spacing w:line="240" w:lineRule="auto"/>
        <w:ind w:left="786"/>
        <w:rPr>
          <w:rFonts w:ascii="Times New Roman" w:hAnsi="Times New Roman"/>
          <w:sz w:val="24"/>
        </w:rPr>
      </w:pPr>
      <w:r>
        <w:rPr>
          <w:rFonts w:ascii="Times New Roman" w:hAnsi="Times New Roman"/>
          <w:sz w:val="24"/>
        </w:rPr>
        <w:t>Un</w:t>
      </w:r>
      <w:r w:rsidR="008064D7">
        <w:rPr>
          <w:rFonts w:ascii="Times New Roman" w:hAnsi="Times New Roman"/>
          <w:sz w:val="24"/>
        </w:rPr>
        <w:t xml:space="preserve"> juge américain</w:t>
      </w:r>
      <w:r w:rsidR="008064D7">
        <w:rPr>
          <w:rStyle w:val="Appelnotedebasdep"/>
          <w:rFonts w:ascii="Times New Roman" w:hAnsi="Times New Roman"/>
          <w:sz w:val="24"/>
        </w:rPr>
        <w:footnoteReference w:id="169"/>
      </w:r>
      <w:r w:rsidR="008064D7">
        <w:rPr>
          <w:rFonts w:ascii="Times New Roman" w:hAnsi="Times New Roman"/>
          <w:sz w:val="24"/>
        </w:rPr>
        <w:t xml:space="preserve"> justifie retenir un coût de capital de 13%, ce qui le conduit à proposer un WAAC de 9,6%. Il expose que ce taux donnait une valeur haute de 120 millions contre une valeur comparable d’autres sociétés de 100 et une valeur de transactions comparable de 185, ce qui, en pondérant sur b</w:t>
      </w:r>
      <w:r>
        <w:rPr>
          <w:rFonts w:ascii="Times New Roman" w:hAnsi="Times New Roman"/>
          <w:sz w:val="24"/>
        </w:rPr>
        <w:t xml:space="preserve">ase des valeurs moyennes, l’a </w:t>
      </w:r>
      <w:r w:rsidR="008064D7">
        <w:rPr>
          <w:rFonts w:ascii="Times New Roman" w:hAnsi="Times New Roman"/>
          <w:sz w:val="24"/>
        </w:rPr>
        <w:t>conduit à retenir 113 millions pas très éloigné du DCF pondéré.</w:t>
      </w:r>
    </w:p>
    <w:p w:rsidR="008064D7" w:rsidRDefault="008064D7" w:rsidP="00736DE2">
      <w:pPr>
        <w:pStyle w:val="Paragraphedeliste"/>
        <w:spacing w:line="240" w:lineRule="auto"/>
        <w:ind w:left="786"/>
        <w:rPr>
          <w:rFonts w:ascii="Times New Roman" w:hAnsi="Times New Roman"/>
          <w:sz w:val="24"/>
        </w:rPr>
      </w:pPr>
    </w:p>
    <w:p w:rsidR="008064D7" w:rsidRDefault="008064D7" w:rsidP="00736DE2">
      <w:pPr>
        <w:pStyle w:val="Paragraphedeliste"/>
        <w:spacing w:line="240" w:lineRule="auto"/>
        <w:ind w:left="786"/>
        <w:rPr>
          <w:rFonts w:ascii="Times New Roman" w:hAnsi="Times New Roman"/>
          <w:sz w:val="24"/>
        </w:rPr>
      </w:pPr>
      <w:r>
        <w:rPr>
          <w:rFonts w:ascii="Times New Roman" w:hAnsi="Times New Roman"/>
          <w:sz w:val="24"/>
        </w:rPr>
        <w:t>Un auteur</w:t>
      </w:r>
      <w:r>
        <w:rPr>
          <w:rStyle w:val="Appelnotedebasdep"/>
          <w:rFonts w:ascii="Times New Roman" w:hAnsi="Times New Roman"/>
          <w:sz w:val="24"/>
        </w:rPr>
        <w:footnoteReference w:id="170"/>
      </w:r>
      <w:r>
        <w:rPr>
          <w:rFonts w:ascii="Times New Roman" w:hAnsi="Times New Roman"/>
          <w:sz w:val="24"/>
        </w:rPr>
        <w:t xml:space="preserve"> décrit parfaitement les balises qui doivent permettre de fixer un WAAC correct sur base d’auteurs américains et d’une analyse des transactions. </w:t>
      </w:r>
    </w:p>
    <w:p w:rsidR="008064D7" w:rsidRDefault="008064D7" w:rsidP="004B10FE">
      <w:pPr>
        <w:spacing w:line="240" w:lineRule="auto"/>
        <w:ind w:left="708"/>
        <w:rPr>
          <w:rFonts w:ascii="Times New Roman" w:hAnsi="Times New Roman"/>
          <w:sz w:val="24"/>
        </w:rPr>
      </w:pPr>
    </w:p>
    <w:p w:rsidR="008064D7" w:rsidRDefault="008064D7" w:rsidP="00736DE2">
      <w:pPr>
        <w:pStyle w:val="Paragraphedeliste"/>
        <w:spacing w:line="240" w:lineRule="auto"/>
        <w:ind w:left="786"/>
        <w:rPr>
          <w:rFonts w:ascii="Times New Roman" w:hAnsi="Times New Roman"/>
          <w:sz w:val="24"/>
        </w:rPr>
      </w:pPr>
      <w:r>
        <w:rPr>
          <w:rFonts w:ascii="Times New Roman" w:hAnsi="Times New Roman"/>
          <w:sz w:val="24"/>
        </w:rPr>
        <w:t xml:space="preserve">La prime spécifique à un type de taille d’entreprise se discute au départ de comparable. </w:t>
      </w:r>
    </w:p>
    <w:p w:rsidR="008064D7" w:rsidRDefault="008064D7" w:rsidP="004B10FE">
      <w:pPr>
        <w:spacing w:line="240" w:lineRule="auto"/>
        <w:ind w:left="708"/>
        <w:rPr>
          <w:rFonts w:ascii="Times New Roman" w:hAnsi="Times New Roman"/>
          <w:sz w:val="24"/>
        </w:rPr>
      </w:pPr>
    </w:p>
    <w:p w:rsidR="008064D7" w:rsidRDefault="008064D7" w:rsidP="00736DE2">
      <w:pPr>
        <w:pStyle w:val="Paragraphedeliste"/>
        <w:spacing w:line="240" w:lineRule="auto"/>
        <w:ind w:left="786"/>
        <w:rPr>
          <w:rFonts w:ascii="Times New Roman" w:hAnsi="Times New Roman"/>
          <w:sz w:val="24"/>
        </w:rPr>
      </w:pPr>
      <w:r>
        <w:rPr>
          <w:rFonts w:ascii="Times New Roman" w:hAnsi="Times New Roman"/>
          <w:sz w:val="24"/>
        </w:rPr>
        <w:t xml:space="preserve">La prime de risque de l’activité est l’élément le plus difficile et le plus souvent pertinent pour l’évaluation </w:t>
      </w:r>
      <w:r w:rsidRPr="007C17D3">
        <w:rPr>
          <w:rFonts w:ascii="Times New Roman" w:hAnsi="Times New Roman"/>
          <w:i/>
          <w:sz w:val="24"/>
        </w:rPr>
        <w:t>going-concern</w:t>
      </w:r>
      <w:r>
        <w:rPr>
          <w:rFonts w:ascii="Times New Roman" w:hAnsi="Times New Roman"/>
          <w:sz w:val="24"/>
        </w:rPr>
        <w:t xml:space="preserve"> d’une entreprise confrontée à un retournement. On la définit usuellement comme :  </w:t>
      </w:r>
    </w:p>
    <w:p w:rsidR="008064D7" w:rsidRPr="00FD207B" w:rsidRDefault="008064D7" w:rsidP="00A92D75">
      <w:pPr>
        <w:shd w:val="clear" w:color="auto" w:fill="FFFFFF"/>
        <w:spacing w:before="120" w:after="120" w:line="240" w:lineRule="auto"/>
        <w:ind w:left="1440"/>
        <w:rPr>
          <w:rFonts w:ascii="Times New Roman" w:hAnsi="Times New Roman"/>
          <w:i/>
          <w:sz w:val="23"/>
          <w:szCs w:val="23"/>
          <w:lang w:eastAsia="fr-BE"/>
        </w:rPr>
      </w:pPr>
      <w:r w:rsidRPr="00FD207B">
        <w:rPr>
          <w:rFonts w:ascii="Times New Roman" w:hAnsi="Times New Roman"/>
          <w:i/>
          <w:sz w:val="23"/>
          <w:szCs w:val="23"/>
          <w:lang w:eastAsia="fr-BE"/>
        </w:rPr>
        <w:t>Le supplément de rendement exigé par un investisseur afin de compenser un niveau de risque supérieur à la moyenne. Ce phénomène trouve son origine dans l'</w:t>
      </w:r>
      <w:hyperlink r:id="rId8" w:tooltip="Aversion au risque" w:history="1">
        <w:r w:rsidRPr="00FD207B">
          <w:rPr>
            <w:rFonts w:ascii="Times New Roman" w:hAnsi="Times New Roman"/>
            <w:i/>
            <w:sz w:val="23"/>
            <w:szCs w:val="23"/>
            <w:lang w:eastAsia="fr-BE"/>
          </w:rPr>
          <w:t>aversion au risque</w:t>
        </w:r>
      </w:hyperlink>
      <w:r w:rsidRPr="00FD207B">
        <w:rPr>
          <w:rFonts w:ascii="Times New Roman" w:hAnsi="Times New Roman"/>
          <w:i/>
          <w:sz w:val="23"/>
          <w:szCs w:val="23"/>
          <w:lang w:eastAsia="fr-BE"/>
        </w:rPr>
        <w:t> consubstantielle aux </w:t>
      </w:r>
      <w:hyperlink r:id="rId9" w:tooltip="Investisseur" w:history="1">
        <w:r w:rsidRPr="00FD207B">
          <w:rPr>
            <w:rFonts w:ascii="Times New Roman" w:hAnsi="Times New Roman"/>
            <w:i/>
            <w:sz w:val="23"/>
            <w:szCs w:val="23"/>
            <w:lang w:eastAsia="fr-BE"/>
          </w:rPr>
          <w:t>investisseurs</w:t>
        </w:r>
      </w:hyperlink>
      <w:r w:rsidRPr="00FD207B">
        <w:rPr>
          <w:rFonts w:ascii="Times New Roman" w:hAnsi="Times New Roman"/>
          <w:i/>
          <w:sz w:val="23"/>
          <w:szCs w:val="23"/>
          <w:lang w:eastAsia="fr-BE"/>
        </w:rPr>
        <w:t> : ceux-ci tendent à préférer un gain faible avec une probabilité de paiement élevée à un gain élevé mais assorti d'une probabilité plus faible. La demande des actifs risqués est ainsi moins forte que celle adressée aux actifs à risque faible.</w:t>
      </w:r>
    </w:p>
    <w:p w:rsidR="008064D7" w:rsidRPr="00FD207B" w:rsidRDefault="008064D7" w:rsidP="00A92D75">
      <w:pPr>
        <w:shd w:val="clear" w:color="auto" w:fill="FFFFFF"/>
        <w:spacing w:before="120" w:after="120" w:line="240" w:lineRule="auto"/>
        <w:ind w:left="1440"/>
        <w:rPr>
          <w:rFonts w:ascii="Times New Roman" w:hAnsi="Times New Roman"/>
          <w:i/>
          <w:sz w:val="23"/>
          <w:szCs w:val="23"/>
          <w:lang w:eastAsia="fr-BE"/>
        </w:rPr>
      </w:pPr>
      <w:r w:rsidRPr="00FD207B">
        <w:rPr>
          <w:rFonts w:ascii="Times New Roman" w:hAnsi="Times New Roman"/>
          <w:i/>
          <w:sz w:val="23"/>
          <w:szCs w:val="23"/>
          <w:lang w:eastAsia="fr-BE"/>
        </w:rPr>
        <w:t>Les investisseurs exigent ainsi souvent, pour investir dans une entreprise (par l'achat d'</w:t>
      </w:r>
      <w:hyperlink r:id="rId10" w:tooltip="Action (finance)" w:history="1">
        <w:r w:rsidRPr="00FD207B">
          <w:rPr>
            <w:rFonts w:ascii="Times New Roman" w:hAnsi="Times New Roman"/>
            <w:i/>
            <w:sz w:val="23"/>
            <w:szCs w:val="23"/>
            <w:lang w:eastAsia="fr-BE"/>
          </w:rPr>
          <w:t>actions</w:t>
        </w:r>
      </w:hyperlink>
      <w:r w:rsidRPr="00FD207B">
        <w:rPr>
          <w:rFonts w:ascii="Times New Roman" w:hAnsi="Times New Roman"/>
          <w:i/>
          <w:sz w:val="23"/>
          <w:szCs w:val="23"/>
          <w:lang w:eastAsia="fr-BE"/>
        </w:rPr>
        <w:t> ou de tout titre financier émis par des entreprises), que le rendement attendu soit supérieur à celui d'un placement non risqué, c'est-à-dire celui des </w:t>
      </w:r>
      <w:hyperlink r:id="rId11" w:tooltip="Emprunt d'État" w:history="1">
        <w:r w:rsidRPr="00FD207B">
          <w:rPr>
            <w:rFonts w:ascii="Times New Roman" w:hAnsi="Times New Roman"/>
            <w:i/>
            <w:sz w:val="23"/>
            <w:szCs w:val="23"/>
            <w:lang w:eastAsia="fr-BE"/>
          </w:rPr>
          <w:t>emprunts d'État</w:t>
        </w:r>
      </w:hyperlink>
      <w:r w:rsidRPr="00FD207B">
        <w:rPr>
          <w:rFonts w:ascii="Times New Roman" w:hAnsi="Times New Roman"/>
          <w:i/>
          <w:sz w:val="23"/>
          <w:szCs w:val="23"/>
          <w:lang w:eastAsia="fr-BE"/>
        </w:rPr>
        <w:t>. Cette différence de taux, ce revenu supplémentaire espéré exigé, constitue la prime de risque. Le taux correspondant, qui est la somme du </w:t>
      </w:r>
      <w:hyperlink r:id="rId12" w:tooltip="Taux non risqué" w:history="1">
        <w:r w:rsidRPr="00FD207B">
          <w:rPr>
            <w:rFonts w:ascii="Times New Roman" w:hAnsi="Times New Roman"/>
            <w:i/>
            <w:sz w:val="23"/>
            <w:szCs w:val="23"/>
            <w:lang w:eastAsia="fr-BE"/>
          </w:rPr>
          <w:t>taux non risqué</w:t>
        </w:r>
      </w:hyperlink>
      <w:r w:rsidRPr="00FD207B">
        <w:rPr>
          <w:rFonts w:ascii="Times New Roman" w:hAnsi="Times New Roman"/>
          <w:i/>
          <w:sz w:val="23"/>
          <w:szCs w:val="23"/>
          <w:lang w:eastAsia="fr-BE"/>
        </w:rPr>
        <w:t> et de la prime de risque, est le taux risqué. En période de grande euphorie (</w:t>
      </w:r>
      <w:hyperlink r:id="rId13" w:tooltip="Bulle spéculative" w:history="1">
        <w:r w:rsidRPr="00FD207B">
          <w:rPr>
            <w:rFonts w:ascii="Times New Roman" w:hAnsi="Times New Roman"/>
            <w:i/>
            <w:sz w:val="23"/>
            <w:szCs w:val="23"/>
            <w:lang w:eastAsia="fr-BE"/>
          </w:rPr>
          <w:t>bulle spéculative</w:t>
        </w:r>
      </w:hyperlink>
      <w:r w:rsidRPr="00FD207B">
        <w:rPr>
          <w:rFonts w:ascii="Times New Roman" w:hAnsi="Times New Roman"/>
          <w:i/>
          <w:sz w:val="23"/>
          <w:szCs w:val="23"/>
          <w:lang w:eastAsia="fr-BE"/>
        </w:rPr>
        <w:t>), la prime de risque s'annule (</w:t>
      </w:r>
      <w:hyperlink r:id="rId14" w:tooltip="Neutralité au risque (page inexistante)" w:history="1">
        <w:r w:rsidRPr="00FD207B">
          <w:rPr>
            <w:rFonts w:ascii="Times New Roman" w:hAnsi="Times New Roman"/>
            <w:i/>
            <w:sz w:val="23"/>
            <w:szCs w:val="23"/>
            <w:lang w:eastAsia="fr-BE"/>
          </w:rPr>
          <w:t>neutralité au risque</w:t>
        </w:r>
      </w:hyperlink>
      <w:r w:rsidRPr="00FD207B">
        <w:rPr>
          <w:rFonts w:ascii="Times New Roman" w:hAnsi="Times New Roman"/>
          <w:i/>
          <w:sz w:val="23"/>
          <w:szCs w:val="23"/>
          <w:lang w:eastAsia="fr-BE"/>
        </w:rPr>
        <w:t>), voire devient négative (recherche du risque).</w:t>
      </w:r>
    </w:p>
    <w:p w:rsidR="008064D7" w:rsidRPr="00FD207B" w:rsidRDefault="008064D7" w:rsidP="00A92D75">
      <w:pPr>
        <w:shd w:val="clear" w:color="auto" w:fill="FFFFFF"/>
        <w:spacing w:before="120" w:after="120" w:line="240" w:lineRule="auto"/>
        <w:ind w:left="1440"/>
        <w:rPr>
          <w:rFonts w:ascii="Times New Roman" w:hAnsi="Times New Roman"/>
          <w:i/>
          <w:sz w:val="23"/>
          <w:szCs w:val="23"/>
          <w:lang w:eastAsia="fr-BE"/>
        </w:rPr>
      </w:pPr>
      <w:r w:rsidRPr="00FD207B">
        <w:rPr>
          <w:rFonts w:ascii="Times New Roman" w:hAnsi="Times New Roman"/>
          <w:i/>
          <w:sz w:val="23"/>
          <w:szCs w:val="23"/>
          <w:lang w:eastAsia="fr-BE"/>
        </w:rPr>
        <w:t>Sur les marchés connus, la prime de risque varie autour de 8 % à 10 %, et monte à 25 % sur les marchés avec grande incertitude. Sur les marchés "nouveaux" (nouveaux produits ou concepts), elle peut monter à 65 %.</w:t>
      </w:r>
    </w:p>
    <w:p w:rsidR="008064D7" w:rsidRPr="00C002C2" w:rsidRDefault="008064D7" w:rsidP="004B10FE">
      <w:pPr>
        <w:spacing w:line="240" w:lineRule="auto"/>
        <w:ind w:left="720"/>
      </w:pPr>
    </w:p>
    <w:p w:rsidR="008064D7" w:rsidRDefault="008064D7" w:rsidP="004B10FE">
      <w:pPr>
        <w:spacing w:line="240" w:lineRule="auto"/>
        <w:ind w:left="720"/>
        <w:rPr>
          <w:rFonts w:ascii="Times New Roman" w:hAnsi="Times New Roman"/>
          <w:sz w:val="24"/>
        </w:rPr>
      </w:pPr>
    </w:p>
    <w:p w:rsidR="008064D7" w:rsidRDefault="008064D7" w:rsidP="00736DE2">
      <w:pPr>
        <w:spacing w:line="240" w:lineRule="auto"/>
        <w:ind w:left="720"/>
        <w:rPr>
          <w:rFonts w:ascii="Times New Roman" w:hAnsi="Times New Roman"/>
          <w:sz w:val="24"/>
        </w:rPr>
      </w:pPr>
      <w:r>
        <w:rPr>
          <w:rFonts w:ascii="Times New Roman" w:hAnsi="Times New Roman"/>
          <w:sz w:val="24"/>
        </w:rPr>
        <w:t xml:space="preserve">Plus la prime de risque est grande, plus la valeur de l’entreprise diminue (de manière assez exponentielle) de telle sorte que sa fixation a un impact très important sur la valeur. Pour une entreprise en procédure de PRJ, le concept est plus complexe. </w:t>
      </w:r>
    </w:p>
    <w:p w:rsidR="008064D7" w:rsidRDefault="008064D7" w:rsidP="00736DE2">
      <w:pPr>
        <w:spacing w:line="240" w:lineRule="auto"/>
        <w:ind w:left="720"/>
        <w:rPr>
          <w:rFonts w:ascii="Times New Roman" w:hAnsi="Times New Roman"/>
          <w:sz w:val="24"/>
        </w:rPr>
      </w:pPr>
    </w:p>
    <w:p w:rsidR="008064D7" w:rsidRDefault="008064D7" w:rsidP="00736DE2">
      <w:pPr>
        <w:spacing w:line="240" w:lineRule="auto"/>
        <w:ind w:left="720"/>
        <w:rPr>
          <w:rFonts w:ascii="Times New Roman" w:hAnsi="Times New Roman"/>
          <w:sz w:val="24"/>
        </w:rPr>
      </w:pPr>
      <w:r>
        <w:rPr>
          <w:rFonts w:ascii="Times New Roman" w:hAnsi="Times New Roman"/>
          <w:sz w:val="24"/>
        </w:rPr>
        <w:t xml:space="preserve">Si on se place </w:t>
      </w:r>
      <w:r w:rsidR="0074452C">
        <w:rPr>
          <w:rFonts w:ascii="Times New Roman" w:hAnsi="Times New Roman"/>
          <w:sz w:val="24"/>
        </w:rPr>
        <w:t xml:space="preserve">d’abord </w:t>
      </w:r>
      <w:r>
        <w:rPr>
          <w:rFonts w:ascii="Times New Roman" w:hAnsi="Times New Roman"/>
          <w:sz w:val="24"/>
        </w:rPr>
        <w:t xml:space="preserve">sur le </w:t>
      </w:r>
      <w:r w:rsidR="0074452C">
        <w:rPr>
          <w:rFonts w:ascii="Times New Roman" w:hAnsi="Times New Roman"/>
          <w:sz w:val="24"/>
        </w:rPr>
        <w:t>thème</w:t>
      </w:r>
      <w:r>
        <w:rPr>
          <w:rFonts w:ascii="Times New Roman" w:hAnsi="Times New Roman"/>
          <w:sz w:val="24"/>
        </w:rPr>
        <w:t xml:space="preserve"> que nous allons aborder ensuite de la conversion en action des créances, il faudrait donc se demander quelle est la prime de risque à appliquer pour les créanciers ordinaires convertissants. Si on se base sur la valeur de la créance abattue pour calculer le rapport d’échange (et pas sur la valeur nominale), on peut partir du raisonnement que le créancier avait le choix de recevoir le paiement en numéraire de sa créance selon le % d’abattement et a, en réalité, décidé de le réinvestir. Dans ce cas, la prime de risque est logique et doit être calculée comme un investisseur qui apporterait de la </w:t>
      </w:r>
      <w:r w:rsidRPr="00AB387E">
        <w:rPr>
          <w:rFonts w:ascii="Times New Roman" w:hAnsi="Times New Roman"/>
          <w:i/>
          <w:sz w:val="24"/>
        </w:rPr>
        <w:t>new money</w:t>
      </w:r>
      <w:r>
        <w:rPr>
          <w:rFonts w:ascii="Times New Roman" w:hAnsi="Times New Roman"/>
          <w:sz w:val="24"/>
        </w:rPr>
        <w:t xml:space="preserve"> avec, peut-être, une légère diminution du risque car le créancier connait l’entreprise. Il a pu porter une appréciation sur le plan de redressement et la PRJ va éliminer de la dette et des aléas</w:t>
      </w:r>
      <w:r w:rsidR="0074452C">
        <w:rPr>
          <w:rFonts w:ascii="Times New Roman" w:hAnsi="Times New Roman"/>
          <w:sz w:val="24"/>
        </w:rPr>
        <w:t>,</w:t>
      </w:r>
      <w:r>
        <w:rPr>
          <w:rFonts w:ascii="Times New Roman" w:hAnsi="Times New Roman"/>
          <w:sz w:val="24"/>
        </w:rPr>
        <w:t xml:space="preserve"> ce qui augmente la valeur de l’entreprise. Selon le cas, on diminuera le taux de la prime de risque de quelques points.</w:t>
      </w:r>
    </w:p>
    <w:p w:rsidR="008064D7" w:rsidRDefault="008064D7" w:rsidP="00736DE2">
      <w:pPr>
        <w:spacing w:line="240" w:lineRule="auto"/>
        <w:ind w:left="720"/>
        <w:rPr>
          <w:rFonts w:ascii="Times New Roman" w:hAnsi="Times New Roman"/>
          <w:sz w:val="24"/>
        </w:rPr>
      </w:pPr>
    </w:p>
    <w:p w:rsidR="008064D7" w:rsidRDefault="008064D7" w:rsidP="00736DE2">
      <w:pPr>
        <w:spacing w:line="240" w:lineRule="auto"/>
        <w:ind w:left="720"/>
        <w:rPr>
          <w:rFonts w:ascii="Times New Roman" w:hAnsi="Times New Roman"/>
          <w:sz w:val="24"/>
        </w:rPr>
      </w:pPr>
      <w:r>
        <w:rPr>
          <w:rFonts w:ascii="Times New Roman" w:hAnsi="Times New Roman"/>
          <w:sz w:val="24"/>
        </w:rPr>
        <w:t xml:space="preserve">Si on se base sur la valeur non abattue de la créance, il n’y a plus ou presque plus de risque. Sans PRJ, la créance serait payée selon la valeur du rang du créancier sur l’actif ; par la PRJ, elle est payée sur la base de l’abattement. Si l’investisseur change cette créance contre du nominal de sa créance, il ne prend pas de risque mais peut </w:t>
      </w:r>
      <w:r w:rsidRPr="007C17D3">
        <w:rPr>
          <w:rFonts w:ascii="Times New Roman" w:hAnsi="Times New Roman"/>
          <w:i/>
          <w:sz w:val="24"/>
        </w:rPr>
        <w:t>Fair</w:t>
      </w:r>
      <w:r>
        <w:rPr>
          <w:rFonts w:ascii="Times New Roman" w:hAnsi="Times New Roman"/>
          <w:sz w:val="24"/>
        </w:rPr>
        <w:t>e ou fait un « </w:t>
      </w:r>
      <w:r w:rsidRPr="00E0632D">
        <w:rPr>
          <w:rFonts w:ascii="Times New Roman" w:hAnsi="Times New Roman"/>
          <w:i/>
          <w:sz w:val="24"/>
        </w:rPr>
        <w:t>gain</w:t>
      </w:r>
      <w:r>
        <w:rPr>
          <w:rFonts w:ascii="Times New Roman" w:hAnsi="Times New Roman"/>
          <w:sz w:val="24"/>
        </w:rPr>
        <w:t xml:space="preserve"> » potentiel important qu’il est seul à choisir de </w:t>
      </w:r>
      <w:r w:rsidRPr="007C17D3">
        <w:rPr>
          <w:rFonts w:ascii="Times New Roman" w:hAnsi="Times New Roman"/>
          <w:i/>
          <w:sz w:val="24"/>
        </w:rPr>
        <w:t>Fair</w:t>
      </w:r>
      <w:r>
        <w:rPr>
          <w:rFonts w:ascii="Times New Roman" w:hAnsi="Times New Roman"/>
          <w:sz w:val="24"/>
        </w:rPr>
        <w:t xml:space="preserve">e. Si on considère le créancier extraordinaire ou le candidat apporteur de New money en capital, la prime de risque a effectivement tout son sens.  </w:t>
      </w:r>
    </w:p>
    <w:p w:rsidR="008064D7" w:rsidRDefault="008064D7" w:rsidP="00173E62">
      <w:pPr>
        <w:spacing w:line="240" w:lineRule="auto"/>
        <w:ind w:left="705"/>
        <w:rPr>
          <w:rFonts w:ascii="Times New Roman" w:hAnsi="Times New Roman"/>
          <w:sz w:val="24"/>
        </w:rPr>
      </w:pPr>
    </w:p>
    <w:p w:rsidR="008064D7" w:rsidRDefault="008064D7" w:rsidP="00736DE2">
      <w:pPr>
        <w:spacing w:line="240" w:lineRule="auto"/>
        <w:ind w:left="720"/>
        <w:rPr>
          <w:rFonts w:ascii="Times New Roman" w:hAnsi="Times New Roman"/>
          <w:sz w:val="24"/>
        </w:rPr>
      </w:pPr>
      <w:r>
        <w:rPr>
          <w:rFonts w:ascii="Times New Roman" w:hAnsi="Times New Roman"/>
          <w:sz w:val="24"/>
        </w:rPr>
        <w:t>L</w:t>
      </w:r>
      <w:r w:rsidRPr="006610C0">
        <w:rPr>
          <w:rFonts w:ascii="Times New Roman" w:hAnsi="Times New Roman"/>
          <w:sz w:val="24"/>
        </w:rPr>
        <w:t xml:space="preserve">a valorisation </w:t>
      </w:r>
      <w:r>
        <w:rPr>
          <w:rFonts w:ascii="Times New Roman" w:hAnsi="Times New Roman"/>
          <w:sz w:val="24"/>
        </w:rPr>
        <w:t xml:space="preserve">peut se faire </w:t>
      </w:r>
      <w:r w:rsidRPr="007C17D3">
        <w:rPr>
          <w:rFonts w:ascii="Times New Roman" w:hAnsi="Times New Roman"/>
          <w:i/>
          <w:sz w:val="24"/>
        </w:rPr>
        <w:t>going-concern</w:t>
      </w:r>
      <w:r>
        <w:rPr>
          <w:rFonts w:ascii="Times New Roman" w:hAnsi="Times New Roman"/>
          <w:sz w:val="24"/>
        </w:rPr>
        <w:t xml:space="preserve"> si</w:t>
      </w:r>
      <w:r w:rsidRPr="006610C0">
        <w:rPr>
          <w:rFonts w:ascii="Times New Roman" w:hAnsi="Times New Roman"/>
          <w:sz w:val="24"/>
        </w:rPr>
        <w:t xml:space="preserve"> l’investisseur </w:t>
      </w:r>
      <w:r>
        <w:rPr>
          <w:rFonts w:ascii="Times New Roman" w:hAnsi="Times New Roman"/>
          <w:sz w:val="24"/>
        </w:rPr>
        <w:t xml:space="preserve">de </w:t>
      </w:r>
      <w:r w:rsidRPr="00AB387E">
        <w:rPr>
          <w:rFonts w:ascii="Times New Roman" w:hAnsi="Times New Roman"/>
          <w:i/>
          <w:sz w:val="24"/>
        </w:rPr>
        <w:t>New Money</w:t>
      </w:r>
      <w:r w:rsidRPr="006610C0">
        <w:rPr>
          <w:rFonts w:ascii="Times New Roman" w:hAnsi="Times New Roman"/>
          <w:sz w:val="24"/>
        </w:rPr>
        <w:t xml:space="preserve"> </w:t>
      </w:r>
      <w:r>
        <w:rPr>
          <w:rFonts w:ascii="Times New Roman" w:hAnsi="Times New Roman"/>
          <w:sz w:val="24"/>
        </w:rPr>
        <w:t>intervient. Il fixera l</w:t>
      </w:r>
      <w:r w:rsidRPr="006610C0">
        <w:rPr>
          <w:rFonts w:ascii="Times New Roman" w:hAnsi="Times New Roman"/>
          <w:sz w:val="24"/>
        </w:rPr>
        <w:t>a prime de risque</w:t>
      </w:r>
      <w:r>
        <w:rPr>
          <w:rFonts w:ascii="Times New Roman" w:hAnsi="Times New Roman"/>
          <w:sz w:val="24"/>
        </w:rPr>
        <w:t>.</w:t>
      </w:r>
      <w:r w:rsidRPr="006610C0">
        <w:rPr>
          <w:rFonts w:ascii="Times New Roman" w:hAnsi="Times New Roman"/>
          <w:sz w:val="24"/>
        </w:rPr>
        <w:t xml:space="preserve"> Au stade d’une PRJ, dans de no</w:t>
      </w:r>
      <w:r>
        <w:rPr>
          <w:rFonts w:ascii="Times New Roman" w:hAnsi="Times New Roman"/>
          <w:sz w:val="24"/>
        </w:rPr>
        <w:t xml:space="preserve">mbreux cas, il n’y aura pas de </w:t>
      </w:r>
      <w:r w:rsidRPr="00AB387E">
        <w:rPr>
          <w:rFonts w:ascii="Times New Roman" w:hAnsi="Times New Roman"/>
          <w:i/>
          <w:sz w:val="24"/>
        </w:rPr>
        <w:t>New Money</w:t>
      </w:r>
      <w:r w:rsidRPr="006610C0">
        <w:rPr>
          <w:rFonts w:ascii="Times New Roman" w:hAnsi="Times New Roman"/>
          <w:sz w:val="24"/>
        </w:rPr>
        <w:t xml:space="preserve"> ou</w:t>
      </w:r>
      <w:r>
        <w:rPr>
          <w:rFonts w:ascii="Times New Roman" w:hAnsi="Times New Roman"/>
          <w:sz w:val="24"/>
        </w:rPr>
        <w:t xml:space="preserve"> ce seront</w:t>
      </w:r>
      <w:r w:rsidRPr="006610C0">
        <w:rPr>
          <w:rFonts w:ascii="Times New Roman" w:hAnsi="Times New Roman"/>
          <w:sz w:val="24"/>
        </w:rPr>
        <w:t xml:space="preserve"> de</w:t>
      </w:r>
      <w:r>
        <w:rPr>
          <w:rFonts w:ascii="Times New Roman" w:hAnsi="Times New Roman"/>
          <w:sz w:val="24"/>
        </w:rPr>
        <w:t>s</w:t>
      </w:r>
      <w:r w:rsidRPr="006610C0">
        <w:rPr>
          <w:rFonts w:ascii="Times New Roman" w:hAnsi="Times New Roman"/>
          <w:sz w:val="24"/>
        </w:rPr>
        <w:t xml:space="preserve"> créanciers extraordinaires qui accepter</w:t>
      </w:r>
      <w:r>
        <w:rPr>
          <w:rFonts w:ascii="Times New Roman" w:hAnsi="Times New Roman"/>
          <w:sz w:val="24"/>
        </w:rPr>
        <w:t>ont</w:t>
      </w:r>
      <w:r w:rsidRPr="006610C0">
        <w:rPr>
          <w:rFonts w:ascii="Times New Roman" w:hAnsi="Times New Roman"/>
          <w:sz w:val="24"/>
        </w:rPr>
        <w:t xml:space="preserve"> d’ores et déjà de convertir</w:t>
      </w:r>
      <w:r>
        <w:rPr>
          <w:rFonts w:ascii="Times New Roman" w:hAnsi="Times New Roman"/>
          <w:sz w:val="24"/>
        </w:rPr>
        <w:t xml:space="preserve">. </w:t>
      </w:r>
      <w:r w:rsidRPr="006610C0">
        <w:rPr>
          <w:rFonts w:ascii="Times New Roman" w:hAnsi="Times New Roman"/>
          <w:sz w:val="24"/>
        </w:rPr>
        <w:t xml:space="preserve"> </w:t>
      </w:r>
    </w:p>
    <w:p w:rsidR="008064D7" w:rsidRDefault="008064D7" w:rsidP="00173E62">
      <w:pPr>
        <w:spacing w:line="240" w:lineRule="auto"/>
        <w:ind w:left="705"/>
        <w:rPr>
          <w:rFonts w:ascii="Times New Roman" w:hAnsi="Times New Roman"/>
          <w:sz w:val="24"/>
        </w:rPr>
      </w:pPr>
    </w:p>
    <w:p w:rsidR="008064D7" w:rsidRDefault="008064D7" w:rsidP="00173E62">
      <w:pPr>
        <w:spacing w:line="240" w:lineRule="auto"/>
        <w:ind w:left="705"/>
        <w:rPr>
          <w:rFonts w:ascii="Times New Roman" w:hAnsi="Times New Roman"/>
          <w:sz w:val="24"/>
        </w:rPr>
      </w:pPr>
      <w:r>
        <w:rPr>
          <w:rFonts w:ascii="Times New Roman" w:hAnsi="Times New Roman"/>
          <w:sz w:val="24"/>
        </w:rPr>
        <w:t>On reviendra à cette question lo</w:t>
      </w:r>
      <w:r w:rsidR="0074452C">
        <w:rPr>
          <w:rFonts w:ascii="Times New Roman" w:hAnsi="Times New Roman"/>
          <w:sz w:val="24"/>
        </w:rPr>
        <w:t>rs de la conversion des actions, mais ces réflexions sont utiles à déterminer la prime de risque dans tous les cas de figure.</w:t>
      </w:r>
    </w:p>
    <w:p w:rsidR="008064D7" w:rsidRDefault="008064D7" w:rsidP="00173E62">
      <w:pPr>
        <w:spacing w:line="240" w:lineRule="auto"/>
        <w:ind w:left="705"/>
        <w:rPr>
          <w:rFonts w:ascii="Times New Roman" w:hAnsi="Times New Roman"/>
          <w:sz w:val="24"/>
        </w:rPr>
      </w:pPr>
    </w:p>
    <w:p w:rsidR="008064D7" w:rsidRDefault="008064D7" w:rsidP="00AC6D36">
      <w:pPr>
        <w:pStyle w:val="Paragraphedeliste"/>
        <w:numPr>
          <w:ilvl w:val="0"/>
          <w:numId w:val="2"/>
        </w:numPr>
        <w:spacing w:line="240" w:lineRule="auto"/>
        <w:ind w:left="705"/>
        <w:rPr>
          <w:rFonts w:ascii="Times New Roman" w:hAnsi="Times New Roman"/>
          <w:sz w:val="24"/>
        </w:rPr>
      </w:pPr>
      <w:r w:rsidRPr="0074452C">
        <w:rPr>
          <w:rFonts w:ascii="Times New Roman" w:hAnsi="Times New Roman"/>
          <w:sz w:val="24"/>
          <w:u w:val="single"/>
        </w:rPr>
        <w:t>La 4</w:t>
      </w:r>
      <w:r w:rsidRPr="0074452C">
        <w:rPr>
          <w:rFonts w:ascii="Times New Roman" w:hAnsi="Times New Roman"/>
          <w:sz w:val="24"/>
          <w:u w:val="single"/>
          <w:vertAlign w:val="superscript"/>
        </w:rPr>
        <w:t>ème</w:t>
      </w:r>
      <w:r w:rsidRPr="0074452C">
        <w:rPr>
          <w:rFonts w:ascii="Times New Roman" w:hAnsi="Times New Roman"/>
          <w:sz w:val="24"/>
          <w:u w:val="single"/>
        </w:rPr>
        <w:t xml:space="preserve"> étape est de </w:t>
      </w:r>
      <w:r w:rsidRPr="0074452C">
        <w:rPr>
          <w:rFonts w:ascii="Times New Roman" w:hAnsi="Times New Roman"/>
          <w:b/>
          <w:sz w:val="24"/>
          <w:u w:val="single"/>
        </w:rPr>
        <w:t>déduire (ou non) la dette</w:t>
      </w:r>
      <w:r w:rsidR="0074452C" w:rsidRPr="0074452C">
        <w:rPr>
          <w:rFonts w:ascii="Times New Roman" w:hAnsi="Times New Roman"/>
          <w:b/>
          <w:sz w:val="24"/>
          <w:u w:val="single"/>
        </w:rPr>
        <w:t xml:space="preserve"> de la valeur</w:t>
      </w:r>
      <w:r w:rsidRPr="0074452C">
        <w:rPr>
          <w:rFonts w:ascii="Times New Roman" w:hAnsi="Times New Roman"/>
          <w:b/>
          <w:sz w:val="24"/>
          <w:u w:val="single"/>
        </w:rPr>
        <w:t>.</w:t>
      </w:r>
      <w:r w:rsidRPr="0074452C">
        <w:rPr>
          <w:rFonts w:ascii="Times New Roman" w:hAnsi="Times New Roman"/>
          <w:sz w:val="24"/>
        </w:rPr>
        <w:t xml:space="preserve"> </w:t>
      </w:r>
    </w:p>
    <w:p w:rsidR="0074452C" w:rsidRPr="0074452C" w:rsidRDefault="0074452C" w:rsidP="0074452C">
      <w:pPr>
        <w:pStyle w:val="Paragraphedeliste"/>
        <w:spacing w:line="240" w:lineRule="auto"/>
        <w:ind w:left="705"/>
        <w:rPr>
          <w:rFonts w:ascii="Times New Roman" w:hAnsi="Times New Roman"/>
          <w:sz w:val="24"/>
        </w:rPr>
      </w:pPr>
    </w:p>
    <w:p w:rsidR="0074452C" w:rsidRDefault="008064D7" w:rsidP="0043154F">
      <w:pPr>
        <w:spacing w:line="240" w:lineRule="auto"/>
        <w:ind w:left="705"/>
        <w:rPr>
          <w:rFonts w:ascii="Times New Roman" w:hAnsi="Times New Roman"/>
          <w:sz w:val="24"/>
        </w:rPr>
      </w:pPr>
      <w:r w:rsidRPr="00173E62">
        <w:rPr>
          <w:rFonts w:ascii="Times New Roman" w:hAnsi="Times New Roman"/>
          <w:sz w:val="24"/>
        </w:rPr>
        <w:t>L’article 1.22 14</w:t>
      </w:r>
      <w:r w:rsidRPr="00173E62">
        <w:rPr>
          <w:rFonts w:ascii="Times New Roman" w:hAnsi="Times New Roman"/>
          <w:sz w:val="24"/>
          <w:vertAlign w:val="superscript"/>
        </w:rPr>
        <w:t>ème</w:t>
      </w:r>
      <w:r w:rsidRPr="00173E62">
        <w:rPr>
          <w:rFonts w:ascii="Times New Roman" w:hAnsi="Times New Roman"/>
          <w:sz w:val="24"/>
        </w:rPr>
        <w:t xml:space="preserve"> </w:t>
      </w:r>
      <w:r w:rsidR="0074452C">
        <w:rPr>
          <w:rFonts w:ascii="Times New Roman" w:hAnsi="Times New Roman"/>
          <w:sz w:val="24"/>
        </w:rPr>
        <w:t>se base sur</w:t>
      </w:r>
      <w:r w:rsidRPr="00173E62">
        <w:rPr>
          <w:rFonts w:ascii="Times New Roman" w:hAnsi="Times New Roman"/>
          <w:sz w:val="24"/>
        </w:rPr>
        <w:t xml:space="preserve"> la </w:t>
      </w:r>
      <w:r w:rsidRPr="0043154F">
        <w:rPr>
          <w:rFonts w:ascii="Times New Roman" w:hAnsi="Times New Roman"/>
          <w:sz w:val="24"/>
          <w:u w:val="single"/>
        </w:rPr>
        <w:t>date du jugement d’ouverture de la procédure</w:t>
      </w:r>
      <w:r w:rsidRPr="00173E62">
        <w:rPr>
          <w:rFonts w:ascii="Times New Roman" w:hAnsi="Times New Roman"/>
          <w:sz w:val="24"/>
        </w:rPr>
        <w:t>. À cette date, le passif n’est pas réduit ou abattu. La valeur des actions calcul</w:t>
      </w:r>
      <w:r>
        <w:rPr>
          <w:rFonts w:ascii="Times New Roman" w:hAnsi="Times New Roman"/>
          <w:sz w:val="24"/>
        </w:rPr>
        <w:t>ée sur une valeur de rendement (</w:t>
      </w:r>
      <w:r w:rsidRPr="00173E62">
        <w:rPr>
          <w:rFonts w:ascii="Times New Roman" w:hAnsi="Times New Roman"/>
          <w:sz w:val="24"/>
        </w:rPr>
        <w:t>et non sur une méthode d’actif net</w:t>
      </w:r>
      <w:r>
        <w:rPr>
          <w:rFonts w:ascii="Times New Roman" w:hAnsi="Times New Roman"/>
          <w:sz w:val="24"/>
        </w:rPr>
        <w:t>)</w:t>
      </w:r>
      <w:r w:rsidRPr="00173E62">
        <w:rPr>
          <w:rFonts w:ascii="Times New Roman" w:hAnsi="Times New Roman"/>
          <w:sz w:val="24"/>
        </w:rPr>
        <w:t xml:space="preserve"> </w:t>
      </w:r>
      <w:r w:rsidR="0074452C">
        <w:rPr>
          <w:rFonts w:ascii="Times New Roman" w:hAnsi="Times New Roman"/>
          <w:sz w:val="24"/>
        </w:rPr>
        <w:t xml:space="preserve">pourrait </w:t>
      </w:r>
      <w:r w:rsidRPr="00173E62">
        <w:rPr>
          <w:rFonts w:ascii="Times New Roman" w:hAnsi="Times New Roman"/>
          <w:sz w:val="24"/>
        </w:rPr>
        <w:t>suppose</w:t>
      </w:r>
      <w:r w:rsidR="0074452C">
        <w:rPr>
          <w:rFonts w:ascii="Times New Roman" w:hAnsi="Times New Roman"/>
          <w:sz w:val="24"/>
        </w:rPr>
        <w:t>r</w:t>
      </w:r>
      <w:r w:rsidRPr="00173E62">
        <w:rPr>
          <w:rFonts w:ascii="Times New Roman" w:hAnsi="Times New Roman"/>
          <w:sz w:val="24"/>
        </w:rPr>
        <w:t xml:space="preserve"> de déduire la valeur de la dette</w:t>
      </w:r>
      <w:r>
        <w:rPr>
          <w:rFonts w:ascii="Times New Roman" w:hAnsi="Times New Roman"/>
          <w:sz w:val="24"/>
        </w:rPr>
        <w:t>.</w:t>
      </w:r>
      <w:r w:rsidRPr="00173E62">
        <w:rPr>
          <w:rFonts w:ascii="Times New Roman" w:hAnsi="Times New Roman"/>
          <w:sz w:val="24"/>
        </w:rPr>
        <w:t xml:space="preserve"> </w:t>
      </w:r>
      <w:r>
        <w:rPr>
          <w:rFonts w:ascii="Times New Roman" w:hAnsi="Times New Roman"/>
          <w:sz w:val="24"/>
        </w:rPr>
        <w:t>L’actif</w:t>
      </w:r>
      <w:r w:rsidRPr="00173E62">
        <w:rPr>
          <w:rFonts w:ascii="Times New Roman" w:hAnsi="Times New Roman"/>
          <w:sz w:val="24"/>
        </w:rPr>
        <w:t xml:space="preserve"> net sera forcément plus important au lendemain du jugement définitif d’homologation qu’au jour de l’évaluation de la créance sursitaire, une partie importante des dettes abattues ayant constitué une augmentation des fonds propres. </w:t>
      </w:r>
    </w:p>
    <w:p w:rsidR="0074452C" w:rsidRDefault="0074452C" w:rsidP="0043154F">
      <w:pPr>
        <w:spacing w:line="240" w:lineRule="auto"/>
        <w:ind w:left="705"/>
        <w:rPr>
          <w:rFonts w:ascii="Times New Roman" w:hAnsi="Times New Roman"/>
          <w:sz w:val="24"/>
        </w:rPr>
      </w:pPr>
    </w:p>
    <w:p w:rsidR="008064D7" w:rsidRPr="00173E62" w:rsidRDefault="008064D7" w:rsidP="0043154F">
      <w:pPr>
        <w:spacing w:line="240" w:lineRule="auto"/>
        <w:ind w:left="705"/>
        <w:rPr>
          <w:rFonts w:ascii="Times New Roman" w:hAnsi="Times New Roman"/>
          <w:sz w:val="24"/>
        </w:rPr>
      </w:pPr>
      <w:r w:rsidRPr="00173E62">
        <w:rPr>
          <w:rFonts w:ascii="Times New Roman" w:hAnsi="Times New Roman"/>
          <w:sz w:val="24"/>
        </w:rPr>
        <w:t xml:space="preserve">Cependant, si l’on veut donner au terme </w:t>
      </w:r>
      <w:r w:rsidRPr="007C17D3">
        <w:rPr>
          <w:rFonts w:ascii="Times New Roman" w:hAnsi="Times New Roman"/>
          <w:i/>
          <w:sz w:val="24"/>
        </w:rPr>
        <w:t>going-concern</w:t>
      </w:r>
      <w:r w:rsidRPr="00AB387E">
        <w:rPr>
          <w:rFonts w:ascii="Times New Roman" w:hAnsi="Times New Roman"/>
          <w:i/>
          <w:sz w:val="24"/>
        </w:rPr>
        <w:t xml:space="preserve"> </w:t>
      </w:r>
      <w:r w:rsidRPr="00173E62">
        <w:rPr>
          <w:rFonts w:ascii="Times New Roman" w:hAnsi="Times New Roman"/>
          <w:sz w:val="24"/>
        </w:rPr>
        <w:t>un sens, il semble qu’il est nécessaire de déduire la dette q</w:t>
      </w:r>
      <w:r>
        <w:rPr>
          <w:rFonts w:ascii="Times New Roman" w:hAnsi="Times New Roman"/>
          <w:sz w:val="24"/>
        </w:rPr>
        <w:t>ui résulterait de l’abattement et/ou de</w:t>
      </w:r>
      <w:r w:rsidR="0074452C">
        <w:rPr>
          <w:rFonts w:ascii="Times New Roman" w:hAnsi="Times New Roman"/>
          <w:sz w:val="24"/>
        </w:rPr>
        <w:t xml:space="preserve"> la conversion si elle doit être déduite.</w:t>
      </w:r>
      <w:r>
        <w:rPr>
          <w:rFonts w:ascii="Times New Roman" w:hAnsi="Times New Roman"/>
          <w:sz w:val="24"/>
        </w:rPr>
        <w:t xml:space="preserve"> </w:t>
      </w:r>
    </w:p>
    <w:p w:rsidR="008064D7" w:rsidRDefault="008064D7" w:rsidP="004B10FE">
      <w:pPr>
        <w:spacing w:line="240" w:lineRule="auto"/>
        <w:ind w:left="708"/>
        <w:rPr>
          <w:rFonts w:ascii="Times New Roman" w:hAnsi="Times New Roman"/>
          <w:sz w:val="24"/>
        </w:rPr>
      </w:pPr>
    </w:p>
    <w:p w:rsidR="008064D7" w:rsidRPr="00173E62"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lastRenderedPageBreak/>
        <w:t>La 5</w:t>
      </w:r>
      <w:r w:rsidRPr="006610C0">
        <w:rPr>
          <w:rFonts w:ascii="Times New Roman" w:hAnsi="Times New Roman"/>
          <w:sz w:val="24"/>
          <w:u w:val="single"/>
          <w:vertAlign w:val="superscript"/>
        </w:rPr>
        <w:t>ème</w:t>
      </w:r>
      <w:r>
        <w:rPr>
          <w:rFonts w:ascii="Times New Roman" w:hAnsi="Times New Roman"/>
          <w:sz w:val="24"/>
          <w:u w:val="single"/>
        </w:rPr>
        <w:t xml:space="preserve"> étape est </w:t>
      </w:r>
      <w:r w:rsidRPr="0074452C">
        <w:rPr>
          <w:rFonts w:ascii="Times New Roman" w:hAnsi="Times New Roman"/>
          <w:b/>
          <w:sz w:val="24"/>
          <w:u w:val="single"/>
        </w:rPr>
        <w:t>l’application ou non de décotes</w:t>
      </w:r>
      <w:r w:rsidR="0074452C" w:rsidRPr="0074452C">
        <w:rPr>
          <w:rFonts w:ascii="Times New Roman" w:hAnsi="Times New Roman"/>
          <w:b/>
          <w:sz w:val="24"/>
          <w:u w:val="single"/>
        </w:rPr>
        <w:t xml:space="preserve"> de majorité ou minorité</w:t>
      </w:r>
      <w:r>
        <w:rPr>
          <w:rFonts w:ascii="Times New Roman" w:hAnsi="Times New Roman"/>
          <w:sz w:val="24"/>
          <w:u w:val="single"/>
        </w:rPr>
        <w:t>.</w:t>
      </w:r>
      <w:r>
        <w:rPr>
          <w:rFonts w:ascii="Times New Roman" w:hAnsi="Times New Roman"/>
          <w:sz w:val="24"/>
        </w:rPr>
        <w:t xml:space="preserve"> </w:t>
      </w:r>
      <w:r w:rsidR="0074452C">
        <w:rPr>
          <w:rFonts w:ascii="Times New Roman" w:hAnsi="Times New Roman"/>
          <w:sz w:val="24"/>
        </w:rPr>
        <w:t>La question suppose de vérifier s’il y a ou non une modification sensible du pouvoir au sein du débiteur.</w:t>
      </w:r>
    </w:p>
    <w:p w:rsidR="008064D7" w:rsidRDefault="008064D7" w:rsidP="004B10FE">
      <w:pPr>
        <w:spacing w:line="240" w:lineRule="auto"/>
        <w:ind w:left="708"/>
        <w:rPr>
          <w:rFonts w:ascii="Times New Roman" w:hAnsi="Times New Roman"/>
          <w:sz w:val="24"/>
        </w:rPr>
      </w:pPr>
    </w:p>
    <w:p w:rsidR="008064D7" w:rsidRDefault="008064D7" w:rsidP="00173E62">
      <w:pPr>
        <w:spacing w:line="240" w:lineRule="auto"/>
        <w:ind w:left="708"/>
        <w:rPr>
          <w:rFonts w:ascii="Times New Roman" w:hAnsi="Times New Roman"/>
          <w:sz w:val="24"/>
        </w:rPr>
      </w:pPr>
      <w:r w:rsidRPr="0074452C">
        <w:rPr>
          <w:rFonts w:ascii="Times New Roman" w:hAnsi="Times New Roman"/>
          <w:sz w:val="24"/>
          <w:u w:val="single"/>
        </w:rPr>
        <w:t>La conversion d’une créance de l’actionnaire</w:t>
      </w:r>
      <w:r w:rsidRPr="0062400B">
        <w:rPr>
          <w:rFonts w:ascii="Times New Roman" w:hAnsi="Times New Roman"/>
          <w:sz w:val="24"/>
          <w:u w:val="single"/>
        </w:rPr>
        <w:t xml:space="preserve"> existant,</w:t>
      </w:r>
      <w:r w:rsidRPr="00AB387E">
        <w:rPr>
          <w:rFonts w:ascii="Times New Roman" w:hAnsi="Times New Roman"/>
          <w:sz w:val="24"/>
        </w:rPr>
        <w:t xml:space="preserve"> </w:t>
      </w:r>
      <w:r>
        <w:rPr>
          <w:rFonts w:ascii="Times New Roman" w:hAnsi="Times New Roman"/>
          <w:sz w:val="24"/>
        </w:rPr>
        <w:t xml:space="preserve">peut se </w:t>
      </w:r>
      <w:r w:rsidR="0087666E">
        <w:rPr>
          <w:rFonts w:ascii="Times New Roman" w:hAnsi="Times New Roman"/>
          <w:i/>
          <w:sz w:val="24"/>
        </w:rPr>
        <w:t>f</w:t>
      </w:r>
      <w:r w:rsidRPr="007C17D3">
        <w:rPr>
          <w:rFonts w:ascii="Times New Roman" w:hAnsi="Times New Roman"/>
          <w:i/>
          <w:sz w:val="24"/>
        </w:rPr>
        <w:t>air</w:t>
      </w:r>
      <w:r>
        <w:rPr>
          <w:rFonts w:ascii="Times New Roman" w:hAnsi="Times New Roman"/>
          <w:sz w:val="24"/>
        </w:rPr>
        <w:t xml:space="preserve">e sans émission d’action nouvelle, ce qui, en définitive, ne lui accorde pas plus de droits que ceux qu’il possédait antérieurement, même s’il possède plus d’actions représentatives de la même valeur. Il ne s’agit, en réalité, que d’un traitement différent d’un abandon de créance de l’actionnaire qui participera à reconstituer des fonds propres comptables souvent nécessaires pour obtenir du crédit (le ratio habituel est de 30%) et qui présentera </w:t>
      </w:r>
      <w:r w:rsidR="0087666E">
        <w:rPr>
          <w:rFonts w:ascii="Times New Roman" w:hAnsi="Times New Roman"/>
          <w:sz w:val="24"/>
        </w:rPr>
        <w:t>un</w:t>
      </w:r>
      <w:r>
        <w:rPr>
          <w:rFonts w:ascii="Times New Roman" w:hAnsi="Times New Roman"/>
          <w:sz w:val="24"/>
        </w:rPr>
        <w:t xml:space="preserve"> bilan à ses créanciers d’une manière plus </w:t>
      </w:r>
      <w:r w:rsidR="0087666E">
        <w:rPr>
          <w:rFonts w:ascii="Times New Roman" w:hAnsi="Times New Roman"/>
          <w:sz w:val="24"/>
        </w:rPr>
        <w:t>« </w:t>
      </w:r>
      <w:r w:rsidRPr="0087666E">
        <w:rPr>
          <w:rFonts w:ascii="Times New Roman" w:hAnsi="Times New Roman"/>
          <w:i/>
          <w:sz w:val="24"/>
        </w:rPr>
        <w:t>acceptable</w:t>
      </w:r>
      <w:r w:rsidR="0087666E">
        <w:rPr>
          <w:rFonts w:ascii="Times New Roman" w:hAnsi="Times New Roman"/>
          <w:sz w:val="24"/>
        </w:rPr>
        <w:t> »</w:t>
      </w:r>
      <w:r>
        <w:rPr>
          <w:rFonts w:ascii="Times New Roman" w:hAnsi="Times New Roman"/>
          <w:sz w:val="24"/>
        </w:rPr>
        <w:t xml:space="preserve">. </w:t>
      </w:r>
    </w:p>
    <w:p w:rsidR="008064D7" w:rsidRDefault="008064D7" w:rsidP="00173E62">
      <w:pPr>
        <w:spacing w:line="240" w:lineRule="auto"/>
        <w:ind w:left="708"/>
        <w:rPr>
          <w:rFonts w:ascii="Times New Roman" w:hAnsi="Times New Roman"/>
          <w:sz w:val="24"/>
        </w:rPr>
      </w:pPr>
    </w:p>
    <w:p w:rsidR="008064D7" w:rsidRDefault="008064D7" w:rsidP="00173E62">
      <w:pPr>
        <w:spacing w:line="240" w:lineRule="auto"/>
        <w:ind w:left="708"/>
        <w:rPr>
          <w:rFonts w:ascii="Times New Roman" w:hAnsi="Times New Roman"/>
          <w:sz w:val="24"/>
        </w:rPr>
      </w:pPr>
      <w:r w:rsidRPr="0062400B">
        <w:rPr>
          <w:rFonts w:ascii="Times New Roman" w:hAnsi="Times New Roman"/>
          <w:sz w:val="24"/>
          <w:u w:val="single"/>
        </w:rPr>
        <w:t xml:space="preserve">La conversion </w:t>
      </w:r>
      <w:r w:rsidR="0087666E">
        <w:rPr>
          <w:rFonts w:ascii="Times New Roman" w:hAnsi="Times New Roman"/>
          <w:sz w:val="24"/>
          <w:u w:val="single"/>
        </w:rPr>
        <w:t xml:space="preserve">de créance </w:t>
      </w:r>
      <w:r w:rsidRPr="0062400B">
        <w:rPr>
          <w:rFonts w:ascii="Times New Roman" w:hAnsi="Times New Roman"/>
          <w:sz w:val="24"/>
          <w:u w:val="single"/>
        </w:rPr>
        <w:t>des sociétés d’un même groupe</w:t>
      </w:r>
      <w:r>
        <w:rPr>
          <w:rFonts w:ascii="Times New Roman" w:hAnsi="Times New Roman"/>
          <w:sz w:val="24"/>
        </w:rPr>
        <w:t xml:space="preserve"> pose déjà plus de problèmes si elle a pour objet ou pour effet de </w:t>
      </w:r>
      <w:r w:rsidR="0087666E">
        <w:rPr>
          <w:rFonts w:ascii="Times New Roman" w:hAnsi="Times New Roman"/>
          <w:i/>
          <w:sz w:val="24"/>
        </w:rPr>
        <w:t>f</w:t>
      </w:r>
      <w:r w:rsidRPr="007C17D3">
        <w:rPr>
          <w:rFonts w:ascii="Times New Roman" w:hAnsi="Times New Roman"/>
          <w:i/>
          <w:sz w:val="24"/>
        </w:rPr>
        <w:t>air</w:t>
      </w:r>
      <w:r>
        <w:rPr>
          <w:rFonts w:ascii="Times New Roman" w:hAnsi="Times New Roman"/>
          <w:sz w:val="24"/>
        </w:rPr>
        <w:t xml:space="preserve">e perdre aux créanciers d’une autre société du groupe une créance </w:t>
      </w:r>
      <w:r w:rsidR="0087666E">
        <w:rPr>
          <w:rFonts w:ascii="Times New Roman" w:hAnsi="Times New Roman"/>
          <w:sz w:val="24"/>
        </w:rPr>
        <w:t>peut-être</w:t>
      </w:r>
      <w:r>
        <w:rPr>
          <w:rFonts w:ascii="Times New Roman" w:hAnsi="Times New Roman"/>
          <w:sz w:val="24"/>
        </w:rPr>
        <w:t xml:space="preserve"> liquide et exigible contre </w:t>
      </w:r>
      <w:r w:rsidR="0087666E">
        <w:rPr>
          <w:rFonts w:ascii="Times New Roman" w:hAnsi="Times New Roman"/>
          <w:sz w:val="24"/>
        </w:rPr>
        <w:t>des actions qui ne sont pas liquides. L</w:t>
      </w:r>
      <w:r>
        <w:rPr>
          <w:rFonts w:ascii="Times New Roman" w:hAnsi="Times New Roman"/>
          <w:sz w:val="24"/>
        </w:rPr>
        <w:t xml:space="preserve">’acte de convertir une telle créance </w:t>
      </w:r>
      <w:r w:rsidR="0087666E">
        <w:rPr>
          <w:rFonts w:ascii="Times New Roman" w:hAnsi="Times New Roman"/>
          <w:sz w:val="24"/>
        </w:rPr>
        <w:t>peut</w:t>
      </w:r>
      <w:r>
        <w:rPr>
          <w:rFonts w:ascii="Times New Roman" w:hAnsi="Times New Roman"/>
          <w:sz w:val="24"/>
        </w:rPr>
        <w:t xml:space="preserve"> être critiqué dans le che</w:t>
      </w:r>
      <w:r w:rsidR="0087666E">
        <w:rPr>
          <w:rFonts w:ascii="Times New Roman" w:hAnsi="Times New Roman"/>
          <w:sz w:val="24"/>
        </w:rPr>
        <w:t>f de la société convertissante agissant par s</w:t>
      </w:r>
      <w:r>
        <w:rPr>
          <w:rFonts w:ascii="Times New Roman" w:hAnsi="Times New Roman"/>
          <w:sz w:val="24"/>
        </w:rPr>
        <w:t>es organes dans le</w:t>
      </w:r>
      <w:r w:rsidR="0087666E">
        <w:rPr>
          <w:rFonts w:ascii="Times New Roman" w:hAnsi="Times New Roman"/>
          <w:sz w:val="24"/>
        </w:rPr>
        <w:t>squels la conversion est faite. La critique pourrait s’appuyer sur</w:t>
      </w:r>
      <w:r>
        <w:rPr>
          <w:rFonts w:ascii="Times New Roman" w:hAnsi="Times New Roman"/>
          <w:sz w:val="24"/>
        </w:rPr>
        <w:t xml:space="preserve"> la jurisprudence bien connue de la Cour de Cassation française en matière d’abus de bien social dite ROSENBLUM. </w:t>
      </w:r>
    </w:p>
    <w:p w:rsidR="0087666E" w:rsidRDefault="0087666E" w:rsidP="00173E62">
      <w:pPr>
        <w:spacing w:line="240" w:lineRule="auto"/>
        <w:ind w:left="708"/>
        <w:rPr>
          <w:rFonts w:ascii="Times New Roman" w:hAnsi="Times New Roman"/>
          <w:sz w:val="24"/>
          <w:u w:val="single"/>
        </w:rPr>
      </w:pPr>
    </w:p>
    <w:p w:rsidR="008064D7" w:rsidRDefault="008064D7" w:rsidP="004B10FE">
      <w:pPr>
        <w:spacing w:line="240" w:lineRule="auto"/>
        <w:ind w:left="708"/>
        <w:rPr>
          <w:rFonts w:ascii="Times New Roman" w:hAnsi="Times New Roman"/>
          <w:sz w:val="24"/>
        </w:rPr>
      </w:pPr>
      <w:r w:rsidRPr="0062400B">
        <w:rPr>
          <w:rFonts w:ascii="Times New Roman" w:hAnsi="Times New Roman"/>
          <w:sz w:val="24"/>
          <w:u w:val="single"/>
        </w:rPr>
        <w:t>Lorsque, par contre, les créanciers qui convertissent sont de véritables tiers</w:t>
      </w:r>
      <w:r>
        <w:rPr>
          <w:rFonts w:ascii="Times New Roman" w:hAnsi="Times New Roman"/>
          <w:sz w:val="24"/>
          <w:u w:val="single"/>
        </w:rPr>
        <w:t xml:space="preserve"> ou que cette conversion change les rapports antérieurs entre actionnaires</w:t>
      </w:r>
      <w:r w:rsidRPr="00AB387E">
        <w:rPr>
          <w:rFonts w:ascii="Times New Roman" w:hAnsi="Times New Roman"/>
          <w:sz w:val="24"/>
        </w:rPr>
        <w:t xml:space="preserve">  </w:t>
      </w:r>
      <w:r w:rsidRPr="0062400B">
        <w:rPr>
          <w:rFonts w:ascii="Times New Roman" w:hAnsi="Times New Roman"/>
          <w:sz w:val="24"/>
        </w:rPr>
        <w:t>et,</w:t>
      </w:r>
      <w:r>
        <w:rPr>
          <w:rFonts w:ascii="Times New Roman" w:hAnsi="Times New Roman"/>
          <w:sz w:val="24"/>
        </w:rPr>
        <w:t xml:space="preserve"> en particulier, lorsqu’il s’agit de créanciers financiers dont la fonction avait été dans le passé de financer les fonds propres et les fonds de tiers de l’entreprise, cette conversion ne doit pas non plus accorder à ces créanciers un rapport d’échange trop favorable ou, en tout cas, plus favorable que celui qui résulte des conditions normales de marché d’une prise de participation. Si le droit moderne de l’insolvabilité des procédures de redressement ou de restructuration préventive ne retient manifestement plus, et à juste titre, les critères d’égalité des créanciers, mais y substitue celui d’une absence de discrimination</w:t>
      </w:r>
      <w:r>
        <w:rPr>
          <w:rStyle w:val="Appelnotedebasdep"/>
          <w:rFonts w:ascii="Times New Roman" w:hAnsi="Times New Roman"/>
          <w:sz w:val="24"/>
        </w:rPr>
        <w:footnoteReference w:id="171"/>
      </w:r>
      <w:r>
        <w:rPr>
          <w:rFonts w:ascii="Times New Roman" w:hAnsi="Times New Roman"/>
          <w:sz w:val="24"/>
        </w:rPr>
        <w:t xml:space="preserve"> bien réfléchie, voire de manière plus performante, celle d’un certain traitement équitable ou non excessivement préjudiciable, il pourrait apparaître discutable que certains créanciers puissent espérer un retour sur investissement à 100%, voire une nette plus-</w:t>
      </w:r>
      <w:r w:rsidRPr="007C17D3">
        <w:rPr>
          <w:rFonts w:ascii="Times New Roman" w:hAnsi="Times New Roman"/>
          <w:i/>
          <w:sz w:val="24"/>
        </w:rPr>
        <w:t>value</w:t>
      </w:r>
      <w:r>
        <w:rPr>
          <w:rFonts w:ascii="Times New Roman" w:hAnsi="Times New Roman"/>
          <w:sz w:val="24"/>
        </w:rPr>
        <w:t xml:space="preserve"> du redressement de l’entreprise qui s’est opéré au départ d’un désendettement des créanciers opérationnels, institutionnels ou des autres créanciers financiers. Dans certains cas, des primes de contrôle ou de minorité pourraient ou devraient être retenues.</w:t>
      </w:r>
    </w:p>
    <w:p w:rsidR="008064D7" w:rsidRDefault="008064D7" w:rsidP="004B10FE">
      <w:pPr>
        <w:spacing w:line="240" w:lineRule="auto"/>
        <w:ind w:left="708"/>
        <w:rPr>
          <w:rFonts w:ascii="Times New Roman" w:hAnsi="Times New Roman"/>
          <w:sz w:val="24"/>
        </w:rPr>
      </w:pPr>
    </w:p>
    <w:p w:rsidR="008064D7" w:rsidRDefault="0087666E" w:rsidP="004B10FE">
      <w:pPr>
        <w:spacing w:line="240" w:lineRule="auto"/>
        <w:ind w:left="708"/>
        <w:rPr>
          <w:rFonts w:ascii="Times New Roman" w:hAnsi="Times New Roman"/>
          <w:sz w:val="24"/>
        </w:rPr>
      </w:pPr>
      <w:r>
        <w:rPr>
          <w:rFonts w:ascii="Times New Roman" w:hAnsi="Times New Roman"/>
          <w:sz w:val="24"/>
          <w:u w:val="single"/>
        </w:rPr>
        <w:t>Le juge américain a souvent statué sur ces décotes</w:t>
      </w:r>
      <w:r w:rsidR="008064D7">
        <w:rPr>
          <w:rFonts w:ascii="Times New Roman" w:hAnsi="Times New Roman"/>
          <w:sz w:val="24"/>
        </w:rPr>
        <w:t>. Dans l’</w:t>
      </w:r>
      <w:r w:rsidR="008064D7" w:rsidRPr="007C17D3">
        <w:rPr>
          <w:rFonts w:ascii="Times New Roman" w:hAnsi="Times New Roman"/>
          <w:sz w:val="24"/>
        </w:rPr>
        <w:t>affaire</w:t>
      </w:r>
      <w:r w:rsidR="008064D7">
        <w:rPr>
          <w:rFonts w:ascii="Times New Roman" w:hAnsi="Times New Roman"/>
          <w:sz w:val="24"/>
        </w:rPr>
        <w:t xml:space="preserve"> Exide Technologies</w:t>
      </w:r>
      <w:r w:rsidR="008064D7">
        <w:rPr>
          <w:rStyle w:val="Appelnotedebasdep"/>
          <w:rFonts w:ascii="Times New Roman" w:hAnsi="Times New Roman"/>
          <w:sz w:val="24"/>
        </w:rPr>
        <w:footnoteReference w:id="172"/>
      </w:r>
      <w:r w:rsidR="008064D7">
        <w:rPr>
          <w:rFonts w:ascii="Times New Roman" w:hAnsi="Times New Roman"/>
          <w:sz w:val="24"/>
        </w:rPr>
        <w:t>, le juge refusa les décotes qu’il estima évaluées sur une base subjective. Les experts du débiteur et des créanciers utilisaient les mêmes méthodes (DCF, comparable de transaction, comparable de méthode), mais les débiteurs arriv</w:t>
      </w:r>
      <w:r>
        <w:rPr>
          <w:rFonts w:ascii="Times New Roman" w:hAnsi="Times New Roman"/>
          <w:sz w:val="24"/>
        </w:rPr>
        <w:t>ai</w:t>
      </w:r>
      <w:r w:rsidR="008064D7">
        <w:rPr>
          <w:rFonts w:ascii="Times New Roman" w:hAnsi="Times New Roman"/>
          <w:sz w:val="24"/>
        </w:rPr>
        <w:t xml:space="preserve">ent à une valeur entre 950 millions et 1,5 milliard tandis que les créanciers arrivaient à une valeur entre 1,478 milliard et 1,711 milliard par l’application ou non de </w:t>
      </w:r>
      <w:r w:rsidR="005A6F19">
        <w:rPr>
          <w:rFonts w:ascii="Times New Roman" w:hAnsi="Times New Roman"/>
          <w:sz w:val="24"/>
        </w:rPr>
        <w:t xml:space="preserve">la </w:t>
      </w:r>
      <w:r w:rsidR="008064D7">
        <w:rPr>
          <w:rFonts w:ascii="Times New Roman" w:hAnsi="Times New Roman"/>
          <w:sz w:val="24"/>
        </w:rPr>
        <w:t>décote. Le juge rejeta certaines décotes proposées et fixa la valeur entre 1,4 et 1,6 milliard.</w:t>
      </w:r>
    </w:p>
    <w:p w:rsidR="008064D7" w:rsidRDefault="008064D7" w:rsidP="004B10FE">
      <w:pPr>
        <w:spacing w:line="240" w:lineRule="auto"/>
        <w:ind w:left="708"/>
        <w:rPr>
          <w:rFonts w:ascii="Times New Roman" w:hAnsi="Times New Roman"/>
          <w:sz w:val="24"/>
        </w:rPr>
      </w:pPr>
    </w:p>
    <w:p w:rsidR="008064D7" w:rsidRPr="004572EB" w:rsidRDefault="008064D7" w:rsidP="004B10FE">
      <w:pPr>
        <w:spacing w:line="240" w:lineRule="auto"/>
        <w:ind w:left="708"/>
        <w:rPr>
          <w:rFonts w:ascii="Times New Roman" w:hAnsi="Times New Roman"/>
          <w:sz w:val="24"/>
        </w:rPr>
      </w:pPr>
      <w:r>
        <w:rPr>
          <w:rFonts w:ascii="Times New Roman" w:hAnsi="Times New Roman"/>
          <w:sz w:val="24"/>
        </w:rPr>
        <w:t>Il rejeta, par exemple, une décote pour société sortant d’une réorganisation.</w:t>
      </w:r>
      <w:r w:rsidR="005A6F19">
        <w:rPr>
          <w:rFonts w:ascii="Times New Roman" w:hAnsi="Times New Roman"/>
          <w:sz w:val="24"/>
        </w:rPr>
        <w:t xml:space="preserve"> </w:t>
      </w:r>
      <w:r>
        <w:rPr>
          <w:rFonts w:ascii="Times New Roman" w:hAnsi="Times New Roman"/>
          <w:sz w:val="24"/>
        </w:rPr>
        <w:t>Dans l’</w:t>
      </w:r>
      <w:r w:rsidRPr="007C17D3">
        <w:rPr>
          <w:rFonts w:ascii="Times New Roman" w:hAnsi="Times New Roman"/>
          <w:sz w:val="24"/>
        </w:rPr>
        <w:t>affaire</w:t>
      </w:r>
      <w:r>
        <w:rPr>
          <w:rFonts w:ascii="Times New Roman" w:hAnsi="Times New Roman"/>
          <w:sz w:val="24"/>
        </w:rPr>
        <w:t xml:space="preserve"> Mirant</w:t>
      </w:r>
      <w:r>
        <w:rPr>
          <w:rStyle w:val="Appelnotedebasdep"/>
          <w:rFonts w:ascii="Times New Roman" w:hAnsi="Times New Roman"/>
          <w:sz w:val="24"/>
        </w:rPr>
        <w:footnoteReference w:id="173"/>
      </w:r>
      <w:r>
        <w:rPr>
          <w:rFonts w:ascii="Times New Roman" w:hAnsi="Times New Roman"/>
          <w:sz w:val="24"/>
        </w:rPr>
        <w:t>, la Cour du Texas écarta aussi cette décote</w:t>
      </w:r>
      <w:r w:rsidR="005A6F19">
        <w:rPr>
          <w:rFonts w:ascii="Times New Roman" w:hAnsi="Times New Roman"/>
          <w:sz w:val="24"/>
        </w:rPr>
        <w:t>.</w:t>
      </w:r>
    </w:p>
    <w:p w:rsidR="008064D7" w:rsidRPr="00EF1B0C" w:rsidRDefault="008064D7" w:rsidP="00EF1B0C">
      <w:pPr>
        <w:spacing w:line="240" w:lineRule="auto"/>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6</w:t>
      </w:r>
      <w:r w:rsidRPr="006610C0">
        <w:rPr>
          <w:rFonts w:ascii="Times New Roman" w:hAnsi="Times New Roman"/>
          <w:sz w:val="24"/>
          <w:u w:val="single"/>
          <w:vertAlign w:val="superscript"/>
        </w:rPr>
        <w:t>ème</w:t>
      </w:r>
      <w:r>
        <w:rPr>
          <w:rFonts w:ascii="Times New Roman" w:hAnsi="Times New Roman"/>
          <w:sz w:val="24"/>
          <w:u w:val="single"/>
        </w:rPr>
        <w:t xml:space="preserve"> étape est un </w:t>
      </w:r>
      <w:r w:rsidRPr="00AC6D36">
        <w:rPr>
          <w:rFonts w:ascii="Times New Roman" w:hAnsi="Times New Roman"/>
          <w:b/>
          <w:sz w:val="24"/>
          <w:u w:val="single"/>
        </w:rPr>
        <w:t>test de sensibilité par rapport aux autres évaluations</w:t>
      </w:r>
      <w:r>
        <w:rPr>
          <w:rFonts w:ascii="Times New Roman" w:hAnsi="Times New Roman"/>
          <w:sz w:val="24"/>
          <w:u w:val="single"/>
        </w:rPr>
        <w:t xml:space="preserve"> et, en particulier, face à la </w:t>
      </w:r>
      <w:r w:rsidRPr="006610C0">
        <w:rPr>
          <w:rFonts w:ascii="Times New Roman" w:hAnsi="Times New Roman"/>
          <w:sz w:val="24"/>
          <w:u w:val="single"/>
        </w:rPr>
        <w:t>valeur de liquidation</w:t>
      </w:r>
      <w:r>
        <w:rPr>
          <w:rFonts w:ascii="Times New Roman" w:hAnsi="Times New Roman"/>
          <w:sz w:val="24"/>
          <w:u w:val="single"/>
        </w:rPr>
        <w:t xml:space="preserve"> ou aux valeurs comparables</w:t>
      </w:r>
      <w:r>
        <w:rPr>
          <w:rFonts w:ascii="Times New Roman" w:hAnsi="Times New Roman"/>
          <w:sz w:val="24"/>
        </w:rPr>
        <w:t xml:space="preserve">. Il faut apprécier la capacité de financement future car si un débiteur a des actifs incorporels mais est incapable d’obtenir du financement pendant le sursis ou après le sursis, on peut raisonnablement penser que la valeur de ces actifs se rapproche d’une valeur de liquidation. </w:t>
      </w:r>
      <w:r w:rsidRPr="00EF1B0C">
        <w:rPr>
          <w:rFonts w:ascii="Times New Roman" w:hAnsi="Times New Roman"/>
          <w:sz w:val="24"/>
        </w:rPr>
        <w:t xml:space="preserve">Ainsi, </w:t>
      </w:r>
      <w:r>
        <w:rPr>
          <w:rFonts w:ascii="Times New Roman" w:hAnsi="Times New Roman"/>
          <w:sz w:val="24"/>
        </w:rPr>
        <w:t>si des prêteurs d’ailleurs créanciers ne bénéficient</w:t>
      </w:r>
      <w:r w:rsidRPr="00EF1B0C">
        <w:rPr>
          <w:rFonts w:ascii="Times New Roman" w:hAnsi="Times New Roman"/>
          <w:sz w:val="24"/>
        </w:rPr>
        <w:t xml:space="preserve"> pas d’un éventuel privilège </w:t>
      </w:r>
      <w:r w:rsidRPr="00AB387E">
        <w:rPr>
          <w:rFonts w:ascii="Times New Roman" w:hAnsi="Times New Roman"/>
          <w:i/>
          <w:sz w:val="24"/>
        </w:rPr>
        <w:t>New</w:t>
      </w:r>
      <w:r w:rsidRPr="00EF1B0C">
        <w:rPr>
          <w:rFonts w:ascii="Times New Roman" w:hAnsi="Times New Roman"/>
          <w:sz w:val="24"/>
        </w:rPr>
        <w:t xml:space="preserve"> ou </w:t>
      </w:r>
      <w:r w:rsidRPr="00AB387E">
        <w:rPr>
          <w:rFonts w:ascii="Times New Roman" w:hAnsi="Times New Roman"/>
          <w:i/>
          <w:sz w:val="24"/>
        </w:rPr>
        <w:t>Post Money</w:t>
      </w:r>
      <w:r>
        <w:rPr>
          <w:rFonts w:ascii="Times New Roman" w:hAnsi="Times New Roman"/>
          <w:sz w:val="24"/>
        </w:rPr>
        <w:t xml:space="preserve"> et s’ils ne financent pas en conséquence le sursis ou le post s</w:t>
      </w:r>
      <w:r w:rsidR="00AC6D36">
        <w:rPr>
          <w:rFonts w:ascii="Times New Roman" w:hAnsi="Times New Roman"/>
          <w:sz w:val="24"/>
        </w:rPr>
        <w:t>ursis, ils participent à détruir</w:t>
      </w:r>
      <w:r>
        <w:rPr>
          <w:rFonts w:ascii="Times New Roman" w:hAnsi="Times New Roman"/>
          <w:sz w:val="24"/>
        </w:rPr>
        <w:t xml:space="preserve">e de la valeur. Ils </w:t>
      </w:r>
      <w:r w:rsidRPr="00EF1B0C">
        <w:rPr>
          <w:rFonts w:ascii="Times New Roman" w:hAnsi="Times New Roman"/>
          <w:sz w:val="24"/>
        </w:rPr>
        <w:t xml:space="preserve">auraient intérêt </w:t>
      </w:r>
      <w:r>
        <w:rPr>
          <w:rFonts w:ascii="Times New Roman" w:hAnsi="Times New Roman"/>
          <w:sz w:val="24"/>
        </w:rPr>
        <w:t xml:space="preserve">à financer le débiteur, quitte à mettre en œuvre des techniques permettant </w:t>
      </w:r>
      <w:r w:rsidRPr="00EF1B0C">
        <w:rPr>
          <w:rFonts w:ascii="Times New Roman" w:hAnsi="Times New Roman"/>
          <w:sz w:val="24"/>
        </w:rPr>
        <w:t xml:space="preserve">l’existence d’un tel privilège </w:t>
      </w:r>
      <w:r>
        <w:rPr>
          <w:rFonts w:ascii="Times New Roman" w:hAnsi="Times New Roman"/>
          <w:sz w:val="24"/>
        </w:rPr>
        <w:t xml:space="preserve">puisque ce </w:t>
      </w:r>
      <w:r w:rsidRPr="00EF1B0C">
        <w:rPr>
          <w:rFonts w:ascii="Times New Roman" w:hAnsi="Times New Roman"/>
          <w:sz w:val="24"/>
        </w:rPr>
        <w:t>fi</w:t>
      </w:r>
      <w:r>
        <w:rPr>
          <w:rFonts w:ascii="Times New Roman" w:hAnsi="Times New Roman"/>
          <w:sz w:val="24"/>
        </w:rPr>
        <w:t>nancement donnerait aux actifs une valeur d’</w:t>
      </w:r>
      <w:r w:rsidRPr="00EF1B0C">
        <w:rPr>
          <w:rFonts w:ascii="Times New Roman" w:hAnsi="Times New Roman"/>
          <w:sz w:val="24"/>
        </w:rPr>
        <w:t xml:space="preserve">assiette </w:t>
      </w:r>
      <w:r>
        <w:rPr>
          <w:rFonts w:ascii="Times New Roman" w:hAnsi="Times New Roman"/>
          <w:sz w:val="24"/>
        </w:rPr>
        <w:t xml:space="preserve">à </w:t>
      </w:r>
      <w:r w:rsidRPr="00EF1B0C">
        <w:rPr>
          <w:rFonts w:ascii="Times New Roman" w:hAnsi="Times New Roman"/>
          <w:sz w:val="24"/>
        </w:rPr>
        <w:t>leur gage</w:t>
      </w:r>
      <w:r>
        <w:rPr>
          <w:rFonts w:ascii="Times New Roman" w:hAnsi="Times New Roman"/>
          <w:sz w:val="24"/>
        </w:rPr>
        <w:t>.</w:t>
      </w:r>
      <w:r w:rsidRPr="00EF1B0C">
        <w:rPr>
          <w:rFonts w:ascii="Times New Roman" w:hAnsi="Times New Roman"/>
          <w:sz w:val="24"/>
        </w:rPr>
        <w:t xml:space="preserve"> </w:t>
      </w:r>
      <w:r>
        <w:rPr>
          <w:rFonts w:ascii="Times New Roman" w:hAnsi="Times New Roman"/>
          <w:sz w:val="24"/>
        </w:rPr>
        <w:t xml:space="preserve">On notera déjà ici - mais on y reviendra - que la vision selon laquelle le privilège </w:t>
      </w:r>
      <w:r w:rsidRPr="00AB387E">
        <w:rPr>
          <w:rFonts w:ascii="Times New Roman" w:hAnsi="Times New Roman"/>
          <w:i/>
          <w:sz w:val="24"/>
        </w:rPr>
        <w:t xml:space="preserve">Post </w:t>
      </w:r>
      <w:r>
        <w:rPr>
          <w:rFonts w:ascii="Times New Roman" w:hAnsi="Times New Roman"/>
          <w:sz w:val="24"/>
        </w:rPr>
        <w:t xml:space="preserve">ou </w:t>
      </w:r>
      <w:r w:rsidRPr="00AB387E">
        <w:rPr>
          <w:rFonts w:ascii="Times New Roman" w:hAnsi="Times New Roman"/>
          <w:i/>
          <w:sz w:val="24"/>
        </w:rPr>
        <w:t>New Money</w:t>
      </w:r>
      <w:r>
        <w:rPr>
          <w:rFonts w:ascii="Times New Roman" w:hAnsi="Times New Roman"/>
          <w:sz w:val="24"/>
        </w:rPr>
        <w:t xml:space="preserve"> écrase les créanciers antérieurs est donc souvent démentie dans la pratique.</w:t>
      </w:r>
    </w:p>
    <w:p w:rsidR="008064D7" w:rsidRDefault="008064D7" w:rsidP="00736DE2">
      <w:pPr>
        <w:spacing w:line="240" w:lineRule="auto"/>
        <w:ind w:left="708"/>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7</w:t>
      </w:r>
      <w:r w:rsidRPr="003F470C">
        <w:rPr>
          <w:rFonts w:ascii="Times New Roman" w:hAnsi="Times New Roman"/>
          <w:sz w:val="24"/>
          <w:u w:val="single"/>
          <w:vertAlign w:val="superscript"/>
        </w:rPr>
        <w:t>ème</w:t>
      </w:r>
      <w:r>
        <w:rPr>
          <w:rFonts w:ascii="Times New Roman" w:hAnsi="Times New Roman"/>
          <w:sz w:val="24"/>
          <w:u w:val="single"/>
        </w:rPr>
        <w:t xml:space="preserve"> étape est </w:t>
      </w:r>
      <w:r w:rsidRPr="00AC6D36">
        <w:rPr>
          <w:rFonts w:ascii="Times New Roman" w:hAnsi="Times New Roman"/>
          <w:b/>
          <w:sz w:val="24"/>
          <w:u w:val="single"/>
        </w:rPr>
        <w:t>la « </w:t>
      </w:r>
      <w:r w:rsidRPr="00AC6D36">
        <w:rPr>
          <w:rFonts w:ascii="Times New Roman" w:hAnsi="Times New Roman"/>
          <w:b/>
          <w:i/>
          <w:sz w:val="24"/>
          <w:u w:val="single"/>
        </w:rPr>
        <w:t>négociation »</w:t>
      </w:r>
      <w:r>
        <w:rPr>
          <w:rFonts w:ascii="Times New Roman" w:hAnsi="Times New Roman"/>
          <w:sz w:val="24"/>
          <w:u w:val="single"/>
        </w:rPr>
        <w:t xml:space="preserve"> sur la valeur</w:t>
      </w:r>
      <w:r>
        <w:rPr>
          <w:rFonts w:ascii="Times New Roman" w:hAnsi="Times New Roman"/>
          <w:sz w:val="24"/>
        </w:rPr>
        <w:t>. Que ce soit pour une acquisition, une augmentation de capital, une fusion ou une scission, une démission ou une exclusion, ou pour é</w:t>
      </w:r>
      <w:r w:rsidRPr="007C17D3">
        <w:rPr>
          <w:rFonts w:ascii="Times New Roman" w:hAnsi="Times New Roman"/>
          <w:i/>
          <w:sz w:val="24"/>
        </w:rPr>
        <w:t>value</w:t>
      </w:r>
      <w:r>
        <w:rPr>
          <w:rFonts w:ascii="Times New Roman" w:hAnsi="Times New Roman"/>
          <w:sz w:val="24"/>
        </w:rPr>
        <w:t>r fiscalement ou civilement la valeur des actions, la « </w:t>
      </w:r>
      <w:r>
        <w:rPr>
          <w:rFonts w:ascii="Times New Roman" w:hAnsi="Times New Roman"/>
          <w:i/>
          <w:sz w:val="24"/>
        </w:rPr>
        <w:t>négociation »</w:t>
      </w:r>
      <w:r>
        <w:rPr>
          <w:rFonts w:ascii="Times New Roman" w:hAnsi="Times New Roman"/>
          <w:sz w:val="24"/>
        </w:rPr>
        <w:t xml:space="preserve"> </w:t>
      </w:r>
      <w:r w:rsidR="00AC6D36">
        <w:rPr>
          <w:rFonts w:ascii="Times New Roman" w:hAnsi="Times New Roman"/>
          <w:sz w:val="24"/>
        </w:rPr>
        <w:t>demeure liée à la fixation de valeur</w:t>
      </w:r>
      <w:r>
        <w:rPr>
          <w:rFonts w:ascii="Times New Roman" w:hAnsi="Times New Roman"/>
          <w:sz w:val="24"/>
        </w:rPr>
        <w:t>. En matière de faillite, le droit américain a résolu la question de l’évaluation par la « </w:t>
      </w:r>
      <w:r>
        <w:rPr>
          <w:rFonts w:ascii="Times New Roman" w:hAnsi="Times New Roman"/>
          <w:i/>
          <w:sz w:val="24"/>
        </w:rPr>
        <w:t>négociation</w:t>
      </w:r>
      <w:r>
        <w:rPr>
          <w:rFonts w:ascii="Times New Roman" w:hAnsi="Times New Roman"/>
          <w:sz w:val="24"/>
        </w:rPr>
        <w:t> »</w:t>
      </w:r>
      <w:r>
        <w:rPr>
          <w:rStyle w:val="Appelnotedebasdep"/>
          <w:rFonts w:ascii="Times New Roman" w:hAnsi="Times New Roman"/>
          <w:sz w:val="24"/>
        </w:rPr>
        <w:footnoteReference w:id="174"/>
      </w:r>
      <w:r>
        <w:rPr>
          <w:rFonts w:ascii="Times New Roman" w:hAnsi="Times New Roman"/>
          <w:sz w:val="24"/>
        </w:rPr>
        <w:t>. Le débiteur propose sur son évaluation chaque catégorie. Les créanciers contre proposent. Le juge fait é</w:t>
      </w:r>
      <w:r w:rsidRPr="007C17D3">
        <w:rPr>
          <w:rFonts w:ascii="Times New Roman" w:hAnsi="Times New Roman"/>
          <w:i/>
          <w:sz w:val="24"/>
        </w:rPr>
        <w:t>value</w:t>
      </w:r>
      <w:r>
        <w:rPr>
          <w:rFonts w:ascii="Times New Roman" w:hAnsi="Times New Roman"/>
          <w:sz w:val="24"/>
        </w:rPr>
        <w:t xml:space="preserve">r les positions en fonction des </w:t>
      </w:r>
      <w:r w:rsidR="00AC6D36">
        <w:rPr>
          <w:rFonts w:ascii="Times New Roman" w:hAnsi="Times New Roman"/>
          <w:sz w:val="24"/>
        </w:rPr>
        <w:t>informations réelles par le débiteur s</w:t>
      </w:r>
      <w:r>
        <w:rPr>
          <w:rFonts w:ascii="Times New Roman" w:hAnsi="Times New Roman"/>
          <w:sz w:val="24"/>
        </w:rPr>
        <w:t>ur la valeur. Les parties peuvent demander</w:t>
      </w:r>
      <w:r w:rsidR="00AC6D36">
        <w:rPr>
          <w:rFonts w:ascii="Times New Roman" w:hAnsi="Times New Roman"/>
          <w:sz w:val="24"/>
        </w:rPr>
        <w:t xml:space="preserve"> au juge </w:t>
      </w:r>
      <w:r>
        <w:rPr>
          <w:rFonts w:ascii="Times New Roman" w:hAnsi="Times New Roman"/>
          <w:sz w:val="24"/>
        </w:rPr>
        <w:t>un « </w:t>
      </w:r>
      <w:r w:rsidRPr="007C17D3">
        <w:rPr>
          <w:rFonts w:ascii="Times New Roman" w:hAnsi="Times New Roman"/>
          <w:i/>
          <w:sz w:val="24"/>
        </w:rPr>
        <w:t>hearing</w:t>
      </w:r>
      <w:r>
        <w:rPr>
          <w:rFonts w:ascii="Times New Roman" w:hAnsi="Times New Roman"/>
          <w:i/>
          <w:sz w:val="24"/>
        </w:rPr>
        <w:t> »</w:t>
      </w:r>
      <w:r>
        <w:rPr>
          <w:rFonts w:ascii="Times New Roman" w:hAnsi="Times New Roman"/>
          <w:sz w:val="24"/>
        </w:rPr>
        <w:t xml:space="preserve"> sur la valeur</w:t>
      </w:r>
      <w:r>
        <w:rPr>
          <w:rStyle w:val="Appelnotedebasdep"/>
          <w:rFonts w:ascii="Times New Roman" w:hAnsi="Times New Roman"/>
          <w:sz w:val="24"/>
        </w:rPr>
        <w:footnoteReference w:id="175"/>
      </w:r>
      <w:r>
        <w:rPr>
          <w:rFonts w:ascii="Times New Roman" w:hAnsi="Times New Roman"/>
          <w:sz w:val="24"/>
        </w:rPr>
        <w:t xml:space="preserve">, car ces évaluations </w:t>
      </w:r>
      <w:r w:rsidR="00AC6D36">
        <w:rPr>
          <w:rFonts w:ascii="Times New Roman" w:hAnsi="Times New Roman"/>
          <w:sz w:val="24"/>
        </w:rPr>
        <w:t>sont souvent différentes</w:t>
      </w:r>
      <w:r>
        <w:rPr>
          <w:rFonts w:ascii="Times New Roman" w:hAnsi="Times New Roman"/>
          <w:sz w:val="24"/>
        </w:rPr>
        <w:t xml:space="preserve"> de 20% à 300% </w:t>
      </w:r>
      <w:r>
        <w:rPr>
          <w:rStyle w:val="Appelnotedebasdep"/>
          <w:rFonts w:ascii="Times New Roman" w:hAnsi="Times New Roman"/>
          <w:sz w:val="24"/>
        </w:rPr>
        <w:footnoteReference w:id="176"/>
      </w:r>
      <w:r>
        <w:rPr>
          <w:rStyle w:val="Appelnotedebasdep"/>
          <w:rFonts w:ascii="Times New Roman" w:hAnsi="Times New Roman"/>
          <w:sz w:val="24"/>
        </w:rPr>
        <w:footnoteReference w:id="177"/>
      </w:r>
      <w:r>
        <w:rPr>
          <w:rFonts w:ascii="Times New Roman" w:hAnsi="Times New Roman"/>
          <w:sz w:val="24"/>
        </w:rPr>
        <w:t xml:space="preserve">. </w:t>
      </w:r>
    </w:p>
    <w:p w:rsidR="008064D7" w:rsidRDefault="008064D7" w:rsidP="008F3528">
      <w:pPr>
        <w:spacing w:line="240" w:lineRule="auto"/>
        <w:ind w:left="708"/>
        <w:rPr>
          <w:rFonts w:ascii="Times New Roman" w:hAnsi="Times New Roman"/>
          <w:sz w:val="24"/>
        </w:rPr>
      </w:pPr>
    </w:p>
    <w:p w:rsidR="00AC6D36"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8</w:t>
      </w:r>
      <w:r w:rsidRPr="00AC377F">
        <w:rPr>
          <w:rFonts w:ascii="Times New Roman" w:hAnsi="Times New Roman"/>
          <w:sz w:val="24"/>
          <w:u w:val="single"/>
          <w:vertAlign w:val="superscript"/>
        </w:rPr>
        <w:t>ème</w:t>
      </w:r>
      <w:r>
        <w:rPr>
          <w:rFonts w:ascii="Times New Roman" w:hAnsi="Times New Roman"/>
          <w:sz w:val="24"/>
          <w:u w:val="single"/>
        </w:rPr>
        <w:t xml:space="preserve"> étape est </w:t>
      </w:r>
      <w:r w:rsidRPr="00AC6D36">
        <w:rPr>
          <w:rFonts w:ascii="Times New Roman" w:hAnsi="Times New Roman"/>
          <w:b/>
          <w:sz w:val="24"/>
          <w:u w:val="single"/>
        </w:rPr>
        <w:t>la relativisation à l’égard des valeurs au regard de la valeur de marché spécifique.</w:t>
      </w:r>
      <w:r>
        <w:rPr>
          <w:rFonts w:ascii="Times New Roman" w:hAnsi="Times New Roman"/>
          <w:sz w:val="24"/>
        </w:rPr>
        <w:t xml:space="preserve"> Une valeur de marché est celle d’un moment et d’une situation. </w:t>
      </w:r>
    </w:p>
    <w:p w:rsidR="00AC6D36" w:rsidRDefault="00AC6D36" w:rsidP="00AC6D36">
      <w:pPr>
        <w:pStyle w:val="Paragraphedeliste"/>
        <w:spacing w:line="240" w:lineRule="auto"/>
        <w:ind w:left="786"/>
        <w:rPr>
          <w:rFonts w:ascii="Times New Roman" w:hAnsi="Times New Roman"/>
          <w:sz w:val="24"/>
          <w:u w:val="single"/>
        </w:rPr>
      </w:pPr>
    </w:p>
    <w:p w:rsidR="008064D7" w:rsidRDefault="008064D7" w:rsidP="00AC6D36">
      <w:pPr>
        <w:pStyle w:val="Paragraphedeliste"/>
        <w:spacing w:line="240" w:lineRule="auto"/>
        <w:ind w:left="786"/>
        <w:rPr>
          <w:rFonts w:ascii="Times New Roman" w:hAnsi="Times New Roman"/>
          <w:sz w:val="24"/>
        </w:rPr>
      </w:pPr>
      <w:r>
        <w:rPr>
          <w:rFonts w:ascii="Times New Roman" w:hAnsi="Times New Roman"/>
          <w:sz w:val="24"/>
        </w:rPr>
        <w:t xml:space="preserve">On pourrait </w:t>
      </w:r>
      <w:r w:rsidR="00AC6D36">
        <w:rPr>
          <w:rFonts w:ascii="Times New Roman" w:hAnsi="Times New Roman"/>
          <w:i/>
          <w:sz w:val="24"/>
        </w:rPr>
        <w:t>f</w:t>
      </w:r>
      <w:r w:rsidRPr="007C17D3">
        <w:rPr>
          <w:rFonts w:ascii="Times New Roman" w:hAnsi="Times New Roman"/>
          <w:i/>
          <w:sz w:val="24"/>
        </w:rPr>
        <w:t>air</w:t>
      </w:r>
      <w:r>
        <w:rPr>
          <w:rFonts w:ascii="Times New Roman" w:hAnsi="Times New Roman"/>
          <w:sz w:val="24"/>
        </w:rPr>
        <w:t xml:space="preserve">e </w:t>
      </w:r>
      <w:r w:rsidR="00AC6D36">
        <w:rPr>
          <w:rFonts w:ascii="Times New Roman" w:hAnsi="Times New Roman"/>
          <w:sz w:val="24"/>
        </w:rPr>
        <w:t>un « </w:t>
      </w:r>
      <w:r w:rsidR="00AC6D36">
        <w:rPr>
          <w:rFonts w:ascii="Times New Roman" w:hAnsi="Times New Roman"/>
          <w:i/>
          <w:sz w:val="24"/>
        </w:rPr>
        <w:t>test implicite de marché »</w:t>
      </w:r>
      <w:r w:rsidR="00AC6D36">
        <w:rPr>
          <w:rFonts w:ascii="Times New Roman" w:hAnsi="Times New Roman"/>
          <w:sz w:val="24"/>
        </w:rPr>
        <w:t>, c’est-à-dire, rechercher sur le marché la valeur offerte par des tiers acquéreurs</w:t>
      </w:r>
      <w:r>
        <w:rPr>
          <w:rFonts w:ascii="Times New Roman" w:hAnsi="Times New Roman"/>
          <w:sz w:val="24"/>
        </w:rPr>
        <w:t>. C</w:t>
      </w:r>
      <w:r w:rsidRPr="00AC377F">
        <w:rPr>
          <w:rFonts w:ascii="Times New Roman" w:hAnsi="Times New Roman"/>
          <w:sz w:val="24"/>
        </w:rPr>
        <w:t>e test</w:t>
      </w:r>
      <w:r>
        <w:rPr>
          <w:rFonts w:ascii="Times New Roman" w:hAnsi="Times New Roman"/>
          <w:sz w:val="24"/>
        </w:rPr>
        <w:t xml:space="preserve"> </w:t>
      </w:r>
      <w:r w:rsidR="00AC6D36">
        <w:rPr>
          <w:rFonts w:ascii="Times New Roman" w:hAnsi="Times New Roman"/>
          <w:sz w:val="24"/>
        </w:rPr>
        <w:t>implicite est pertinent mais</w:t>
      </w:r>
      <w:r>
        <w:rPr>
          <w:rFonts w:ascii="Times New Roman" w:hAnsi="Times New Roman"/>
          <w:sz w:val="24"/>
        </w:rPr>
        <w:t xml:space="preserve"> dangereux</w:t>
      </w:r>
      <w:r>
        <w:rPr>
          <w:rStyle w:val="Appelnotedebasdep"/>
          <w:rFonts w:ascii="Times New Roman" w:hAnsi="Times New Roman"/>
          <w:sz w:val="24"/>
        </w:rPr>
        <w:footnoteReference w:id="178"/>
      </w:r>
      <w:r>
        <w:rPr>
          <w:rFonts w:ascii="Times New Roman" w:hAnsi="Times New Roman"/>
          <w:sz w:val="24"/>
        </w:rPr>
        <w:t>. En effet, si ce test consiste à comparer l’évaluation proposée avec des offres faites par des acteurs autres de rentrer dans le capital ou d’acquérir les actifs com</w:t>
      </w:r>
      <w:r w:rsidR="00AC6D36">
        <w:rPr>
          <w:rFonts w:ascii="Times New Roman" w:hAnsi="Times New Roman"/>
          <w:sz w:val="24"/>
        </w:rPr>
        <w:t>m</w:t>
      </w:r>
      <w:r>
        <w:rPr>
          <w:rFonts w:ascii="Times New Roman" w:hAnsi="Times New Roman"/>
          <w:sz w:val="24"/>
        </w:rPr>
        <w:t xml:space="preserve">e des ventures capitalistes, on peut craindre que cette valeur prenne trop en compte l’opportunité du moment </w:t>
      </w:r>
      <w:r w:rsidR="00AC6D36">
        <w:rPr>
          <w:rFonts w:ascii="Times New Roman" w:hAnsi="Times New Roman"/>
          <w:sz w:val="24"/>
        </w:rPr>
        <w:t>où</w:t>
      </w:r>
      <w:r>
        <w:rPr>
          <w:rFonts w:ascii="Times New Roman" w:hAnsi="Times New Roman"/>
          <w:sz w:val="24"/>
        </w:rPr>
        <w:t xml:space="preserve">, surtout, émanant d’acteurs qui n’auraient pas accepté toutes les conditions ou décliné </w:t>
      </w:r>
      <w:r w:rsidR="00AC6D36">
        <w:rPr>
          <w:rFonts w:ascii="Times New Roman" w:hAnsi="Times New Roman"/>
          <w:sz w:val="24"/>
        </w:rPr>
        <w:t>s’ils les avaient connues, ou</w:t>
      </w:r>
      <w:r>
        <w:rPr>
          <w:rFonts w:ascii="Times New Roman" w:hAnsi="Times New Roman"/>
          <w:sz w:val="24"/>
        </w:rPr>
        <w:t xml:space="preserve"> qui n’auraient </w:t>
      </w:r>
      <w:r w:rsidR="00AC6D36">
        <w:rPr>
          <w:rFonts w:ascii="Times New Roman" w:hAnsi="Times New Roman"/>
          <w:sz w:val="24"/>
        </w:rPr>
        <w:t xml:space="preserve">même </w:t>
      </w:r>
      <w:r>
        <w:rPr>
          <w:rFonts w:ascii="Times New Roman" w:hAnsi="Times New Roman"/>
          <w:sz w:val="24"/>
        </w:rPr>
        <w:t>pas donné suite</w:t>
      </w:r>
      <w:r>
        <w:rPr>
          <w:rStyle w:val="Appelnotedebasdep"/>
          <w:rFonts w:ascii="Times New Roman" w:hAnsi="Times New Roman"/>
          <w:sz w:val="24"/>
        </w:rPr>
        <w:footnoteReference w:id="179"/>
      </w:r>
      <w:r>
        <w:rPr>
          <w:rFonts w:ascii="Times New Roman" w:hAnsi="Times New Roman"/>
          <w:sz w:val="24"/>
        </w:rPr>
        <w:t>.</w:t>
      </w:r>
    </w:p>
    <w:p w:rsidR="008064D7" w:rsidRDefault="008064D7" w:rsidP="00AC377F">
      <w:pPr>
        <w:spacing w:line="240" w:lineRule="auto"/>
        <w:ind w:left="708"/>
        <w:rPr>
          <w:rFonts w:ascii="Times New Roman" w:hAnsi="Times New Roman"/>
          <w:sz w:val="24"/>
        </w:rPr>
      </w:pPr>
    </w:p>
    <w:p w:rsidR="008064D7" w:rsidRDefault="008064D7" w:rsidP="00AC377F">
      <w:pPr>
        <w:spacing w:line="240" w:lineRule="auto"/>
        <w:ind w:left="708"/>
        <w:rPr>
          <w:rFonts w:ascii="Times New Roman" w:hAnsi="Times New Roman"/>
          <w:sz w:val="24"/>
        </w:rPr>
      </w:pPr>
      <w:r>
        <w:rPr>
          <w:rFonts w:ascii="Times New Roman" w:hAnsi="Times New Roman"/>
          <w:sz w:val="24"/>
        </w:rPr>
        <w:t xml:space="preserve">Ce test a </w:t>
      </w:r>
      <w:r w:rsidR="00AC6D36">
        <w:rPr>
          <w:rFonts w:ascii="Times New Roman" w:hAnsi="Times New Roman"/>
          <w:sz w:val="24"/>
        </w:rPr>
        <w:t xml:space="preserve">parfois aussi </w:t>
      </w:r>
      <w:r>
        <w:rPr>
          <w:rFonts w:ascii="Times New Roman" w:hAnsi="Times New Roman"/>
          <w:sz w:val="24"/>
        </w:rPr>
        <w:t xml:space="preserve">été critiqué car, d’une part, les offrants n’ont peut-être pas eu le temps nécessaire ni l’information utile à se </w:t>
      </w:r>
      <w:r w:rsidR="00AC6D36">
        <w:rPr>
          <w:rFonts w:ascii="Times New Roman" w:hAnsi="Times New Roman"/>
          <w:sz w:val="24"/>
        </w:rPr>
        <w:t>f</w:t>
      </w:r>
      <w:r w:rsidRPr="007C17D3">
        <w:rPr>
          <w:rFonts w:ascii="Times New Roman" w:hAnsi="Times New Roman"/>
          <w:i/>
          <w:sz w:val="24"/>
        </w:rPr>
        <w:t>air</w:t>
      </w:r>
      <w:r>
        <w:rPr>
          <w:rFonts w:ascii="Times New Roman" w:hAnsi="Times New Roman"/>
          <w:sz w:val="24"/>
        </w:rPr>
        <w:t>e une opinion</w:t>
      </w:r>
      <w:r>
        <w:rPr>
          <w:rStyle w:val="Appelnotedebasdep"/>
          <w:rFonts w:ascii="Times New Roman" w:hAnsi="Times New Roman"/>
          <w:sz w:val="24"/>
        </w:rPr>
        <w:footnoteReference w:id="180"/>
      </w:r>
      <w:r>
        <w:rPr>
          <w:rFonts w:ascii="Times New Roman" w:hAnsi="Times New Roman"/>
          <w:sz w:val="24"/>
        </w:rPr>
        <w:t xml:space="preserve"> réelle ou eu toutes les </w:t>
      </w:r>
      <w:r>
        <w:rPr>
          <w:rFonts w:ascii="Times New Roman" w:hAnsi="Times New Roman"/>
          <w:sz w:val="24"/>
        </w:rPr>
        <w:lastRenderedPageBreak/>
        <w:t xml:space="preserve">informations sauf à avoir conduit un processus out-of-the court ou un </w:t>
      </w:r>
      <w:r w:rsidR="008D78C5" w:rsidRPr="00AB387E">
        <w:rPr>
          <w:rFonts w:ascii="Times New Roman" w:hAnsi="Times New Roman"/>
          <w:i/>
          <w:sz w:val="24"/>
        </w:rPr>
        <w:t>prépack</w:t>
      </w:r>
      <w:r>
        <w:rPr>
          <w:rFonts w:ascii="Times New Roman" w:hAnsi="Times New Roman"/>
          <w:sz w:val="24"/>
        </w:rPr>
        <w:t xml:space="preserve"> suffisamment clair et fiable.</w:t>
      </w:r>
      <w:r w:rsidR="008D78C5">
        <w:rPr>
          <w:rFonts w:ascii="Times New Roman" w:hAnsi="Times New Roman"/>
          <w:sz w:val="24"/>
        </w:rPr>
        <w:t xml:space="preserve"> Tout tiendra donc au sérieux du test.</w:t>
      </w:r>
    </w:p>
    <w:p w:rsidR="008064D7" w:rsidRDefault="008064D7" w:rsidP="00AC377F">
      <w:pPr>
        <w:spacing w:line="240" w:lineRule="auto"/>
        <w:ind w:left="708"/>
        <w:rPr>
          <w:rFonts w:ascii="Times New Roman" w:hAnsi="Times New Roman"/>
          <w:sz w:val="24"/>
        </w:rPr>
      </w:pPr>
    </w:p>
    <w:p w:rsidR="008064D7" w:rsidRDefault="008D78C5" w:rsidP="00AC377F">
      <w:pPr>
        <w:spacing w:line="240" w:lineRule="auto"/>
        <w:ind w:left="708"/>
        <w:rPr>
          <w:rFonts w:ascii="Times New Roman" w:hAnsi="Times New Roman"/>
          <w:sz w:val="24"/>
        </w:rPr>
      </w:pPr>
      <w:r>
        <w:rPr>
          <w:rFonts w:ascii="Times New Roman" w:hAnsi="Times New Roman"/>
          <w:sz w:val="24"/>
        </w:rPr>
        <w:t>Il reviendra donc d’évaluer</w:t>
      </w:r>
      <w:r w:rsidR="008064D7">
        <w:rPr>
          <w:rFonts w:ascii="Times New Roman" w:hAnsi="Times New Roman"/>
          <w:sz w:val="24"/>
        </w:rPr>
        <w:t xml:space="preserve"> l’évaluation de la pertinence de cette valeur de marché et do</w:t>
      </w:r>
      <w:r>
        <w:rPr>
          <w:rFonts w:ascii="Times New Roman" w:hAnsi="Times New Roman"/>
          <w:sz w:val="24"/>
        </w:rPr>
        <w:t>nc des caractéristiques du test, les juges vérifia</w:t>
      </w:r>
      <w:r w:rsidR="008064D7">
        <w:rPr>
          <w:rFonts w:ascii="Times New Roman" w:hAnsi="Times New Roman"/>
          <w:sz w:val="24"/>
        </w:rPr>
        <w:t>nt très attentivement le contenu des « </w:t>
      </w:r>
      <w:r w:rsidR="008064D7" w:rsidRPr="007C17D3">
        <w:rPr>
          <w:rFonts w:ascii="Times New Roman" w:hAnsi="Times New Roman"/>
          <w:i/>
          <w:sz w:val="24"/>
        </w:rPr>
        <w:t>Disclosures</w:t>
      </w:r>
      <w:r>
        <w:rPr>
          <w:rFonts w:ascii="Times New Roman" w:hAnsi="Times New Roman"/>
          <w:sz w:val="24"/>
        </w:rPr>
        <w:t> » et imposa</w:t>
      </w:r>
      <w:r w:rsidR="008064D7">
        <w:rPr>
          <w:rFonts w:ascii="Times New Roman" w:hAnsi="Times New Roman"/>
          <w:sz w:val="24"/>
        </w:rPr>
        <w:t xml:space="preserve">nt des </w:t>
      </w:r>
      <w:r w:rsidR="008064D7" w:rsidRPr="007C17D3">
        <w:rPr>
          <w:rFonts w:ascii="Times New Roman" w:hAnsi="Times New Roman"/>
          <w:i/>
          <w:sz w:val="24"/>
        </w:rPr>
        <w:t>disclosures</w:t>
      </w:r>
      <w:r w:rsidR="008064D7">
        <w:rPr>
          <w:rFonts w:ascii="Times New Roman" w:hAnsi="Times New Roman"/>
          <w:sz w:val="24"/>
        </w:rPr>
        <w:t xml:space="preserve"> complètes ou complémentaires et, partant, coûteuses</w:t>
      </w:r>
      <w:r w:rsidR="008064D7">
        <w:rPr>
          <w:rStyle w:val="Appelnotedebasdep"/>
          <w:rFonts w:ascii="Times New Roman" w:hAnsi="Times New Roman"/>
          <w:sz w:val="24"/>
        </w:rPr>
        <w:footnoteReference w:id="181"/>
      </w:r>
      <w:r w:rsidR="008064D7">
        <w:rPr>
          <w:rFonts w:ascii="Times New Roman" w:hAnsi="Times New Roman"/>
          <w:sz w:val="24"/>
        </w:rPr>
        <w:t>. Ce test a été analysé par le juge dans l’</w:t>
      </w:r>
      <w:r w:rsidR="008064D7" w:rsidRPr="007C17D3">
        <w:rPr>
          <w:rFonts w:ascii="Times New Roman" w:hAnsi="Times New Roman"/>
          <w:sz w:val="24"/>
        </w:rPr>
        <w:t>affaire</w:t>
      </w:r>
      <w:r w:rsidR="008064D7">
        <w:rPr>
          <w:rFonts w:ascii="Times New Roman" w:hAnsi="Times New Roman"/>
          <w:sz w:val="24"/>
        </w:rPr>
        <w:t xml:space="preserve"> Allied Newda Gold Corp</w:t>
      </w:r>
      <w:r w:rsidR="008064D7">
        <w:rPr>
          <w:rStyle w:val="Appelnotedebasdep"/>
          <w:rFonts w:ascii="Times New Roman" w:hAnsi="Times New Roman"/>
          <w:sz w:val="24"/>
        </w:rPr>
        <w:footnoteReference w:id="182"/>
      </w:r>
      <w:r w:rsidR="008064D7">
        <w:rPr>
          <w:rFonts w:ascii="Times New Roman" w:hAnsi="Times New Roman"/>
          <w:sz w:val="24"/>
        </w:rPr>
        <w:t xml:space="preserve"> </w:t>
      </w:r>
      <w:r>
        <w:rPr>
          <w:rFonts w:ascii="Times New Roman" w:hAnsi="Times New Roman"/>
          <w:sz w:val="24"/>
        </w:rPr>
        <w:t>pour, pour finir, rejeter la valeur implicite de marché</w:t>
      </w:r>
      <w:r w:rsidR="008064D7">
        <w:rPr>
          <w:rFonts w:ascii="Times New Roman" w:hAnsi="Times New Roman"/>
          <w:sz w:val="24"/>
        </w:rPr>
        <w:t xml:space="preserve"> au motif qu’il n’était pas </w:t>
      </w:r>
      <w:r w:rsidR="008064D7" w:rsidRPr="00AB387E">
        <w:rPr>
          <w:rFonts w:ascii="Times New Roman" w:hAnsi="Times New Roman"/>
          <w:i/>
          <w:sz w:val="24"/>
        </w:rPr>
        <w:t>in concreto</w:t>
      </w:r>
      <w:r w:rsidR="008064D7">
        <w:rPr>
          <w:rFonts w:ascii="Times New Roman" w:hAnsi="Times New Roman"/>
          <w:sz w:val="24"/>
        </w:rPr>
        <w:t xml:space="preserve"> pertinent. Il peut l’être, notamment si l’offre suit un </w:t>
      </w:r>
      <w:r w:rsidR="008064D7" w:rsidRPr="00AB387E">
        <w:rPr>
          <w:rFonts w:ascii="Times New Roman" w:hAnsi="Times New Roman"/>
          <w:i/>
          <w:sz w:val="24"/>
        </w:rPr>
        <w:t>prépack</w:t>
      </w:r>
      <w:r w:rsidR="008064D7">
        <w:rPr>
          <w:rFonts w:ascii="Times New Roman" w:hAnsi="Times New Roman"/>
          <w:sz w:val="24"/>
        </w:rPr>
        <w:t xml:space="preserve"> </w:t>
      </w:r>
      <w:r w:rsidR="008064D7" w:rsidRPr="00AB387E">
        <w:rPr>
          <w:rFonts w:ascii="Times New Roman" w:hAnsi="Times New Roman"/>
          <w:i/>
          <w:sz w:val="24"/>
        </w:rPr>
        <w:t>cession</w:t>
      </w:r>
      <w:r w:rsidR="008064D7" w:rsidRPr="00AB387E">
        <w:rPr>
          <w:rFonts w:ascii="Times New Roman" w:hAnsi="Times New Roman"/>
          <w:sz w:val="24"/>
        </w:rPr>
        <w:t xml:space="preserve"> </w:t>
      </w:r>
      <w:r w:rsidR="008064D7">
        <w:rPr>
          <w:rFonts w:ascii="Times New Roman" w:hAnsi="Times New Roman"/>
          <w:sz w:val="24"/>
        </w:rPr>
        <w:t>réalisé par des professionnels reconnus et par une méthodologie avérée.</w:t>
      </w:r>
    </w:p>
    <w:p w:rsidR="008064D7" w:rsidRDefault="008064D7" w:rsidP="00AC377F">
      <w:pPr>
        <w:spacing w:line="240" w:lineRule="auto"/>
        <w:ind w:left="708"/>
        <w:rPr>
          <w:rFonts w:ascii="Times New Roman" w:hAnsi="Times New Roman"/>
          <w:sz w:val="24"/>
        </w:rPr>
      </w:pPr>
    </w:p>
    <w:p w:rsidR="008064D7" w:rsidRDefault="008064D7" w:rsidP="00AC377F">
      <w:pPr>
        <w:spacing w:line="240" w:lineRule="auto"/>
        <w:ind w:left="708"/>
        <w:rPr>
          <w:rFonts w:ascii="Times New Roman" w:hAnsi="Times New Roman"/>
          <w:sz w:val="24"/>
        </w:rPr>
      </w:pPr>
      <w:r>
        <w:rPr>
          <w:rFonts w:ascii="Times New Roman" w:hAnsi="Times New Roman"/>
          <w:sz w:val="24"/>
        </w:rPr>
        <w:t>Un auteur américain rappelle que toutes les méthodologies retenues (DCF, comparable et comparable de transaction)</w:t>
      </w:r>
      <w:r>
        <w:rPr>
          <w:rStyle w:val="Appelnotedebasdep"/>
          <w:rFonts w:ascii="Times New Roman" w:hAnsi="Times New Roman"/>
          <w:sz w:val="24"/>
        </w:rPr>
        <w:footnoteReference w:id="183"/>
      </w:r>
      <w:r>
        <w:rPr>
          <w:rFonts w:ascii="Times New Roman" w:hAnsi="Times New Roman"/>
          <w:sz w:val="24"/>
        </w:rPr>
        <w:t xml:space="preserve"> doivent s’apprécier s’il n’y a pas « </w:t>
      </w:r>
      <w:r w:rsidRPr="00AA5BF4">
        <w:rPr>
          <w:rFonts w:ascii="Times New Roman" w:hAnsi="Times New Roman"/>
          <w:i/>
          <w:sz w:val="24"/>
        </w:rPr>
        <w:t>d’évidence</w:t>
      </w:r>
      <w:r>
        <w:rPr>
          <w:rFonts w:ascii="Times New Roman" w:hAnsi="Times New Roman"/>
          <w:sz w:val="24"/>
        </w:rPr>
        <w:t> » de prix de marché</w:t>
      </w:r>
      <w:r>
        <w:rPr>
          <w:rStyle w:val="Appelnotedebasdep"/>
          <w:rFonts w:ascii="Times New Roman" w:hAnsi="Times New Roman"/>
          <w:sz w:val="24"/>
        </w:rPr>
        <w:footnoteReference w:id="184"/>
      </w:r>
      <w:r>
        <w:rPr>
          <w:rFonts w:ascii="Times New Roman" w:hAnsi="Times New Roman"/>
          <w:sz w:val="24"/>
        </w:rPr>
        <w:t>, sur base du texte légal</w:t>
      </w:r>
      <w:r>
        <w:rPr>
          <w:rStyle w:val="Appelnotedebasdep"/>
          <w:rFonts w:ascii="Times New Roman" w:hAnsi="Times New Roman"/>
          <w:sz w:val="24"/>
        </w:rPr>
        <w:footnoteReference w:id="185"/>
      </w:r>
      <w:r>
        <w:rPr>
          <w:rFonts w:ascii="Times New Roman" w:hAnsi="Times New Roman"/>
          <w:sz w:val="24"/>
        </w:rPr>
        <w:t>, c’est-à-dire, sur base d’une « </w:t>
      </w:r>
      <w:r w:rsidRPr="007C17D3">
        <w:rPr>
          <w:rFonts w:ascii="Times New Roman" w:hAnsi="Times New Roman"/>
          <w:i/>
          <w:sz w:val="24"/>
        </w:rPr>
        <w:t>Fair</w:t>
      </w:r>
      <w:r>
        <w:rPr>
          <w:rFonts w:ascii="Times New Roman" w:hAnsi="Times New Roman"/>
          <w:i/>
          <w:sz w:val="24"/>
        </w:rPr>
        <w:t xml:space="preserve"> </w:t>
      </w:r>
      <w:r w:rsidRPr="00AA5BF4">
        <w:rPr>
          <w:rFonts w:ascii="Times New Roman" w:hAnsi="Times New Roman"/>
          <w:i/>
          <w:sz w:val="24"/>
        </w:rPr>
        <w:t>evaluation</w:t>
      </w:r>
      <w:r w:rsidRPr="00AA5BF4">
        <w:rPr>
          <w:rFonts w:ascii="Times New Roman" w:hAnsi="Times New Roman"/>
          <w:sz w:val="24"/>
        </w:rPr>
        <w:t> ».</w:t>
      </w:r>
    </w:p>
    <w:p w:rsidR="008D78C5" w:rsidRDefault="008D78C5" w:rsidP="00AC377F">
      <w:pPr>
        <w:spacing w:line="240" w:lineRule="auto"/>
        <w:ind w:left="708"/>
        <w:rPr>
          <w:rFonts w:ascii="Times New Roman" w:hAnsi="Times New Roman"/>
          <w:sz w:val="24"/>
        </w:rPr>
      </w:pPr>
    </w:p>
    <w:p w:rsidR="008064D7" w:rsidRDefault="008D78C5" w:rsidP="008D78C5">
      <w:pPr>
        <w:pStyle w:val="Titre2"/>
        <w:numPr>
          <w:ilvl w:val="0"/>
          <w:numId w:val="40"/>
        </w:numPr>
        <w:rPr>
          <w:rFonts w:ascii="Times New Roman" w:hAnsi="Times New Roman"/>
          <w:sz w:val="24"/>
          <w:u w:val="single"/>
        </w:rPr>
      </w:pPr>
      <w:bookmarkStart w:id="15" w:name="_Toc55407461"/>
      <w:r>
        <w:rPr>
          <w:rFonts w:ascii="Times New Roman" w:hAnsi="Times New Roman"/>
          <w:sz w:val="24"/>
          <w:u w:val="single"/>
        </w:rPr>
        <w:t>Conclusions provisoire</w:t>
      </w:r>
      <w:bookmarkEnd w:id="15"/>
    </w:p>
    <w:p w:rsidR="008D78C5" w:rsidRPr="008D78C5" w:rsidRDefault="008D78C5" w:rsidP="008D78C5"/>
    <w:p w:rsidR="008064D7" w:rsidRDefault="008D78C5" w:rsidP="008D78C5">
      <w:pPr>
        <w:pStyle w:val="Paragraphedeliste"/>
        <w:numPr>
          <w:ilvl w:val="0"/>
          <w:numId w:val="2"/>
        </w:numPr>
        <w:spacing w:line="240" w:lineRule="auto"/>
        <w:rPr>
          <w:rFonts w:ascii="Times New Roman" w:hAnsi="Times New Roman"/>
          <w:sz w:val="24"/>
        </w:rPr>
      </w:pPr>
      <w:r>
        <w:rPr>
          <w:rFonts w:ascii="Times New Roman" w:hAnsi="Times New Roman"/>
          <w:sz w:val="24"/>
          <w:u w:val="single"/>
        </w:rPr>
        <w:t>Règle d’application interclasse selon la directive.</w:t>
      </w:r>
      <w:r>
        <w:rPr>
          <w:rFonts w:ascii="Times New Roman" w:hAnsi="Times New Roman"/>
          <w:sz w:val="24"/>
        </w:rPr>
        <w:t xml:space="preserve"> L’article 11 b) permet au juge d’imposer un plan voté par une majorité de classes à défaut qu’il soit adopté par une des classes de créanciers garantis si une classe affectée l’a voté alors que, sur base des rangs et des privilèges appliqués à la valeur de l’entreprise en going-concern, elle n’aurait eu droit à aucun paiement.</w:t>
      </w:r>
    </w:p>
    <w:p w:rsidR="008D78C5" w:rsidRDefault="008D78C5" w:rsidP="008D78C5">
      <w:pPr>
        <w:pStyle w:val="Paragraphedeliste"/>
        <w:spacing w:line="240" w:lineRule="auto"/>
        <w:ind w:left="786"/>
        <w:rPr>
          <w:rFonts w:ascii="Times New Roman" w:hAnsi="Times New Roman"/>
          <w:sz w:val="24"/>
          <w:u w:val="single"/>
        </w:rPr>
      </w:pPr>
    </w:p>
    <w:p w:rsidR="008D78C5" w:rsidRDefault="008D78C5" w:rsidP="008D78C5">
      <w:pPr>
        <w:pStyle w:val="Paragraphedeliste"/>
        <w:spacing w:line="240" w:lineRule="auto"/>
        <w:ind w:left="786"/>
        <w:rPr>
          <w:rFonts w:ascii="Times New Roman" w:hAnsi="Times New Roman"/>
          <w:sz w:val="24"/>
        </w:rPr>
      </w:pPr>
      <w:r w:rsidRPr="008D78C5">
        <w:rPr>
          <w:rFonts w:ascii="Times New Roman" w:hAnsi="Times New Roman"/>
          <w:sz w:val="24"/>
        </w:rPr>
        <w:t xml:space="preserve">Plus la valeur </w:t>
      </w:r>
      <w:r>
        <w:rPr>
          <w:rFonts w:ascii="Times New Roman" w:hAnsi="Times New Roman"/>
          <w:sz w:val="24"/>
        </w:rPr>
        <w:t>going-concern est faible, plus cette condition serait aisément remplie si les créanciers garantis refusent de voter le plan. Plus cette valeur est grande, moins le nombre de classes pouvant emporter l’application forcée du plan aux créanciers extraordinaires – qui, par définition, l’ont rejeté – est petit.</w:t>
      </w:r>
    </w:p>
    <w:p w:rsidR="008D78C5" w:rsidRDefault="008D78C5" w:rsidP="008D78C5">
      <w:pPr>
        <w:pStyle w:val="Paragraphedeliste"/>
        <w:spacing w:line="240" w:lineRule="auto"/>
        <w:ind w:left="786"/>
        <w:rPr>
          <w:rFonts w:ascii="Times New Roman" w:hAnsi="Times New Roman"/>
          <w:sz w:val="24"/>
        </w:rPr>
      </w:pPr>
    </w:p>
    <w:p w:rsidR="008D78C5" w:rsidRPr="008D78C5" w:rsidRDefault="008D78C5" w:rsidP="008D78C5">
      <w:pPr>
        <w:pStyle w:val="Paragraphedeliste"/>
        <w:spacing w:line="240" w:lineRule="auto"/>
        <w:ind w:left="786"/>
        <w:rPr>
          <w:rFonts w:ascii="Times New Roman" w:hAnsi="Times New Roman"/>
          <w:sz w:val="24"/>
        </w:rPr>
      </w:pPr>
      <w:r>
        <w:rPr>
          <w:rFonts w:ascii="Times New Roman" w:hAnsi="Times New Roman"/>
          <w:sz w:val="24"/>
        </w:rPr>
        <w:t>Par contre, à la différence de la section 1129, la valeur de ce qui est attribué aux créanciers garantis n’est pas limitée à la valeur going-concern des débiteurs.</w:t>
      </w:r>
    </w:p>
    <w:p w:rsidR="008064D7" w:rsidRDefault="008064D7" w:rsidP="00A46F7E">
      <w:pPr>
        <w:pStyle w:val="Paragraphedeliste"/>
        <w:spacing w:line="240" w:lineRule="auto"/>
        <w:ind w:left="786"/>
        <w:rPr>
          <w:rFonts w:ascii="Times New Roman" w:hAnsi="Times New Roman"/>
          <w:sz w:val="24"/>
        </w:rPr>
      </w:pPr>
    </w:p>
    <w:p w:rsidR="008064D7" w:rsidRDefault="008064D7" w:rsidP="007565AA">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loi de transposition</w:t>
      </w:r>
      <w:r>
        <w:rPr>
          <w:rFonts w:ascii="Times New Roman" w:hAnsi="Times New Roman"/>
          <w:sz w:val="24"/>
        </w:rPr>
        <w:t xml:space="preserve"> </w:t>
      </w:r>
      <w:r w:rsidR="008D78C5">
        <w:rPr>
          <w:rFonts w:ascii="Times New Roman" w:hAnsi="Times New Roman"/>
          <w:sz w:val="24"/>
        </w:rPr>
        <w:t>devrait</w:t>
      </w:r>
      <w:r>
        <w:rPr>
          <w:rFonts w:ascii="Times New Roman" w:hAnsi="Times New Roman"/>
          <w:sz w:val="24"/>
        </w:rPr>
        <w:t xml:space="preserve">, par ses motifs ou certaines dispositions, aider les parties et le juge </w:t>
      </w:r>
      <w:r w:rsidR="008D78C5">
        <w:rPr>
          <w:rFonts w:ascii="Times New Roman" w:hAnsi="Times New Roman"/>
          <w:sz w:val="24"/>
        </w:rPr>
        <w:t>à fixer la valeur de l’entreprise en activité</w:t>
      </w:r>
      <w:r>
        <w:rPr>
          <w:rFonts w:ascii="Times New Roman" w:hAnsi="Times New Roman"/>
          <w:sz w:val="24"/>
        </w:rPr>
        <w:t>. La référence à la « </w:t>
      </w:r>
      <w:r w:rsidRPr="007C17D3">
        <w:rPr>
          <w:rFonts w:ascii="Times New Roman" w:hAnsi="Times New Roman"/>
          <w:i/>
          <w:sz w:val="24"/>
        </w:rPr>
        <w:t>Fair</w:t>
      </w:r>
      <w:r>
        <w:rPr>
          <w:rFonts w:ascii="Times New Roman" w:hAnsi="Times New Roman"/>
          <w:i/>
          <w:sz w:val="24"/>
        </w:rPr>
        <w:t xml:space="preserve"> </w:t>
      </w:r>
      <w:r w:rsidRPr="007C17D3">
        <w:rPr>
          <w:rFonts w:ascii="Times New Roman" w:hAnsi="Times New Roman"/>
          <w:i/>
          <w:sz w:val="24"/>
        </w:rPr>
        <w:t>value</w:t>
      </w:r>
      <w:r>
        <w:rPr>
          <w:rFonts w:ascii="Times New Roman" w:hAnsi="Times New Roman"/>
          <w:i/>
          <w:sz w:val="24"/>
        </w:rPr>
        <w:t> »</w:t>
      </w:r>
      <w:r>
        <w:rPr>
          <w:rFonts w:ascii="Times New Roman" w:hAnsi="Times New Roman"/>
          <w:sz w:val="24"/>
        </w:rPr>
        <w:t xml:space="preserve"> issue d’une comparaison de la fourchette de valeur évaluée au regard des prix pratiqués pour des transactions ou des entreprises comparables dans un contexte après réorganisation serait le bienvenu.</w:t>
      </w:r>
    </w:p>
    <w:p w:rsidR="008064D7" w:rsidRDefault="008064D7" w:rsidP="003059FB">
      <w:pPr>
        <w:pStyle w:val="Paragraphedeliste"/>
        <w:spacing w:line="240" w:lineRule="auto"/>
        <w:ind w:left="786"/>
        <w:rPr>
          <w:rFonts w:ascii="Times New Roman" w:hAnsi="Times New Roman"/>
          <w:sz w:val="24"/>
          <w:u w:val="single"/>
        </w:rPr>
      </w:pPr>
    </w:p>
    <w:p w:rsidR="008D78C5" w:rsidRDefault="008064D7" w:rsidP="00C22FBC">
      <w:pPr>
        <w:pStyle w:val="Paragraphedeliste"/>
        <w:spacing w:line="240" w:lineRule="auto"/>
        <w:ind w:left="786"/>
        <w:rPr>
          <w:rFonts w:ascii="Times New Roman" w:hAnsi="Times New Roman"/>
          <w:sz w:val="24"/>
        </w:rPr>
      </w:pPr>
      <w:r>
        <w:rPr>
          <w:rFonts w:ascii="Times New Roman" w:hAnsi="Times New Roman"/>
          <w:sz w:val="24"/>
        </w:rPr>
        <w:t>Le texte actuel est à la fois conforme au texte à présenter, mais à la fois imprécis. Cette imprécision pourrait être critiquée dès lors que le concept de « </w:t>
      </w:r>
      <w:r>
        <w:rPr>
          <w:rFonts w:ascii="Times New Roman" w:hAnsi="Times New Roman"/>
          <w:i/>
          <w:sz w:val="24"/>
        </w:rPr>
        <w:t>valeur de l’entreprise en activité »</w:t>
      </w:r>
      <w:r>
        <w:rPr>
          <w:rFonts w:ascii="Times New Roman" w:hAnsi="Times New Roman"/>
          <w:sz w:val="24"/>
        </w:rPr>
        <w:t xml:space="preserve"> est essentiel à la directive et sera interprété de manière autonome par un éventuel arrêt de la CJUE</w:t>
      </w:r>
      <w:r w:rsidR="008D78C5">
        <w:rPr>
          <w:rFonts w:ascii="Times New Roman" w:hAnsi="Times New Roman"/>
          <w:sz w:val="24"/>
        </w:rPr>
        <w:t>.</w:t>
      </w:r>
    </w:p>
    <w:p w:rsidR="008D78C5" w:rsidRDefault="008D78C5" w:rsidP="00C22FBC">
      <w:pPr>
        <w:pStyle w:val="Paragraphedeliste"/>
        <w:spacing w:line="240" w:lineRule="auto"/>
        <w:ind w:left="786"/>
        <w:rPr>
          <w:rFonts w:ascii="Times New Roman" w:hAnsi="Times New Roman"/>
          <w:sz w:val="24"/>
        </w:rPr>
      </w:pPr>
    </w:p>
    <w:p w:rsidR="008064D7" w:rsidRPr="003059FB" w:rsidRDefault="008064D7" w:rsidP="00C22FBC">
      <w:pPr>
        <w:pStyle w:val="Paragraphedeliste"/>
        <w:spacing w:line="240" w:lineRule="auto"/>
        <w:ind w:left="786"/>
        <w:rPr>
          <w:rFonts w:ascii="Times New Roman" w:hAnsi="Times New Roman"/>
          <w:sz w:val="24"/>
        </w:rPr>
      </w:pPr>
    </w:p>
    <w:p w:rsidR="008064D7" w:rsidRDefault="008064D7" w:rsidP="004F5442">
      <w:pPr>
        <w:pStyle w:val="Titre1"/>
        <w:numPr>
          <w:ilvl w:val="0"/>
          <w:numId w:val="5"/>
        </w:numPr>
        <w:spacing w:before="0" w:line="240" w:lineRule="auto"/>
        <w:ind w:left="714" w:hanging="357"/>
        <w:rPr>
          <w:rFonts w:ascii="Times New Roman" w:hAnsi="Times New Roman" w:cs="Times New Roman"/>
          <w14:shadow w14:blurRad="50800" w14:dist="38100" w14:dir="2700000" w14:sx="100000" w14:sy="100000" w14:kx="0" w14:ky="0" w14:algn="tl">
            <w14:srgbClr w14:val="000000">
              <w14:alpha w14:val="60000"/>
            </w14:srgbClr>
          </w14:shadow>
        </w:rPr>
      </w:pPr>
      <w:bookmarkStart w:id="16" w:name="_Toc55407462"/>
      <w:r>
        <w:rPr>
          <w:rFonts w:ascii="Times New Roman" w:hAnsi="Times New Roman" w:cs="Times New Roman"/>
          <w14:shadow w14:blurRad="50800" w14:dist="38100" w14:dir="2700000" w14:sx="100000" w14:sy="100000" w14:kx="0" w14:ky="0" w14:algn="tl">
            <w14:srgbClr w14:val="000000">
              <w14:alpha w14:val="60000"/>
            </w14:srgbClr>
          </w14:shadow>
        </w:rPr>
        <w:lastRenderedPageBreak/>
        <w:t>V</w:t>
      </w:r>
      <w:r w:rsidRPr="002D40B9">
        <w:rPr>
          <w:rFonts w:ascii="Times New Roman" w:hAnsi="Times New Roman" w:cs="Times New Roman"/>
          <w14:shadow w14:blurRad="50800" w14:dist="38100" w14:dir="2700000" w14:sx="100000" w14:sy="100000" w14:kx="0" w14:ky="0" w14:algn="tl">
            <w14:srgbClr w14:val="000000">
              <w14:alpha w14:val="60000"/>
            </w14:srgbClr>
          </w14:shadow>
        </w:rPr>
        <w:t xml:space="preserve">aleur </w:t>
      </w:r>
      <w:r>
        <w:rPr>
          <w:rFonts w:ascii="Times New Roman" w:hAnsi="Times New Roman" w:cs="Times New Roman"/>
          <w14:shadow w14:blurRad="50800" w14:dist="38100" w14:dir="2700000" w14:sx="100000" w14:sy="100000" w14:kx="0" w14:ky="0" w14:algn="tl">
            <w14:srgbClr w14:val="000000">
              <w14:alpha w14:val="60000"/>
            </w14:srgbClr>
          </w14:shadow>
        </w:rPr>
        <w:t>de liquidation des actifs ou du débiteur</w:t>
      </w:r>
      <w:bookmarkEnd w:id="16"/>
    </w:p>
    <w:p w:rsidR="00733149" w:rsidRDefault="00733149" w:rsidP="00733149"/>
    <w:p w:rsidR="00733149" w:rsidRPr="00733149" w:rsidRDefault="00733149" w:rsidP="00733149">
      <w:pPr>
        <w:pStyle w:val="Titre2"/>
        <w:numPr>
          <w:ilvl w:val="2"/>
          <w:numId w:val="14"/>
        </w:numPr>
        <w:ind w:left="1418" w:hanging="425"/>
        <w:rPr>
          <w:rFonts w:ascii="Times New Roman" w:hAnsi="Times New Roman" w:cs="Times New Roman"/>
        </w:rPr>
      </w:pPr>
      <w:bookmarkStart w:id="17" w:name="_Toc55407463"/>
      <w:r w:rsidRPr="00733149">
        <w:rPr>
          <w:rFonts w:ascii="Times New Roman" w:hAnsi="Times New Roman" w:cs="Times New Roman"/>
        </w:rPr>
        <w:t>Position de la question</w:t>
      </w:r>
      <w:bookmarkEnd w:id="17"/>
    </w:p>
    <w:p w:rsidR="008064D7" w:rsidRDefault="008064D7" w:rsidP="004F5442">
      <w:pPr>
        <w:spacing w:line="240" w:lineRule="auto"/>
        <w:ind w:left="426"/>
        <w:rPr>
          <w:rFonts w:ascii="Times New Roman" w:hAnsi="Times New Roman"/>
          <w:sz w:val="24"/>
        </w:rPr>
      </w:pPr>
    </w:p>
    <w:p w:rsidR="008064D7" w:rsidRPr="00733149" w:rsidRDefault="00733149" w:rsidP="004F5442">
      <w:pPr>
        <w:pStyle w:val="Paragraphedeliste"/>
        <w:numPr>
          <w:ilvl w:val="0"/>
          <w:numId w:val="2"/>
        </w:numPr>
        <w:spacing w:line="240" w:lineRule="auto"/>
        <w:rPr>
          <w:rFonts w:ascii="Times New Roman" w:hAnsi="Times New Roman"/>
          <w:i/>
          <w:sz w:val="24"/>
        </w:rPr>
      </w:pPr>
      <w:r>
        <w:rPr>
          <w:rFonts w:ascii="Times New Roman" w:hAnsi="Times New Roman"/>
          <w:sz w:val="24"/>
          <w:u w:val="single"/>
        </w:rPr>
        <w:t>En droit actuel</w:t>
      </w:r>
      <w:r w:rsidR="008064D7">
        <w:rPr>
          <w:rFonts w:ascii="Times New Roman" w:hAnsi="Times New Roman"/>
          <w:sz w:val="24"/>
        </w:rPr>
        <w:t> : L’article XX.87 énonce que : </w:t>
      </w:r>
      <w:r w:rsidR="008064D7" w:rsidRPr="00323ECE">
        <w:rPr>
          <w:rFonts w:ascii="Times New Roman" w:hAnsi="Times New Roman"/>
          <w:i/>
          <w:sz w:val="24"/>
        </w:rPr>
        <w:t xml:space="preserve">« § 1er. Le mandataire de justice désigné organise et réalise le transfert ordonné par le tribunal par la vente ou la cession des actifs mobiliers ou immobiliers nécessaires ou utiles au maintien de tout ou partie de l'activité de l'entreprise. Il recherche et sollicite des offres en veillant prioritairement au maintien de tout ou partie de l'activité de l'entreprise tout en ayant égard aux droits des créanciers Il choisit de procéder à la vente ou à la cession publiquement ou de gré à gré, auquel cas il définit dans son appel d'offres la procédure à suivre par les offrants. Il fixe notamment le délai ultime dans lequel les offres doivent lui être communiquées, au-delà duquel aucune nouvelle offre ne pourra être prise en considération. S'il entend communiquer une offre à d'autres offrants pour organiser une ou plusieurs surenchères, il le signale et précise la manière dont ces surenchères seront organisées. Il énonce, le cas échéant, les garanties d'emploi et de paiement du prix de vente et les projets et plans financiers d'entreprise qui doivent être communiqués. </w:t>
      </w:r>
      <w:r w:rsidR="008064D7" w:rsidRPr="00323ECE">
        <w:rPr>
          <w:rFonts w:ascii="Times New Roman" w:hAnsi="Times New Roman"/>
          <w:i/>
          <w:sz w:val="24"/>
          <w:u w:val="single"/>
        </w:rPr>
        <w:t>Pour qu'une offre puisse être prise en considération, le prix offert pour l'ensemble des actifs vendus ou cédés doit être égal ou supérieur à la valeur de réalisation forcée estimée en cas de faillite ou liquidation ».</w:t>
      </w:r>
    </w:p>
    <w:p w:rsidR="00733149" w:rsidRDefault="00733149" w:rsidP="00733149">
      <w:pPr>
        <w:pStyle w:val="Paragraphedeliste"/>
        <w:spacing w:line="240" w:lineRule="auto"/>
        <w:ind w:left="786"/>
        <w:rPr>
          <w:rFonts w:ascii="Times New Roman" w:hAnsi="Times New Roman"/>
          <w:sz w:val="24"/>
          <w:u w:val="single"/>
        </w:rPr>
      </w:pPr>
    </w:p>
    <w:p w:rsidR="00733149" w:rsidRPr="00733149" w:rsidRDefault="00733149" w:rsidP="00733149">
      <w:pPr>
        <w:pStyle w:val="Paragraphedeliste"/>
        <w:numPr>
          <w:ilvl w:val="0"/>
          <w:numId w:val="2"/>
        </w:numPr>
        <w:spacing w:line="240" w:lineRule="auto"/>
        <w:rPr>
          <w:rFonts w:ascii="Times New Roman" w:hAnsi="Times New Roman"/>
          <w:i/>
          <w:sz w:val="24"/>
        </w:rPr>
      </w:pPr>
      <w:r w:rsidRPr="00733149">
        <w:rPr>
          <w:rFonts w:ascii="Times New Roman" w:hAnsi="Times New Roman"/>
          <w:sz w:val="24"/>
          <w:u w:val="single"/>
        </w:rPr>
        <w:t>Dans la directive</w:t>
      </w:r>
      <w:r>
        <w:rPr>
          <w:rFonts w:ascii="Times New Roman" w:hAnsi="Times New Roman"/>
          <w:sz w:val="24"/>
        </w:rPr>
        <w:t> : si la valeur going-concern sert à déterminer si le juge peut retenir le vote d’une classe non-garantie comme élément lui permettant d’imposer le vote aux classes dissidentes, le test du « </w:t>
      </w:r>
      <w:r>
        <w:rPr>
          <w:rFonts w:ascii="Times New Roman" w:hAnsi="Times New Roman"/>
          <w:i/>
          <w:sz w:val="24"/>
        </w:rPr>
        <w:t>Best interest of creditors</w:t>
      </w:r>
      <w:r>
        <w:rPr>
          <w:rFonts w:ascii="Times New Roman" w:hAnsi="Times New Roman"/>
          <w:sz w:val="24"/>
        </w:rPr>
        <w:t> » sert à rendre impossible cette imposition si chaque créancier ne reçoit pas au moins autant qu’il aurait reçu en cas de liquidation (art. 2 ; 1, 6° appliqué à l’art. 10, 2°, d). Le plan ne peut pas produire un paiement inférieur à ce minimum.</w:t>
      </w:r>
    </w:p>
    <w:p w:rsidR="008064D7" w:rsidRDefault="008064D7" w:rsidP="004F5442">
      <w:pPr>
        <w:spacing w:line="240" w:lineRule="auto"/>
        <w:rPr>
          <w:rFonts w:ascii="Times New Roman" w:hAnsi="Times New Roman"/>
          <w:sz w:val="24"/>
        </w:rPr>
      </w:pPr>
    </w:p>
    <w:p w:rsidR="008064D7" w:rsidRPr="00235E93" w:rsidRDefault="008064D7" w:rsidP="004F5442">
      <w:pPr>
        <w:pStyle w:val="Titre2"/>
        <w:numPr>
          <w:ilvl w:val="2"/>
          <w:numId w:val="14"/>
        </w:numPr>
        <w:ind w:left="1418" w:hanging="425"/>
        <w:rPr>
          <w:rFonts w:ascii="Times New Roman" w:hAnsi="Times New Roman" w:cs="Times New Roman"/>
        </w:rPr>
      </w:pPr>
      <w:bookmarkStart w:id="18" w:name="_Toc55407464"/>
      <w:r w:rsidRPr="00235E93">
        <w:rPr>
          <w:rFonts w:ascii="Times New Roman" w:hAnsi="Times New Roman" w:cs="Times New Roman"/>
        </w:rPr>
        <w:t>Différents types de valeur de liquidation</w:t>
      </w:r>
      <w:bookmarkEnd w:id="18"/>
    </w:p>
    <w:p w:rsidR="008064D7" w:rsidRPr="00C64D29" w:rsidRDefault="008064D7" w:rsidP="004F5442">
      <w:pPr>
        <w:pStyle w:val="Paragraphedeliste"/>
        <w:spacing w:line="240" w:lineRule="auto"/>
        <w:ind w:left="786"/>
        <w:rPr>
          <w:rFonts w:ascii="Times New Roman" w:hAnsi="Times New Roman"/>
          <w:sz w:val="24"/>
        </w:rPr>
      </w:pPr>
    </w:p>
    <w:p w:rsidR="008064D7" w:rsidRDefault="008064D7" w:rsidP="004F5442">
      <w:pPr>
        <w:pStyle w:val="Paragraphedeliste"/>
        <w:numPr>
          <w:ilvl w:val="0"/>
          <w:numId w:val="2"/>
        </w:numPr>
        <w:spacing w:line="240" w:lineRule="auto"/>
        <w:rPr>
          <w:rFonts w:ascii="Times New Roman" w:hAnsi="Times New Roman"/>
          <w:sz w:val="24"/>
        </w:rPr>
      </w:pPr>
      <w:r>
        <w:rPr>
          <w:rFonts w:ascii="Times New Roman" w:hAnsi="Times New Roman"/>
          <w:sz w:val="24"/>
          <w:u w:val="single"/>
        </w:rPr>
        <w:t>En droit a</w:t>
      </w:r>
      <w:r w:rsidRPr="002C51FA">
        <w:rPr>
          <w:rFonts w:ascii="Times New Roman" w:hAnsi="Times New Roman"/>
          <w:sz w:val="24"/>
          <w:u w:val="single"/>
        </w:rPr>
        <w:t>méricain</w:t>
      </w:r>
      <w:r>
        <w:rPr>
          <w:rFonts w:ascii="Times New Roman" w:hAnsi="Times New Roman"/>
          <w:sz w:val="24"/>
        </w:rPr>
        <w:t xml:space="preserve">, le test du </w:t>
      </w:r>
      <w:r w:rsidRPr="007C17D3">
        <w:rPr>
          <w:rFonts w:ascii="Times New Roman" w:hAnsi="Times New Roman"/>
          <w:i/>
          <w:sz w:val="24"/>
        </w:rPr>
        <w:t>Best interest</w:t>
      </w:r>
      <w:r>
        <w:rPr>
          <w:rFonts w:ascii="Times New Roman" w:hAnsi="Times New Roman"/>
          <w:sz w:val="24"/>
        </w:rPr>
        <w:t xml:space="preserve"> qui renvoie à la valeur de liquidation se réfère à la valeur que l’on peut obtenir </w:t>
      </w:r>
      <w:r w:rsidR="00733149">
        <w:rPr>
          <w:rFonts w:ascii="Times New Roman" w:hAnsi="Times New Roman"/>
          <w:sz w:val="24"/>
        </w:rPr>
        <w:t>d</w:t>
      </w:r>
      <w:r>
        <w:rPr>
          <w:rFonts w:ascii="Times New Roman" w:hAnsi="Times New Roman"/>
          <w:sz w:val="24"/>
        </w:rPr>
        <w:t>ans le cadre des règles visées au chapitre 7</w:t>
      </w:r>
      <w:r>
        <w:rPr>
          <w:rStyle w:val="Appelnotedebasdep"/>
          <w:rFonts w:ascii="Times New Roman" w:hAnsi="Times New Roman"/>
          <w:sz w:val="24"/>
        </w:rPr>
        <w:footnoteReference w:id="186"/>
      </w:r>
      <w:r>
        <w:rPr>
          <w:rFonts w:ascii="Times New Roman" w:hAnsi="Times New Roman"/>
          <w:sz w:val="24"/>
        </w:rPr>
        <w:t xml:space="preserve"> </w:t>
      </w:r>
      <w:r w:rsidR="00733149">
        <w:rPr>
          <w:rFonts w:ascii="Times New Roman" w:hAnsi="Times New Roman"/>
          <w:sz w:val="24"/>
        </w:rPr>
        <w:t xml:space="preserve">du Code de la faillite (liquidation) qui ne vise pas, à titre premier, </w:t>
      </w:r>
      <w:r>
        <w:rPr>
          <w:rFonts w:ascii="Times New Roman" w:hAnsi="Times New Roman"/>
          <w:sz w:val="24"/>
        </w:rPr>
        <w:t>la valeur « </w:t>
      </w:r>
      <w:r w:rsidRPr="00235E93">
        <w:rPr>
          <w:rFonts w:ascii="Times New Roman" w:hAnsi="Times New Roman"/>
          <w:i/>
          <w:sz w:val="24"/>
        </w:rPr>
        <w:t>piecemeal liquidation</w:t>
      </w:r>
      <w:r>
        <w:rPr>
          <w:rFonts w:ascii="Times New Roman" w:hAnsi="Times New Roman"/>
          <w:sz w:val="24"/>
        </w:rPr>
        <w:t xml:space="preserve"> » </w:t>
      </w:r>
      <w:r w:rsidR="00733149">
        <w:rPr>
          <w:rFonts w:ascii="Times New Roman" w:hAnsi="Times New Roman"/>
          <w:sz w:val="24"/>
        </w:rPr>
        <w:t xml:space="preserve">(pièce par pièce), </w:t>
      </w:r>
      <w:r>
        <w:rPr>
          <w:rFonts w:ascii="Times New Roman" w:hAnsi="Times New Roman"/>
          <w:sz w:val="24"/>
        </w:rPr>
        <w:t>mais aussi la valeur de « </w:t>
      </w:r>
      <w:r w:rsidRPr="00235E93">
        <w:rPr>
          <w:rFonts w:ascii="Times New Roman" w:hAnsi="Times New Roman"/>
          <w:i/>
          <w:sz w:val="24"/>
        </w:rPr>
        <w:t xml:space="preserve">sale of the business as a </w:t>
      </w:r>
      <w:r w:rsidRPr="007C17D3">
        <w:rPr>
          <w:rFonts w:ascii="Times New Roman" w:hAnsi="Times New Roman"/>
          <w:i/>
          <w:sz w:val="24"/>
        </w:rPr>
        <w:t>going-concern</w:t>
      </w:r>
      <w:r w:rsidRPr="00235E93">
        <w:rPr>
          <w:rFonts w:ascii="Times New Roman" w:hAnsi="Times New Roman"/>
          <w:i/>
          <w:sz w:val="24"/>
        </w:rPr>
        <w:t> »</w:t>
      </w:r>
      <w:r w:rsidR="00733149">
        <w:rPr>
          <w:rFonts w:ascii="Times New Roman" w:hAnsi="Times New Roman"/>
          <w:i/>
          <w:sz w:val="24"/>
        </w:rPr>
        <w:t>.</w:t>
      </w:r>
      <w:r w:rsidRPr="00235E93">
        <w:rPr>
          <w:rFonts w:ascii="Times New Roman" w:hAnsi="Times New Roman"/>
          <w:i/>
          <w:sz w:val="24"/>
        </w:rPr>
        <w:t xml:space="preserve"> </w:t>
      </w:r>
      <w:r w:rsidR="00733149">
        <w:rPr>
          <w:rFonts w:ascii="Times New Roman" w:hAnsi="Times New Roman"/>
          <w:sz w:val="24"/>
        </w:rPr>
        <w:t>Il faut choisir entre les deux-là</w:t>
      </w:r>
      <w:r>
        <w:rPr>
          <w:rFonts w:ascii="Times New Roman" w:hAnsi="Times New Roman"/>
          <w:sz w:val="24"/>
        </w:rPr>
        <w:t xml:space="preserve"> « </w:t>
      </w:r>
      <w:r w:rsidRPr="00235E93">
        <w:rPr>
          <w:rFonts w:ascii="Times New Roman" w:hAnsi="Times New Roman"/>
          <w:i/>
          <w:sz w:val="24"/>
        </w:rPr>
        <w:t>next best alternative</w:t>
      </w:r>
      <w:r>
        <w:rPr>
          <w:rFonts w:ascii="Times New Roman" w:hAnsi="Times New Roman"/>
          <w:sz w:val="24"/>
        </w:rPr>
        <w:t xml:space="preserve"> » ou du meilleur scénario possible repris au considérant 52 de la directive. </w:t>
      </w:r>
      <w:r w:rsidR="00733149">
        <w:rPr>
          <w:rFonts w:ascii="Times New Roman" w:hAnsi="Times New Roman"/>
          <w:sz w:val="24"/>
        </w:rPr>
        <w:t>Ce terme ne vise donc</w:t>
      </w:r>
      <w:r>
        <w:rPr>
          <w:rFonts w:ascii="Times New Roman" w:hAnsi="Times New Roman"/>
          <w:sz w:val="24"/>
        </w:rPr>
        <w:t xml:space="preserve"> pas </w:t>
      </w:r>
      <w:r w:rsidR="00733149">
        <w:rPr>
          <w:rFonts w:ascii="Times New Roman" w:hAnsi="Times New Roman"/>
          <w:sz w:val="24"/>
        </w:rPr>
        <w:t>« </w:t>
      </w:r>
      <w:r w:rsidRPr="00733149">
        <w:rPr>
          <w:rFonts w:ascii="Times New Roman" w:hAnsi="Times New Roman"/>
          <w:i/>
          <w:sz w:val="24"/>
        </w:rPr>
        <w:t>la valeur en vente forcée</w:t>
      </w:r>
      <w:r w:rsidR="00733149">
        <w:rPr>
          <w:rFonts w:ascii="Times New Roman" w:hAnsi="Times New Roman"/>
          <w:sz w:val="24"/>
        </w:rPr>
        <w:t> »,</w:t>
      </w:r>
      <w:r>
        <w:rPr>
          <w:rFonts w:ascii="Times New Roman" w:hAnsi="Times New Roman"/>
          <w:sz w:val="24"/>
        </w:rPr>
        <w:t xml:space="preserve"> mais la valeur que l’on pourrait obtenir après un certain temps</w:t>
      </w:r>
      <w:r>
        <w:rPr>
          <w:rStyle w:val="Appelnotedebasdep"/>
          <w:rFonts w:ascii="Times New Roman" w:hAnsi="Times New Roman"/>
          <w:sz w:val="24"/>
        </w:rPr>
        <w:footnoteReference w:id="187"/>
      </w:r>
      <w:r>
        <w:rPr>
          <w:rFonts w:ascii="Times New Roman" w:hAnsi="Times New Roman"/>
          <w:sz w:val="24"/>
        </w:rPr>
        <w:t xml:space="preserve"> ou après certaines modalités de mise en vente et en prenant compte de la meilleure manière de réaliser l’actif selon l’</w:t>
      </w:r>
      <w:r w:rsidRPr="00B331AB">
        <w:rPr>
          <w:rFonts w:ascii="Times New Roman" w:hAnsi="Times New Roman"/>
          <w:i/>
          <w:sz w:val="24"/>
        </w:rPr>
        <w:t xml:space="preserve">US trustee </w:t>
      </w:r>
      <w:r>
        <w:rPr>
          <w:rFonts w:ascii="Times New Roman" w:hAnsi="Times New Roman"/>
          <w:sz w:val="24"/>
        </w:rPr>
        <w:t>et selon le juge.</w:t>
      </w:r>
    </w:p>
    <w:p w:rsidR="008064D7" w:rsidRPr="005069EE" w:rsidRDefault="008064D7" w:rsidP="004F5442">
      <w:pPr>
        <w:spacing w:line="240" w:lineRule="auto"/>
        <w:rPr>
          <w:rFonts w:ascii="Times New Roman" w:hAnsi="Times New Roman"/>
          <w:sz w:val="24"/>
        </w:rPr>
      </w:pPr>
    </w:p>
    <w:p w:rsidR="008064D7" w:rsidRDefault="00733149" w:rsidP="004F5442">
      <w:pPr>
        <w:pStyle w:val="Paragraphedeliste"/>
        <w:numPr>
          <w:ilvl w:val="0"/>
          <w:numId w:val="2"/>
        </w:numPr>
        <w:spacing w:line="240" w:lineRule="auto"/>
        <w:rPr>
          <w:rFonts w:ascii="Times New Roman" w:hAnsi="Times New Roman"/>
          <w:sz w:val="24"/>
        </w:rPr>
      </w:pPr>
      <w:r>
        <w:rPr>
          <w:rFonts w:ascii="Times New Roman" w:hAnsi="Times New Roman"/>
          <w:sz w:val="24"/>
          <w:u w:val="single"/>
        </w:rPr>
        <w:t>Directive : l</w:t>
      </w:r>
      <w:r w:rsidR="008064D7">
        <w:rPr>
          <w:rFonts w:ascii="Times New Roman" w:hAnsi="Times New Roman"/>
          <w:sz w:val="24"/>
          <w:u w:val="single"/>
        </w:rPr>
        <w:t>e meilleur scénario possible</w:t>
      </w:r>
      <w:r w:rsidR="008064D7">
        <w:rPr>
          <w:rFonts w:ascii="Times New Roman" w:hAnsi="Times New Roman"/>
          <w:sz w:val="24"/>
        </w:rPr>
        <w:t xml:space="preserve">. Ce terme </w:t>
      </w:r>
      <w:r>
        <w:rPr>
          <w:rFonts w:ascii="Times New Roman" w:hAnsi="Times New Roman"/>
          <w:sz w:val="24"/>
        </w:rPr>
        <w:t>est</w:t>
      </w:r>
      <w:r w:rsidR="008064D7">
        <w:rPr>
          <w:rFonts w:ascii="Times New Roman" w:hAnsi="Times New Roman"/>
          <w:sz w:val="24"/>
        </w:rPr>
        <w:t xml:space="preserve"> être défini </w:t>
      </w:r>
      <w:r>
        <w:rPr>
          <w:rFonts w:ascii="Times New Roman" w:hAnsi="Times New Roman"/>
          <w:sz w:val="24"/>
        </w:rPr>
        <w:t>dans la directive. L</w:t>
      </w:r>
      <w:r w:rsidR="008064D7">
        <w:rPr>
          <w:rFonts w:ascii="Times New Roman" w:hAnsi="Times New Roman"/>
          <w:sz w:val="24"/>
        </w:rPr>
        <w:t xml:space="preserve">e considérant 52 renvoie à : « </w:t>
      </w:r>
      <w:r w:rsidR="008064D7" w:rsidRPr="00235E93">
        <w:rPr>
          <w:rFonts w:ascii="Times New Roman" w:hAnsi="Times New Roman"/>
          <w:i/>
          <w:sz w:val="24"/>
        </w:rPr>
        <w:t xml:space="preserve">la situation moins favorable du fait du plan de restructuration que celle qu’il connaitrait soit dans le cas d’une liquidation, que cette dernière se fasse par distribution des actifs ou cession de l’entreprise en activité, soit </w:t>
      </w:r>
      <w:r w:rsidR="008064D7" w:rsidRPr="00235E93">
        <w:rPr>
          <w:rFonts w:ascii="Times New Roman" w:hAnsi="Times New Roman"/>
          <w:i/>
          <w:sz w:val="24"/>
        </w:rPr>
        <w:lastRenderedPageBreak/>
        <w:t>dans le cas de la meilleure solution alternative possible si le plan ne devait pas être validé </w:t>
      </w:r>
      <w:r>
        <w:rPr>
          <w:rFonts w:ascii="Times New Roman" w:hAnsi="Times New Roman"/>
          <w:sz w:val="24"/>
        </w:rPr>
        <w:t>»</w:t>
      </w:r>
      <w:r w:rsidR="008064D7">
        <w:rPr>
          <w:rFonts w:ascii="Times New Roman" w:hAnsi="Times New Roman"/>
          <w:sz w:val="24"/>
        </w:rPr>
        <w:t>.</w:t>
      </w:r>
    </w:p>
    <w:p w:rsidR="008064D7" w:rsidRDefault="008064D7" w:rsidP="004F5442">
      <w:pPr>
        <w:pStyle w:val="Paragraphedeliste"/>
        <w:spacing w:line="240" w:lineRule="auto"/>
        <w:ind w:left="786"/>
        <w:rPr>
          <w:rFonts w:ascii="Times New Roman" w:hAnsi="Times New Roman"/>
          <w:sz w:val="24"/>
          <w:u w:val="single"/>
        </w:rPr>
      </w:pPr>
    </w:p>
    <w:p w:rsidR="008064D7" w:rsidRDefault="00733149" w:rsidP="004F5442">
      <w:pPr>
        <w:pStyle w:val="Paragraphedeliste"/>
        <w:numPr>
          <w:ilvl w:val="0"/>
          <w:numId w:val="2"/>
        </w:numPr>
        <w:spacing w:line="240" w:lineRule="auto"/>
        <w:rPr>
          <w:rFonts w:ascii="Times New Roman" w:hAnsi="Times New Roman"/>
          <w:sz w:val="24"/>
        </w:rPr>
      </w:pPr>
      <w:r w:rsidRPr="00733149">
        <w:rPr>
          <w:rFonts w:ascii="Times New Roman" w:hAnsi="Times New Roman"/>
          <w:sz w:val="24"/>
          <w:u w:val="single"/>
        </w:rPr>
        <w:t>Droit interne</w:t>
      </w:r>
      <w:r>
        <w:rPr>
          <w:rFonts w:ascii="Times New Roman" w:hAnsi="Times New Roman"/>
          <w:sz w:val="24"/>
        </w:rPr>
        <w:t> : o</w:t>
      </w:r>
      <w:r w:rsidR="008064D7">
        <w:rPr>
          <w:rFonts w:ascii="Times New Roman" w:hAnsi="Times New Roman"/>
          <w:sz w:val="24"/>
        </w:rPr>
        <w:t>n peut se demander si les termes de l’article XX.87 qui prévoit « </w:t>
      </w:r>
      <w:r w:rsidR="008064D7" w:rsidRPr="002D40B9">
        <w:rPr>
          <w:rFonts w:ascii="Times New Roman" w:hAnsi="Times New Roman"/>
          <w:i/>
          <w:sz w:val="24"/>
        </w:rPr>
        <w:t>au cas où une offre émane de personnes qui exercent ou ont exercé le contrôle de l'entreprise pendant six mois avant l'ouverture de la procédure et exercent en même temps directement ou indirectement, le contrôle sur des droits nécessaires à la poursuite de ses activités, cette offre ne peut être prise en considération qu'à la condition que ces droits soient accessibles dans les mêmes conditions aux autres offrants</w:t>
      </w:r>
      <w:r w:rsidR="008064D7">
        <w:rPr>
          <w:rFonts w:ascii="Times New Roman" w:hAnsi="Times New Roman"/>
          <w:sz w:val="24"/>
        </w:rPr>
        <w:t> » n’est pas une première intégration de la notion de valeur liquidative dans le meilleur scénario possible. En auto-cession, la question du prix proposé peut être source de nombreuses critiques car le dirigeant ou l’actionnaire peu</w:t>
      </w:r>
      <w:r>
        <w:rPr>
          <w:rFonts w:ascii="Times New Roman" w:hAnsi="Times New Roman"/>
          <w:sz w:val="24"/>
        </w:rPr>
        <w:t>ven</w:t>
      </w:r>
      <w:r w:rsidR="008064D7">
        <w:rPr>
          <w:rFonts w:ascii="Times New Roman" w:hAnsi="Times New Roman"/>
          <w:sz w:val="24"/>
        </w:rPr>
        <w:t>t être ressenti</w:t>
      </w:r>
      <w:r>
        <w:rPr>
          <w:rFonts w:ascii="Times New Roman" w:hAnsi="Times New Roman"/>
          <w:sz w:val="24"/>
        </w:rPr>
        <w:t>s par leurs</w:t>
      </w:r>
      <w:r w:rsidR="008064D7">
        <w:rPr>
          <w:rFonts w:ascii="Times New Roman" w:hAnsi="Times New Roman"/>
          <w:sz w:val="24"/>
        </w:rPr>
        <w:t xml:space="preserve"> créanciers comme purgeant le passif qu’il</w:t>
      </w:r>
      <w:r>
        <w:rPr>
          <w:rFonts w:ascii="Times New Roman" w:hAnsi="Times New Roman"/>
          <w:sz w:val="24"/>
        </w:rPr>
        <w:t xml:space="preserve">s ont </w:t>
      </w:r>
      <w:r w:rsidR="008064D7">
        <w:rPr>
          <w:rFonts w:ascii="Times New Roman" w:hAnsi="Times New Roman"/>
          <w:sz w:val="24"/>
        </w:rPr>
        <w:t xml:space="preserve">créé en </w:t>
      </w:r>
      <w:r w:rsidR="004F5117">
        <w:rPr>
          <w:rFonts w:ascii="Times New Roman" w:hAnsi="Times New Roman"/>
          <w:sz w:val="24"/>
        </w:rPr>
        <w:t xml:space="preserve">ne </w:t>
      </w:r>
      <w:r w:rsidR="008064D7">
        <w:rPr>
          <w:rFonts w:ascii="Times New Roman" w:hAnsi="Times New Roman"/>
          <w:sz w:val="24"/>
        </w:rPr>
        <w:t xml:space="preserve">réinvestissant </w:t>
      </w:r>
      <w:r w:rsidR="004F5117">
        <w:rPr>
          <w:rFonts w:ascii="Times New Roman" w:hAnsi="Times New Roman"/>
          <w:sz w:val="24"/>
        </w:rPr>
        <w:t xml:space="preserve">pas ou </w:t>
      </w:r>
      <w:r w:rsidR="008064D7">
        <w:rPr>
          <w:rFonts w:ascii="Times New Roman" w:hAnsi="Times New Roman"/>
          <w:sz w:val="24"/>
        </w:rPr>
        <w:t>peu – par le prix d’acquisition - investissement qu’il</w:t>
      </w:r>
      <w:r w:rsidR="004F5117">
        <w:rPr>
          <w:rFonts w:ascii="Times New Roman" w:hAnsi="Times New Roman"/>
          <w:sz w:val="24"/>
        </w:rPr>
        <w:t>s</w:t>
      </w:r>
      <w:r w:rsidR="008064D7">
        <w:rPr>
          <w:rFonts w:ascii="Times New Roman" w:hAnsi="Times New Roman"/>
          <w:sz w:val="24"/>
        </w:rPr>
        <w:t xml:space="preserve"> aurai</w:t>
      </w:r>
      <w:r w:rsidR="004F5117">
        <w:rPr>
          <w:rFonts w:ascii="Times New Roman" w:hAnsi="Times New Roman"/>
          <w:sz w:val="24"/>
        </w:rPr>
        <w:t>en</w:t>
      </w:r>
      <w:r w:rsidR="008064D7">
        <w:rPr>
          <w:rFonts w:ascii="Times New Roman" w:hAnsi="Times New Roman"/>
          <w:sz w:val="24"/>
        </w:rPr>
        <w:t xml:space="preserve">t peut-être dû </w:t>
      </w:r>
      <w:r w:rsidR="004F5117">
        <w:rPr>
          <w:rFonts w:ascii="Times New Roman" w:hAnsi="Times New Roman"/>
          <w:sz w:val="24"/>
        </w:rPr>
        <w:t>f</w:t>
      </w:r>
      <w:r w:rsidR="008064D7" w:rsidRPr="007C17D3">
        <w:rPr>
          <w:rFonts w:ascii="Times New Roman" w:hAnsi="Times New Roman"/>
          <w:i/>
          <w:sz w:val="24"/>
        </w:rPr>
        <w:t>air</w:t>
      </w:r>
      <w:r w:rsidR="008064D7">
        <w:rPr>
          <w:rFonts w:ascii="Times New Roman" w:hAnsi="Times New Roman"/>
          <w:sz w:val="24"/>
        </w:rPr>
        <w:t xml:space="preserve">e dans le cadre </w:t>
      </w:r>
      <w:r w:rsidR="004F5117">
        <w:rPr>
          <w:rFonts w:ascii="Times New Roman" w:hAnsi="Times New Roman"/>
          <w:sz w:val="24"/>
        </w:rPr>
        <w:t>de la poursuite d’activité ou dans le cadre d’une PRJ accord collectif. Ils auraient pu réaliser</w:t>
      </w:r>
      <w:r w:rsidR="008064D7">
        <w:rPr>
          <w:rFonts w:ascii="Times New Roman" w:hAnsi="Times New Roman"/>
          <w:sz w:val="24"/>
        </w:rPr>
        <w:t xml:space="preserve"> une augmentation de capital ou un </w:t>
      </w:r>
      <w:r w:rsidR="004F5117">
        <w:rPr>
          <w:rFonts w:ascii="Times New Roman" w:hAnsi="Times New Roman"/>
          <w:sz w:val="24"/>
        </w:rPr>
        <w:t xml:space="preserve">simple </w:t>
      </w:r>
      <w:r w:rsidR="008064D7">
        <w:rPr>
          <w:rFonts w:ascii="Times New Roman" w:hAnsi="Times New Roman"/>
          <w:sz w:val="24"/>
        </w:rPr>
        <w:t>abattement de créance de ces créanciers au point où l’on peut se demander si cet actionnaire ne s’est pas enrichi anormalement au détri</w:t>
      </w:r>
      <w:r w:rsidR="004F5117">
        <w:rPr>
          <w:rFonts w:ascii="Times New Roman" w:hAnsi="Times New Roman"/>
          <w:sz w:val="24"/>
        </w:rPr>
        <w:t>ment des créanciers par le fait du recours à la procédure d’auto-cession et partant si c’est réellement la valeur de liquidation dans le meilleur scénario possible</w:t>
      </w:r>
      <w:r w:rsidR="008064D7">
        <w:rPr>
          <w:rFonts w:ascii="Times New Roman" w:hAnsi="Times New Roman"/>
          <w:sz w:val="24"/>
        </w:rPr>
        <w:t xml:space="preserve">. </w:t>
      </w:r>
      <w:r w:rsidR="004F5117">
        <w:rPr>
          <w:rFonts w:ascii="Times New Roman" w:hAnsi="Times New Roman"/>
          <w:sz w:val="24"/>
        </w:rPr>
        <w:t xml:space="preserve">Cette </w:t>
      </w:r>
      <w:r w:rsidR="008064D7">
        <w:rPr>
          <w:rFonts w:ascii="Times New Roman" w:hAnsi="Times New Roman"/>
          <w:sz w:val="24"/>
        </w:rPr>
        <w:t xml:space="preserve">critique existe en France dans les dossier ORCHESTRA PREMAMAN ou ALINEA, et en Belgique dans des dossiers comme BRANTANO. </w:t>
      </w:r>
    </w:p>
    <w:p w:rsidR="008064D7" w:rsidRDefault="008064D7" w:rsidP="004F5442">
      <w:pPr>
        <w:pStyle w:val="Paragraphedeliste"/>
        <w:spacing w:line="240" w:lineRule="auto"/>
        <w:rPr>
          <w:rFonts w:ascii="Times New Roman" w:hAnsi="Times New Roman"/>
          <w:sz w:val="24"/>
        </w:rPr>
      </w:pPr>
    </w:p>
    <w:p w:rsidR="008064D7" w:rsidRPr="004F5117" w:rsidRDefault="004F5117" w:rsidP="00BF265C">
      <w:pPr>
        <w:pStyle w:val="Paragraphedeliste"/>
        <w:numPr>
          <w:ilvl w:val="0"/>
          <w:numId w:val="2"/>
        </w:numPr>
        <w:spacing w:line="240" w:lineRule="auto"/>
        <w:rPr>
          <w:rFonts w:ascii="Times New Roman" w:hAnsi="Times New Roman"/>
          <w:sz w:val="24"/>
        </w:rPr>
      </w:pPr>
      <w:r w:rsidRPr="004F5117">
        <w:rPr>
          <w:rFonts w:ascii="Times New Roman" w:hAnsi="Times New Roman"/>
          <w:sz w:val="24"/>
          <w:u w:val="single"/>
        </w:rPr>
        <w:t>Difficulté de la notion</w:t>
      </w:r>
      <w:r w:rsidRPr="004F5117">
        <w:rPr>
          <w:rFonts w:ascii="Times New Roman" w:hAnsi="Times New Roman"/>
          <w:sz w:val="24"/>
        </w:rPr>
        <w:t> : l</w:t>
      </w:r>
      <w:r w:rsidR="008064D7" w:rsidRPr="004F5117">
        <w:rPr>
          <w:rFonts w:ascii="Times New Roman" w:hAnsi="Times New Roman"/>
          <w:sz w:val="24"/>
        </w:rPr>
        <w:t xml:space="preserve">e calcul, dans la directive, ne s’opère pas strictement en comparant la valeur des actifs sur base d’un prix de vente mais bien sur le calcul de la répartition de la valeur des actifs en fonction des plans de répartition qui seraient applicables soit en liquidation soit dans le meilleur scénario possible en comparant ce résultat pour chaque créancier à celui du plan. La vente peut donc intervenir en </w:t>
      </w:r>
      <w:r w:rsidR="008064D7" w:rsidRPr="004F5117">
        <w:rPr>
          <w:rFonts w:ascii="Times New Roman" w:hAnsi="Times New Roman"/>
          <w:i/>
          <w:sz w:val="24"/>
        </w:rPr>
        <w:t>going-concern</w:t>
      </w:r>
      <w:r w:rsidR="008064D7" w:rsidRPr="004F5117">
        <w:rPr>
          <w:rFonts w:ascii="Times New Roman" w:hAnsi="Times New Roman"/>
          <w:sz w:val="24"/>
        </w:rPr>
        <w:t xml:space="preserve"> dans une procédure autre que la faillite</w:t>
      </w:r>
      <w:r w:rsidRPr="004F5117">
        <w:rPr>
          <w:rFonts w:ascii="Times New Roman" w:hAnsi="Times New Roman"/>
          <w:sz w:val="24"/>
        </w:rPr>
        <w:t xml:space="preserve"> (liquidation, …)</w:t>
      </w:r>
      <w:r w:rsidR="008064D7" w:rsidRPr="004F5117">
        <w:rPr>
          <w:rFonts w:ascii="Times New Roman" w:hAnsi="Times New Roman"/>
          <w:sz w:val="24"/>
        </w:rPr>
        <w:t>.</w:t>
      </w:r>
      <w:r>
        <w:rPr>
          <w:rFonts w:ascii="Times New Roman" w:hAnsi="Times New Roman"/>
          <w:sz w:val="24"/>
        </w:rPr>
        <w:t xml:space="preserve"> </w:t>
      </w:r>
      <w:r w:rsidR="008064D7" w:rsidRPr="004F5117">
        <w:rPr>
          <w:rFonts w:ascii="Times New Roman" w:hAnsi="Times New Roman"/>
          <w:sz w:val="24"/>
        </w:rPr>
        <w:t>La doctrine</w:t>
      </w:r>
      <w:r w:rsidR="008064D7">
        <w:rPr>
          <w:rStyle w:val="Appelnotedebasdep"/>
          <w:rFonts w:ascii="Times New Roman" w:hAnsi="Times New Roman"/>
          <w:sz w:val="24"/>
        </w:rPr>
        <w:footnoteReference w:id="188"/>
      </w:r>
      <w:r w:rsidR="008064D7" w:rsidRPr="004F5117">
        <w:rPr>
          <w:rFonts w:ascii="Times New Roman" w:hAnsi="Times New Roman"/>
          <w:sz w:val="24"/>
        </w:rPr>
        <w:t xml:space="preserve"> belge admet </w:t>
      </w:r>
      <w:r>
        <w:rPr>
          <w:rFonts w:ascii="Times New Roman" w:hAnsi="Times New Roman"/>
          <w:sz w:val="24"/>
        </w:rPr>
        <w:t xml:space="preserve">d’ailleurs </w:t>
      </w:r>
      <w:r w:rsidR="008064D7" w:rsidRPr="004F5117">
        <w:rPr>
          <w:rFonts w:ascii="Times New Roman" w:hAnsi="Times New Roman"/>
          <w:sz w:val="24"/>
        </w:rPr>
        <w:t xml:space="preserve">que la cession peut être envisagée selon plusieurs techniques soit par le biais </w:t>
      </w:r>
      <w:r>
        <w:rPr>
          <w:rFonts w:ascii="Times New Roman" w:hAnsi="Times New Roman"/>
          <w:sz w:val="24"/>
        </w:rPr>
        <w:t xml:space="preserve">de vente </w:t>
      </w:r>
      <w:r w:rsidR="008064D7" w:rsidRPr="004F5117">
        <w:rPr>
          <w:rFonts w:ascii="Times New Roman" w:hAnsi="Times New Roman"/>
          <w:sz w:val="24"/>
        </w:rPr>
        <w:t>d’actifs, soit par le biais d’un transfert de branche d’activité sous le couvert de l’article 770 CS ou 12 : 103 CSA. Il est possible aussi de céder l’actif et le passif qui viendrait en premier ordre</w:t>
      </w:r>
      <w:r w:rsidR="008064D7">
        <w:rPr>
          <w:rStyle w:val="Appelnotedebasdep"/>
          <w:rFonts w:ascii="Times New Roman" w:hAnsi="Times New Roman"/>
          <w:sz w:val="24"/>
        </w:rPr>
        <w:footnoteReference w:id="189"/>
      </w:r>
      <w:r w:rsidR="008064D7" w:rsidRPr="004F5117">
        <w:rPr>
          <w:rFonts w:ascii="Times New Roman" w:hAnsi="Times New Roman"/>
          <w:sz w:val="24"/>
        </w:rPr>
        <w:t>. La cession peut intervenir avec une continuation d’activité ou sous le statut de la vente en dépérissement</w:t>
      </w:r>
      <w:r w:rsidR="008064D7">
        <w:rPr>
          <w:rStyle w:val="Appelnotedebasdep"/>
          <w:rFonts w:ascii="Times New Roman" w:hAnsi="Times New Roman"/>
          <w:sz w:val="24"/>
        </w:rPr>
        <w:footnoteReference w:id="190"/>
      </w:r>
      <w:r w:rsidR="008064D7" w:rsidRPr="004F5117">
        <w:rPr>
          <w:rFonts w:ascii="Times New Roman" w:hAnsi="Times New Roman"/>
          <w:sz w:val="24"/>
        </w:rPr>
        <w:t xml:space="preserve">. </w:t>
      </w:r>
    </w:p>
    <w:p w:rsidR="008064D7" w:rsidRDefault="008064D7" w:rsidP="004F5442">
      <w:pPr>
        <w:pStyle w:val="Paragraphedeliste"/>
        <w:spacing w:line="240" w:lineRule="auto"/>
        <w:ind w:left="786"/>
        <w:rPr>
          <w:rFonts w:ascii="Times New Roman" w:hAnsi="Times New Roman"/>
          <w:sz w:val="24"/>
        </w:rPr>
      </w:pPr>
    </w:p>
    <w:p w:rsidR="008064D7" w:rsidRDefault="008064D7" w:rsidP="004F5442">
      <w:pPr>
        <w:pStyle w:val="Paragraphedeliste"/>
        <w:spacing w:line="240" w:lineRule="auto"/>
        <w:ind w:left="786"/>
        <w:rPr>
          <w:rFonts w:ascii="Times New Roman" w:hAnsi="Times New Roman"/>
          <w:sz w:val="24"/>
        </w:rPr>
      </w:pPr>
      <w:r>
        <w:rPr>
          <w:rFonts w:ascii="Times New Roman" w:hAnsi="Times New Roman"/>
          <w:sz w:val="24"/>
        </w:rPr>
        <w:t>Selon la jurisprudence, même si cette décision a été critiquée par la doctrine, le mandataire n’est d’ailleurs pas tenu à une sorte de mise en enchère transparente qui l’empêcherait de négocier la meilleure solution</w:t>
      </w:r>
      <w:r>
        <w:rPr>
          <w:rStyle w:val="Appelnotedebasdep"/>
          <w:rFonts w:ascii="Times New Roman" w:hAnsi="Times New Roman"/>
          <w:sz w:val="24"/>
        </w:rPr>
        <w:footnoteReference w:id="191"/>
      </w:r>
      <w:r>
        <w:rPr>
          <w:rFonts w:ascii="Times New Roman" w:hAnsi="Times New Roman"/>
          <w:sz w:val="24"/>
        </w:rPr>
        <w:t xml:space="preserve">. S’il respecte une certaine loyauté, Alain ZENNER admet que trop de transparence serait peut-être incompatible avec le but premier que la loi assigne au mandataire, à savoir réaliser </w:t>
      </w:r>
      <w:r>
        <w:rPr>
          <w:rFonts w:ascii="Times New Roman" w:hAnsi="Times New Roman"/>
          <w:sz w:val="24"/>
          <w:u w:val="single"/>
        </w:rPr>
        <w:t>au mieux</w:t>
      </w:r>
      <w:r>
        <w:rPr>
          <w:rFonts w:ascii="Times New Roman" w:hAnsi="Times New Roman"/>
          <w:sz w:val="24"/>
        </w:rPr>
        <w:t xml:space="preserve"> les actifs. D’ailleurs, il cite le fait que l’amendement qui visait à imposer au mandataire le respect du principe d’égalité entre candidats a été rejeté</w:t>
      </w:r>
      <w:r>
        <w:rPr>
          <w:rStyle w:val="Appelnotedebasdep"/>
          <w:rFonts w:ascii="Times New Roman" w:hAnsi="Times New Roman"/>
          <w:sz w:val="24"/>
        </w:rPr>
        <w:footnoteReference w:id="192"/>
      </w:r>
      <w:r>
        <w:rPr>
          <w:rFonts w:ascii="Times New Roman" w:hAnsi="Times New Roman"/>
          <w:sz w:val="24"/>
        </w:rPr>
        <w:t xml:space="preserve"> par le Ministre. La Cour d’appel de </w:t>
      </w:r>
      <w:r>
        <w:rPr>
          <w:rFonts w:ascii="Times New Roman" w:hAnsi="Times New Roman"/>
          <w:sz w:val="24"/>
        </w:rPr>
        <w:lastRenderedPageBreak/>
        <w:t>Mons a aussi rejeté l’argument d’une discrimination formulée par un candidat repreneur</w:t>
      </w:r>
      <w:r>
        <w:rPr>
          <w:rStyle w:val="Appelnotedebasdep"/>
          <w:rFonts w:ascii="Times New Roman" w:hAnsi="Times New Roman"/>
          <w:sz w:val="24"/>
        </w:rPr>
        <w:footnoteReference w:id="193"/>
      </w:r>
      <w:r>
        <w:rPr>
          <w:rFonts w:ascii="Times New Roman" w:hAnsi="Times New Roman"/>
          <w:sz w:val="24"/>
        </w:rPr>
        <w:t>.</w:t>
      </w:r>
    </w:p>
    <w:p w:rsidR="008064D7" w:rsidRDefault="008064D7" w:rsidP="004F5442">
      <w:pPr>
        <w:pStyle w:val="Paragraphedeliste"/>
        <w:spacing w:line="240" w:lineRule="auto"/>
        <w:ind w:left="786"/>
        <w:rPr>
          <w:rFonts w:ascii="Times New Roman" w:hAnsi="Times New Roman"/>
          <w:sz w:val="24"/>
        </w:rPr>
      </w:pPr>
    </w:p>
    <w:p w:rsidR="008064D7" w:rsidRDefault="008064D7" w:rsidP="004F5442">
      <w:pPr>
        <w:pStyle w:val="Paragraphedeliste"/>
        <w:spacing w:line="240" w:lineRule="auto"/>
        <w:ind w:left="786"/>
        <w:rPr>
          <w:rFonts w:ascii="Times New Roman" w:hAnsi="Times New Roman"/>
          <w:sz w:val="24"/>
        </w:rPr>
      </w:pPr>
      <w:r>
        <w:rPr>
          <w:rFonts w:ascii="Times New Roman" w:hAnsi="Times New Roman"/>
          <w:sz w:val="24"/>
        </w:rPr>
        <w:t xml:space="preserve">Il existe donc la possibilité de scénario différent de la valeur purement liquidative. </w:t>
      </w:r>
    </w:p>
    <w:p w:rsidR="008064D7" w:rsidRDefault="008064D7" w:rsidP="004F5442">
      <w:pPr>
        <w:pStyle w:val="Paragraphedeliste"/>
        <w:spacing w:line="240" w:lineRule="auto"/>
        <w:rPr>
          <w:rFonts w:ascii="Times New Roman" w:hAnsi="Times New Roman"/>
          <w:sz w:val="24"/>
        </w:rPr>
      </w:pPr>
    </w:p>
    <w:p w:rsidR="008064D7" w:rsidRDefault="008064D7" w:rsidP="004F5442">
      <w:pPr>
        <w:pStyle w:val="Paragraphedeliste"/>
        <w:spacing w:line="240" w:lineRule="auto"/>
        <w:ind w:left="786"/>
        <w:rPr>
          <w:rFonts w:ascii="Times New Roman" w:hAnsi="Times New Roman"/>
          <w:sz w:val="24"/>
        </w:rPr>
      </w:pPr>
      <w:r>
        <w:rPr>
          <w:rFonts w:ascii="Times New Roman" w:hAnsi="Times New Roman"/>
          <w:sz w:val="24"/>
        </w:rPr>
        <w:t>Le curateur lui-même dispose de procédures qui permettent d’envisager des valorisations différentes : vente en dépérissement comme le Tribunal de l’Entreprise de Namur l’a organisé dans l’</w:t>
      </w:r>
      <w:r w:rsidRPr="007C17D3">
        <w:rPr>
          <w:rFonts w:ascii="Times New Roman" w:hAnsi="Times New Roman"/>
          <w:sz w:val="24"/>
        </w:rPr>
        <w:t>affaire</w:t>
      </w:r>
      <w:r>
        <w:rPr>
          <w:rFonts w:ascii="Times New Roman" w:hAnsi="Times New Roman"/>
          <w:sz w:val="24"/>
        </w:rPr>
        <w:t xml:space="preserve"> WOW</w:t>
      </w:r>
      <w:r>
        <w:rPr>
          <w:rStyle w:val="Appelnotedebasdep"/>
          <w:rFonts w:ascii="Times New Roman" w:hAnsi="Times New Roman"/>
          <w:sz w:val="24"/>
        </w:rPr>
        <w:footnoteReference w:id="194"/>
      </w:r>
      <w:r>
        <w:rPr>
          <w:rFonts w:ascii="Times New Roman" w:hAnsi="Times New Roman"/>
          <w:sz w:val="24"/>
        </w:rPr>
        <w:t>, poursuite d’activité et vente en continuité, négociation de reprise de fonds de commerce, …</w:t>
      </w:r>
    </w:p>
    <w:p w:rsidR="008064D7" w:rsidRDefault="008064D7" w:rsidP="004F5442">
      <w:pPr>
        <w:pStyle w:val="Paragraphedeliste"/>
        <w:spacing w:line="240" w:lineRule="auto"/>
        <w:ind w:left="786"/>
        <w:rPr>
          <w:rFonts w:ascii="Times New Roman" w:hAnsi="Times New Roman"/>
          <w:sz w:val="24"/>
        </w:rPr>
      </w:pPr>
    </w:p>
    <w:p w:rsidR="008064D7" w:rsidRDefault="008064D7" w:rsidP="004F5442">
      <w:pPr>
        <w:pStyle w:val="Paragraphedeliste"/>
        <w:numPr>
          <w:ilvl w:val="0"/>
          <w:numId w:val="2"/>
        </w:numPr>
        <w:spacing w:line="240" w:lineRule="auto"/>
        <w:rPr>
          <w:rFonts w:ascii="Times New Roman" w:hAnsi="Times New Roman"/>
          <w:sz w:val="24"/>
        </w:rPr>
      </w:pPr>
      <w:r>
        <w:rPr>
          <w:rFonts w:ascii="Times New Roman" w:hAnsi="Times New Roman"/>
          <w:sz w:val="24"/>
          <w:u w:val="single"/>
        </w:rPr>
        <w:t>Catalogue et définition des valeurs de liquidation :</w:t>
      </w:r>
      <w:r>
        <w:rPr>
          <w:rFonts w:ascii="Times New Roman" w:hAnsi="Times New Roman"/>
          <w:sz w:val="24"/>
        </w:rPr>
        <w:t xml:space="preserve"> On pourrait donc classer les valeurs dite de liquidation en différentes valeurs partant du plus bas pour arriver au plus haut </w:t>
      </w:r>
    </w:p>
    <w:p w:rsidR="008064D7" w:rsidRDefault="008064D7" w:rsidP="004F5442">
      <w:pPr>
        <w:pStyle w:val="Paragraphedeliste"/>
        <w:spacing w:line="240" w:lineRule="auto"/>
        <w:ind w:left="786"/>
        <w:rPr>
          <w:rFonts w:ascii="Times New Roman" w:hAnsi="Times New Roman"/>
          <w:sz w:val="24"/>
          <w:u w:val="single"/>
        </w:rPr>
      </w:pPr>
    </w:p>
    <w:p w:rsidR="008064D7" w:rsidRDefault="008064D7" w:rsidP="004F5442">
      <w:pPr>
        <w:pStyle w:val="Paragraphedeliste"/>
        <w:numPr>
          <w:ilvl w:val="0"/>
          <w:numId w:val="13"/>
        </w:numPr>
        <w:spacing w:line="240" w:lineRule="auto"/>
        <w:rPr>
          <w:rFonts w:ascii="Times New Roman" w:hAnsi="Times New Roman"/>
          <w:sz w:val="24"/>
        </w:rPr>
      </w:pPr>
      <w:r w:rsidRPr="00F87759">
        <w:rPr>
          <w:rFonts w:ascii="Times New Roman" w:hAnsi="Times New Roman"/>
          <w:smallCaps/>
          <w:sz w:val="24"/>
          <w:u w:val="single"/>
        </w:rPr>
        <w:t>Valeur de liquidation par morceau dans le plus mauvais scénario</w:t>
      </w:r>
      <w:r>
        <w:rPr>
          <w:rFonts w:ascii="Times New Roman" w:hAnsi="Times New Roman"/>
          <w:sz w:val="24"/>
        </w:rPr>
        <w:t xml:space="preserve"> : il s’agit du cas où le curateur ou le liquidateur vend après fermeture des activités du débiteur, après un certain temps, par une vente publique, pièce par pièce, sans aucune reprise </w:t>
      </w:r>
      <w:r w:rsidRPr="00624DCE">
        <w:rPr>
          <w:rFonts w:ascii="Times New Roman" w:hAnsi="Times New Roman"/>
          <w:sz w:val="24"/>
        </w:rPr>
        <w:t xml:space="preserve">d’activité possible, </w:t>
      </w:r>
      <w:r w:rsidR="004F5117">
        <w:rPr>
          <w:rFonts w:ascii="Times New Roman" w:hAnsi="Times New Roman"/>
          <w:sz w:val="24"/>
        </w:rPr>
        <w:t xml:space="preserve">ne </w:t>
      </w:r>
      <w:r w:rsidRPr="00624DCE">
        <w:rPr>
          <w:rFonts w:ascii="Times New Roman" w:hAnsi="Times New Roman"/>
          <w:sz w:val="24"/>
        </w:rPr>
        <w:t xml:space="preserve">donnant à ces actifs </w:t>
      </w:r>
      <w:r w:rsidR="004F5117">
        <w:rPr>
          <w:rFonts w:ascii="Times New Roman" w:hAnsi="Times New Roman"/>
          <w:sz w:val="24"/>
        </w:rPr>
        <w:t>aucune</w:t>
      </w:r>
      <w:r>
        <w:rPr>
          <w:rFonts w:ascii="Times New Roman" w:hAnsi="Times New Roman"/>
          <w:sz w:val="24"/>
        </w:rPr>
        <w:t xml:space="preserve"> valeur de rendement attachée au débiteur originaire mais une valeur unique liée à l’activité du repreneur et ce, dans un délai de vente assez court.</w:t>
      </w:r>
    </w:p>
    <w:p w:rsidR="008064D7" w:rsidRDefault="008064D7" w:rsidP="004F5442">
      <w:pPr>
        <w:pStyle w:val="Paragraphedeliste"/>
        <w:spacing w:line="240" w:lineRule="auto"/>
        <w:ind w:left="1506"/>
        <w:rPr>
          <w:rFonts w:ascii="Times New Roman" w:hAnsi="Times New Roman"/>
          <w:sz w:val="24"/>
        </w:rPr>
      </w:pPr>
    </w:p>
    <w:p w:rsidR="008064D7" w:rsidRDefault="008064D7" w:rsidP="004F5442">
      <w:pPr>
        <w:pStyle w:val="Paragraphedeliste"/>
        <w:numPr>
          <w:ilvl w:val="0"/>
          <w:numId w:val="13"/>
        </w:numPr>
        <w:spacing w:line="240" w:lineRule="auto"/>
        <w:rPr>
          <w:rFonts w:ascii="Times New Roman" w:hAnsi="Times New Roman"/>
          <w:sz w:val="24"/>
        </w:rPr>
      </w:pPr>
      <w:r w:rsidRPr="00857F44">
        <w:rPr>
          <w:rFonts w:ascii="Times New Roman" w:hAnsi="Times New Roman"/>
          <w:smallCaps/>
          <w:sz w:val="24"/>
          <w:u w:val="single"/>
        </w:rPr>
        <w:t>Valeur de liquidation par morceau en ayant du temps</w:t>
      </w:r>
      <w:r>
        <w:rPr>
          <w:rFonts w:ascii="Times New Roman" w:hAnsi="Times New Roman"/>
          <w:sz w:val="24"/>
        </w:rPr>
        <w:t> :  c’est le même cas que (a) mais avec un délai de vente plus long pour les pièces les plus importantes. Par exemple, un an sans créer de dette de masse qui diminue la valeur réelle et sans réduction de valeur en raison de ce délai.</w:t>
      </w:r>
    </w:p>
    <w:p w:rsidR="008064D7" w:rsidRDefault="008064D7" w:rsidP="004F5442">
      <w:pPr>
        <w:pStyle w:val="Paragraphedeliste"/>
        <w:spacing w:line="240" w:lineRule="auto"/>
        <w:ind w:left="1506"/>
        <w:rPr>
          <w:rFonts w:ascii="Times New Roman" w:hAnsi="Times New Roman"/>
          <w:sz w:val="24"/>
        </w:rPr>
      </w:pPr>
    </w:p>
    <w:p w:rsidR="008064D7" w:rsidRDefault="008064D7" w:rsidP="004F5442">
      <w:pPr>
        <w:pStyle w:val="Paragraphedeliste"/>
        <w:numPr>
          <w:ilvl w:val="0"/>
          <w:numId w:val="13"/>
        </w:numPr>
        <w:spacing w:line="240" w:lineRule="auto"/>
        <w:rPr>
          <w:rFonts w:ascii="Times New Roman" w:hAnsi="Times New Roman"/>
          <w:sz w:val="24"/>
        </w:rPr>
      </w:pPr>
      <w:r w:rsidRPr="00857F44">
        <w:rPr>
          <w:rFonts w:ascii="Times New Roman" w:hAnsi="Times New Roman"/>
          <w:smallCaps/>
          <w:sz w:val="24"/>
          <w:u w:val="single"/>
        </w:rPr>
        <w:t>Valeur de liquidation en bloc sans</w:t>
      </w:r>
      <w:r w:rsidRPr="00857F44">
        <w:rPr>
          <w:rFonts w:ascii="Times New Roman" w:hAnsi="Times New Roman"/>
          <w:sz w:val="24"/>
          <w:u w:val="single"/>
        </w:rPr>
        <w:t xml:space="preserve"> </w:t>
      </w:r>
      <w:r w:rsidRPr="00857F44">
        <w:rPr>
          <w:rFonts w:ascii="Times New Roman" w:hAnsi="Times New Roman"/>
          <w:smallCaps/>
          <w:sz w:val="24"/>
          <w:u w:val="single"/>
        </w:rPr>
        <w:t>activité</w:t>
      </w:r>
      <w:r>
        <w:rPr>
          <w:rFonts w:ascii="Times New Roman" w:hAnsi="Times New Roman"/>
          <w:sz w:val="24"/>
        </w:rPr>
        <w:t> : la cession en bloc d’un tout utile à être exploité mais sans activités propres au débiteur, la valeur de rendement tenant au seul acquéreur.</w:t>
      </w:r>
    </w:p>
    <w:p w:rsidR="008064D7" w:rsidRDefault="008064D7" w:rsidP="004F5442">
      <w:pPr>
        <w:pStyle w:val="Paragraphedeliste"/>
        <w:spacing w:line="240" w:lineRule="auto"/>
        <w:ind w:left="1506"/>
        <w:rPr>
          <w:rFonts w:ascii="Times New Roman" w:hAnsi="Times New Roman"/>
          <w:sz w:val="24"/>
        </w:rPr>
      </w:pPr>
    </w:p>
    <w:p w:rsidR="008064D7" w:rsidRDefault="008064D7" w:rsidP="004F5442">
      <w:pPr>
        <w:pStyle w:val="Paragraphedeliste"/>
        <w:numPr>
          <w:ilvl w:val="0"/>
          <w:numId w:val="13"/>
        </w:numPr>
        <w:spacing w:line="240" w:lineRule="auto"/>
        <w:rPr>
          <w:rFonts w:ascii="Times New Roman" w:hAnsi="Times New Roman"/>
          <w:sz w:val="24"/>
        </w:rPr>
      </w:pPr>
      <w:r w:rsidRPr="00857F44">
        <w:rPr>
          <w:rFonts w:ascii="Times New Roman" w:hAnsi="Times New Roman"/>
          <w:smallCaps/>
          <w:sz w:val="24"/>
          <w:u w:val="single"/>
        </w:rPr>
        <w:t>Valeur de liquidation en bloc ou morceaux mais avec une activité</w:t>
      </w:r>
      <w:r>
        <w:rPr>
          <w:rFonts w:ascii="Times New Roman" w:hAnsi="Times New Roman"/>
          <w:sz w:val="24"/>
        </w:rPr>
        <w:t> : la cession en bloc avec une capacité de les rentabiliser par une activité attachée au débiteur.</w:t>
      </w:r>
    </w:p>
    <w:p w:rsidR="008064D7" w:rsidRDefault="008064D7" w:rsidP="004F5442">
      <w:pPr>
        <w:pStyle w:val="Paragraphedeliste"/>
        <w:spacing w:line="240" w:lineRule="auto"/>
        <w:ind w:left="1506"/>
        <w:rPr>
          <w:rFonts w:ascii="Times New Roman" w:hAnsi="Times New Roman"/>
          <w:sz w:val="24"/>
        </w:rPr>
      </w:pPr>
    </w:p>
    <w:p w:rsidR="008064D7" w:rsidRDefault="008064D7" w:rsidP="004F5442">
      <w:pPr>
        <w:pStyle w:val="Paragraphedeliste"/>
        <w:numPr>
          <w:ilvl w:val="0"/>
          <w:numId w:val="13"/>
        </w:numPr>
        <w:spacing w:line="240" w:lineRule="auto"/>
        <w:rPr>
          <w:rFonts w:ascii="Times New Roman" w:hAnsi="Times New Roman"/>
          <w:sz w:val="24"/>
        </w:rPr>
      </w:pPr>
      <w:r w:rsidRPr="00857F44">
        <w:rPr>
          <w:rFonts w:ascii="Times New Roman" w:hAnsi="Times New Roman"/>
          <w:smallCaps/>
          <w:sz w:val="24"/>
          <w:u w:val="single"/>
        </w:rPr>
        <w:t>Valeur de liquidation en continuité</w:t>
      </w:r>
      <w:r>
        <w:rPr>
          <w:rFonts w:ascii="Times New Roman" w:hAnsi="Times New Roman"/>
          <w:sz w:val="24"/>
        </w:rPr>
        <w:t> : la cession avec une activité en fonctionnement permettant la rentabilisation prévisible des actifs.</w:t>
      </w:r>
    </w:p>
    <w:p w:rsidR="008064D7" w:rsidRDefault="008064D7" w:rsidP="004F5442">
      <w:pPr>
        <w:pStyle w:val="Paragraphedeliste"/>
        <w:spacing w:line="240" w:lineRule="auto"/>
        <w:ind w:left="1506"/>
        <w:rPr>
          <w:rFonts w:ascii="Times New Roman" w:hAnsi="Times New Roman"/>
          <w:sz w:val="24"/>
        </w:rPr>
      </w:pPr>
      <w:r>
        <w:rPr>
          <w:rFonts w:ascii="Times New Roman" w:hAnsi="Times New Roman"/>
          <w:sz w:val="24"/>
        </w:rPr>
        <w:t xml:space="preserve">  </w:t>
      </w:r>
    </w:p>
    <w:p w:rsidR="008064D7" w:rsidRDefault="008064D7" w:rsidP="004F5442">
      <w:pPr>
        <w:pStyle w:val="Paragraphedeliste"/>
        <w:numPr>
          <w:ilvl w:val="0"/>
          <w:numId w:val="13"/>
        </w:numPr>
        <w:spacing w:line="240" w:lineRule="auto"/>
        <w:rPr>
          <w:rFonts w:ascii="Times New Roman" w:hAnsi="Times New Roman"/>
          <w:sz w:val="24"/>
        </w:rPr>
      </w:pPr>
      <w:r w:rsidRPr="00857F44">
        <w:rPr>
          <w:rFonts w:ascii="Times New Roman" w:hAnsi="Times New Roman"/>
          <w:smallCaps/>
          <w:sz w:val="24"/>
          <w:u w:val="single"/>
        </w:rPr>
        <w:t>Valeur de liquidation dans le meilleur scénario possible</w:t>
      </w:r>
      <w:r>
        <w:rPr>
          <w:rFonts w:ascii="Times New Roman" w:hAnsi="Times New Roman"/>
          <w:sz w:val="24"/>
        </w:rPr>
        <w:t> : la même chose que (e) mais avec une exploitation certaine, plutôt rentabilisable ou rentable, des perspectives et des potentialités et sans perte excessive de savoir-</w:t>
      </w:r>
      <w:r w:rsidR="004F5117">
        <w:rPr>
          <w:rFonts w:ascii="Times New Roman" w:hAnsi="Times New Roman"/>
          <w:i/>
          <w:sz w:val="24"/>
        </w:rPr>
        <w:t>f</w:t>
      </w:r>
      <w:r w:rsidRPr="007C17D3">
        <w:rPr>
          <w:rFonts w:ascii="Times New Roman" w:hAnsi="Times New Roman"/>
          <w:i/>
          <w:sz w:val="24"/>
        </w:rPr>
        <w:t>air</w:t>
      </w:r>
      <w:r>
        <w:rPr>
          <w:rFonts w:ascii="Times New Roman" w:hAnsi="Times New Roman"/>
          <w:sz w:val="24"/>
        </w:rPr>
        <w:t>e, de goodwill ou de position concurrentielle.</w:t>
      </w:r>
    </w:p>
    <w:p w:rsidR="008064D7" w:rsidRDefault="008064D7" w:rsidP="004F5442">
      <w:pPr>
        <w:pStyle w:val="Paragraphedeliste"/>
        <w:spacing w:line="240" w:lineRule="auto"/>
        <w:ind w:left="1506"/>
        <w:rPr>
          <w:rFonts w:ascii="Times New Roman" w:hAnsi="Times New Roman"/>
          <w:smallCaps/>
          <w:sz w:val="24"/>
          <w:u w:val="single"/>
        </w:rPr>
      </w:pPr>
    </w:p>
    <w:p w:rsidR="008064D7" w:rsidRDefault="008064D7" w:rsidP="004F5442">
      <w:pPr>
        <w:pStyle w:val="Paragraphedeliste"/>
        <w:spacing w:line="240" w:lineRule="auto"/>
        <w:ind w:left="786"/>
        <w:rPr>
          <w:rFonts w:ascii="Times New Roman" w:hAnsi="Times New Roman"/>
          <w:sz w:val="24"/>
        </w:rPr>
      </w:pPr>
      <w:r>
        <w:rPr>
          <w:rFonts w:ascii="Times New Roman" w:hAnsi="Times New Roman"/>
          <w:sz w:val="24"/>
        </w:rPr>
        <w:t>O</w:t>
      </w:r>
      <w:r w:rsidRPr="00857F44">
        <w:rPr>
          <w:rFonts w:ascii="Times New Roman" w:hAnsi="Times New Roman"/>
          <w:sz w:val="24"/>
        </w:rPr>
        <w:t>n présentera</w:t>
      </w:r>
      <w:r>
        <w:rPr>
          <w:rFonts w:ascii="Times New Roman" w:hAnsi="Times New Roman"/>
          <w:sz w:val="24"/>
        </w:rPr>
        <w:t xml:space="preserve"> in fine un tableau des différentes valeurs de liquidation et valeurs </w:t>
      </w:r>
      <w:r w:rsidRPr="007C17D3">
        <w:rPr>
          <w:rFonts w:ascii="Times New Roman" w:hAnsi="Times New Roman"/>
          <w:i/>
          <w:sz w:val="24"/>
        </w:rPr>
        <w:t>going-concern</w:t>
      </w:r>
      <w:r w:rsidRPr="00B331AB">
        <w:rPr>
          <w:rFonts w:ascii="Times New Roman" w:hAnsi="Times New Roman"/>
          <w:i/>
          <w:sz w:val="24"/>
        </w:rPr>
        <w:t>.</w:t>
      </w:r>
    </w:p>
    <w:p w:rsidR="008064D7" w:rsidRPr="005069EE" w:rsidRDefault="008064D7" w:rsidP="004F5442">
      <w:pPr>
        <w:spacing w:line="240" w:lineRule="auto"/>
        <w:rPr>
          <w:rFonts w:ascii="Times New Roman" w:hAnsi="Times New Roman"/>
          <w:sz w:val="24"/>
        </w:rPr>
      </w:pPr>
    </w:p>
    <w:p w:rsidR="008064D7" w:rsidRDefault="008064D7" w:rsidP="004F5442">
      <w:pPr>
        <w:pStyle w:val="Paragraphedeliste"/>
        <w:spacing w:line="240" w:lineRule="auto"/>
        <w:ind w:left="786"/>
        <w:rPr>
          <w:rFonts w:ascii="Times New Roman" w:hAnsi="Times New Roman"/>
          <w:sz w:val="24"/>
        </w:rPr>
      </w:pPr>
    </w:p>
    <w:p w:rsidR="008064D7" w:rsidRPr="00235E93" w:rsidRDefault="008064D7" w:rsidP="004F5442">
      <w:pPr>
        <w:pStyle w:val="Titre2"/>
        <w:numPr>
          <w:ilvl w:val="2"/>
          <w:numId w:val="14"/>
        </w:numPr>
        <w:ind w:left="1418" w:hanging="425"/>
        <w:rPr>
          <w:rFonts w:ascii="Times New Roman" w:hAnsi="Times New Roman" w:cs="Times New Roman"/>
        </w:rPr>
      </w:pPr>
      <w:bookmarkStart w:id="19" w:name="_Toc55407465"/>
      <w:r>
        <w:rPr>
          <w:rFonts w:ascii="Times New Roman" w:hAnsi="Times New Roman" w:cs="Times New Roman"/>
        </w:rPr>
        <w:lastRenderedPageBreak/>
        <w:t>V</w:t>
      </w:r>
      <w:r w:rsidRPr="00235E93">
        <w:rPr>
          <w:rFonts w:ascii="Times New Roman" w:hAnsi="Times New Roman" w:cs="Times New Roman"/>
        </w:rPr>
        <w:t xml:space="preserve">aleur de liquidation en droit </w:t>
      </w:r>
      <w:r w:rsidR="004F5117">
        <w:rPr>
          <w:rFonts w:ascii="Times New Roman" w:hAnsi="Times New Roman" w:cs="Times New Roman"/>
        </w:rPr>
        <w:t>actuel</w:t>
      </w:r>
      <w:bookmarkEnd w:id="19"/>
      <w:r w:rsidRPr="00235E93">
        <w:rPr>
          <w:rFonts w:ascii="Times New Roman" w:hAnsi="Times New Roman" w:cs="Times New Roman"/>
        </w:rPr>
        <w:t xml:space="preserve"> </w:t>
      </w:r>
    </w:p>
    <w:p w:rsidR="008064D7" w:rsidRDefault="008064D7" w:rsidP="004F5442">
      <w:pPr>
        <w:pStyle w:val="Paragraphedeliste"/>
        <w:spacing w:line="240" w:lineRule="auto"/>
        <w:ind w:left="786"/>
        <w:rPr>
          <w:rFonts w:ascii="Times New Roman" w:hAnsi="Times New Roman"/>
          <w:sz w:val="24"/>
        </w:rPr>
      </w:pPr>
    </w:p>
    <w:p w:rsidR="008064D7" w:rsidRPr="00857F44" w:rsidRDefault="008064D7" w:rsidP="004F5442">
      <w:pPr>
        <w:pStyle w:val="Paragraphedeliste"/>
        <w:numPr>
          <w:ilvl w:val="0"/>
          <w:numId w:val="2"/>
        </w:numPr>
        <w:spacing w:line="240" w:lineRule="auto"/>
        <w:rPr>
          <w:rFonts w:ascii="Times New Roman" w:hAnsi="Times New Roman"/>
          <w:sz w:val="24"/>
          <w:u w:val="single"/>
        </w:rPr>
      </w:pPr>
      <w:r>
        <w:rPr>
          <w:rFonts w:ascii="Times New Roman" w:hAnsi="Times New Roman"/>
          <w:sz w:val="24"/>
          <w:u w:val="single"/>
        </w:rPr>
        <w:t>La valeur de liquidation</w:t>
      </w:r>
      <w:r w:rsidR="004F5117">
        <w:rPr>
          <w:rFonts w:ascii="Times New Roman" w:hAnsi="Times New Roman"/>
          <w:sz w:val="24"/>
        </w:rPr>
        <w:t>.</w:t>
      </w:r>
      <w:r>
        <w:rPr>
          <w:rFonts w:ascii="Times New Roman" w:hAnsi="Times New Roman"/>
          <w:sz w:val="24"/>
        </w:rPr>
        <w:t xml:space="preserve"> </w:t>
      </w:r>
      <w:r w:rsidR="004F5117">
        <w:rPr>
          <w:rFonts w:ascii="Times New Roman" w:hAnsi="Times New Roman"/>
          <w:sz w:val="24"/>
        </w:rPr>
        <w:t>L</w:t>
      </w:r>
      <w:r>
        <w:rPr>
          <w:rFonts w:ascii="Times New Roman" w:hAnsi="Times New Roman"/>
          <w:sz w:val="24"/>
        </w:rPr>
        <w:t>e mandataire, selon l’article 33 de la loi du 27 mai 2013, devait rechercher des offres qui, pour l’ensemble des actifs vendus ou cédés, mentionn</w:t>
      </w:r>
      <w:r w:rsidR="004F5117">
        <w:rPr>
          <w:rFonts w:ascii="Times New Roman" w:hAnsi="Times New Roman"/>
          <w:sz w:val="24"/>
        </w:rPr>
        <w:t>ai</w:t>
      </w:r>
      <w:r>
        <w:rPr>
          <w:rFonts w:ascii="Times New Roman" w:hAnsi="Times New Roman"/>
          <w:sz w:val="24"/>
        </w:rPr>
        <w:t xml:space="preserve">ent un prix qui </w:t>
      </w:r>
      <w:r w:rsidR="004F5117">
        <w:rPr>
          <w:rFonts w:ascii="Times New Roman" w:hAnsi="Times New Roman"/>
          <w:sz w:val="24"/>
        </w:rPr>
        <w:t>était</w:t>
      </w:r>
      <w:r>
        <w:rPr>
          <w:rFonts w:ascii="Times New Roman" w:hAnsi="Times New Roman"/>
          <w:sz w:val="24"/>
        </w:rPr>
        <w:t xml:space="preserve"> égal ou supérieur à </w:t>
      </w:r>
      <w:r w:rsidRPr="004F5117">
        <w:rPr>
          <w:rFonts w:ascii="Times New Roman" w:hAnsi="Times New Roman"/>
          <w:sz w:val="24"/>
          <w:u w:val="single"/>
        </w:rPr>
        <w:t>la valeur de réalisation présumée</w:t>
      </w:r>
      <w:r>
        <w:rPr>
          <w:rFonts w:ascii="Times New Roman" w:hAnsi="Times New Roman"/>
          <w:sz w:val="24"/>
        </w:rPr>
        <w:t xml:space="preserve"> en cas de faillite ou de liquidation. </w:t>
      </w:r>
    </w:p>
    <w:p w:rsidR="008064D7" w:rsidRDefault="008064D7" w:rsidP="004F5442">
      <w:pPr>
        <w:pStyle w:val="Paragraphedeliste"/>
        <w:spacing w:line="240" w:lineRule="auto"/>
        <w:ind w:left="786"/>
        <w:rPr>
          <w:rFonts w:ascii="Times New Roman" w:hAnsi="Times New Roman"/>
          <w:sz w:val="24"/>
          <w:u w:val="single"/>
        </w:rPr>
      </w:pPr>
    </w:p>
    <w:p w:rsidR="008064D7" w:rsidRPr="00857F44" w:rsidRDefault="008064D7" w:rsidP="004F5442">
      <w:pPr>
        <w:pStyle w:val="Paragraphedeliste"/>
        <w:spacing w:line="240" w:lineRule="auto"/>
        <w:ind w:left="786"/>
        <w:rPr>
          <w:rFonts w:ascii="Times New Roman" w:hAnsi="Times New Roman"/>
          <w:sz w:val="24"/>
          <w:u w:val="single"/>
        </w:rPr>
      </w:pPr>
      <w:r>
        <w:rPr>
          <w:rFonts w:ascii="Times New Roman" w:hAnsi="Times New Roman"/>
          <w:sz w:val="24"/>
        </w:rPr>
        <w:t>Le terme « </w:t>
      </w:r>
      <w:r>
        <w:rPr>
          <w:rFonts w:ascii="Times New Roman" w:hAnsi="Times New Roman"/>
          <w:i/>
          <w:sz w:val="24"/>
        </w:rPr>
        <w:t>présumé</w:t>
      </w:r>
      <w:r>
        <w:rPr>
          <w:rFonts w:ascii="Times New Roman" w:hAnsi="Times New Roman"/>
          <w:sz w:val="24"/>
        </w:rPr>
        <w:t xml:space="preserve"> » a été remplacé par l’article XX.87 parle terme </w:t>
      </w:r>
      <w:r>
        <w:rPr>
          <w:rFonts w:ascii="Times New Roman" w:hAnsi="Times New Roman"/>
          <w:sz w:val="24"/>
          <w:u w:val="single"/>
        </w:rPr>
        <w:t>estimé</w:t>
      </w:r>
      <w:r>
        <w:rPr>
          <w:rFonts w:ascii="Times New Roman" w:hAnsi="Times New Roman"/>
          <w:sz w:val="24"/>
        </w:rPr>
        <w:t xml:space="preserve">. </w:t>
      </w:r>
      <w:r w:rsidRPr="00857F44">
        <w:rPr>
          <w:rFonts w:ascii="Times New Roman" w:hAnsi="Times New Roman"/>
          <w:sz w:val="24"/>
        </w:rPr>
        <w:t>Cette estimation, selon la doctrine</w:t>
      </w:r>
      <w:r>
        <w:rPr>
          <w:rStyle w:val="Appelnotedebasdep"/>
          <w:rFonts w:ascii="Times New Roman" w:hAnsi="Times New Roman"/>
          <w:sz w:val="24"/>
        </w:rPr>
        <w:footnoteReference w:id="195"/>
      </w:r>
      <w:r w:rsidRPr="00857F44">
        <w:rPr>
          <w:rFonts w:ascii="Times New Roman" w:hAnsi="Times New Roman"/>
          <w:sz w:val="24"/>
        </w:rPr>
        <w:t xml:space="preserve">, émane de professionnels de l’évaluation. </w:t>
      </w:r>
    </w:p>
    <w:p w:rsidR="008064D7" w:rsidRDefault="008064D7" w:rsidP="004F5442">
      <w:pPr>
        <w:pStyle w:val="Paragraphedeliste"/>
        <w:spacing w:line="240" w:lineRule="auto"/>
        <w:ind w:left="786"/>
        <w:rPr>
          <w:rFonts w:ascii="Times New Roman" w:hAnsi="Times New Roman"/>
          <w:sz w:val="24"/>
        </w:rPr>
      </w:pPr>
    </w:p>
    <w:p w:rsidR="008064D7" w:rsidRDefault="0047593D" w:rsidP="004F5442">
      <w:pPr>
        <w:pStyle w:val="Paragraphedeliste"/>
        <w:spacing w:line="240" w:lineRule="auto"/>
        <w:ind w:left="786"/>
        <w:rPr>
          <w:rFonts w:ascii="Times New Roman" w:hAnsi="Times New Roman"/>
          <w:sz w:val="24"/>
        </w:rPr>
      </w:pPr>
      <w:r>
        <w:rPr>
          <w:rFonts w:ascii="Times New Roman" w:hAnsi="Times New Roman"/>
          <w:sz w:val="24"/>
        </w:rPr>
        <w:t>Mais l</w:t>
      </w:r>
      <w:r w:rsidR="008064D7">
        <w:rPr>
          <w:rFonts w:ascii="Times New Roman" w:hAnsi="Times New Roman"/>
          <w:sz w:val="24"/>
        </w:rPr>
        <w:t>es juges ont porté des appréciations sur ces valeurs en estimant que si les valeurs proposées par la consultation du mandataire étaient inférieures, il fallait les tenir pour la valeur de marché</w:t>
      </w:r>
      <w:r w:rsidR="008064D7">
        <w:rPr>
          <w:rStyle w:val="Appelnotedebasdep"/>
          <w:rFonts w:ascii="Times New Roman" w:hAnsi="Times New Roman"/>
          <w:sz w:val="24"/>
        </w:rPr>
        <w:footnoteReference w:id="196"/>
      </w:r>
      <w:r w:rsidR="008064D7">
        <w:rPr>
          <w:rFonts w:ascii="Times New Roman" w:hAnsi="Times New Roman"/>
          <w:sz w:val="24"/>
        </w:rPr>
        <w:t xml:space="preserve">, ce qui laisse plutôt penser qu’il s’agit de valeur déterminée par le juge sur base d’expertise. </w:t>
      </w:r>
    </w:p>
    <w:p w:rsidR="008064D7" w:rsidRDefault="008064D7" w:rsidP="004F5442">
      <w:pPr>
        <w:pStyle w:val="Paragraphedeliste"/>
        <w:spacing w:line="240" w:lineRule="auto"/>
        <w:ind w:left="786"/>
        <w:rPr>
          <w:rFonts w:ascii="Times New Roman" w:hAnsi="Times New Roman"/>
          <w:sz w:val="24"/>
        </w:rPr>
      </w:pPr>
    </w:p>
    <w:p w:rsidR="008064D7" w:rsidRPr="001547AC" w:rsidRDefault="008064D7" w:rsidP="004F5442">
      <w:pPr>
        <w:pStyle w:val="Paragraphedeliste"/>
        <w:spacing w:line="240" w:lineRule="auto"/>
        <w:ind w:left="786"/>
        <w:rPr>
          <w:rFonts w:ascii="Times New Roman" w:hAnsi="Times New Roman"/>
          <w:sz w:val="24"/>
        </w:rPr>
      </w:pPr>
      <w:r>
        <w:rPr>
          <w:rFonts w:ascii="Times New Roman" w:hAnsi="Times New Roman"/>
          <w:sz w:val="24"/>
        </w:rPr>
        <w:t>L</w:t>
      </w:r>
      <w:r w:rsidRPr="001547AC">
        <w:rPr>
          <w:rFonts w:ascii="Times New Roman" w:hAnsi="Times New Roman"/>
          <w:sz w:val="24"/>
        </w:rPr>
        <w:t>’article XX</w:t>
      </w:r>
      <w:r>
        <w:rPr>
          <w:rFonts w:ascii="Times New Roman" w:hAnsi="Times New Roman"/>
          <w:sz w:val="24"/>
        </w:rPr>
        <w:t>.</w:t>
      </w:r>
      <w:r w:rsidRPr="001547AC">
        <w:rPr>
          <w:rFonts w:ascii="Times New Roman" w:hAnsi="Times New Roman"/>
          <w:sz w:val="24"/>
        </w:rPr>
        <w:t>87 indique que le mandataire a égard aux droits des créanciers. Cette précision pourrait fonder une critique à l’encontre des offres présentées par le mandataire s’il n’a pas recherché la meilleure valorisation possible en explorant sérieusement tous les scénarios poss</w:t>
      </w:r>
      <w:r>
        <w:rPr>
          <w:rFonts w:ascii="Times New Roman" w:hAnsi="Times New Roman"/>
          <w:sz w:val="24"/>
        </w:rPr>
        <w:t>ibles et, encore une fois, fonderait la valeur déterminée par le juge sur base des expertises (qui seraient supérieures aux valeurs obtenues du marché).</w:t>
      </w:r>
    </w:p>
    <w:p w:rsidR="008064D7" w:rsidRDefault="008064D7" w:rsidP="004F5442">
      <w:pPr>
        <w:pStyle w:val="Paragraphedeliste"/>
        <w:spacing w:line="240" w:lineRule="auto"/>
        <w:ind w:left="786"/>
        <w:rPr>
          <w:rFonts w:ascii="Times New Roman" w:hAnsi="Times New Roman"/>
          <w:sz w:val="24"/>
        </w:rPr>
      </w:pPr>
    </w:p>
    <w:p w:rsidR="008064D7" w:rsidRPr="001547AC" w:rsidRDefault="008064D7" w:rsidP="004F5442">
      <w:pPr>
        <w:pStyle w:val="Paragraphedeliste"/>
        <w:spacing w:line="240" w:lineRule="auto"/>
        <w:ind w:left="786"/>
        <w:rPr>
          <w:rFonts w:ascii="Times New Roman" w:hAnsi="Times New Roman"/>
          <w:sz w:val="24"/>
        </w:rPr>
      </w:pPr>
      <w:r>
        <w:rPr>
          <w:rFonts w:ascii="Times New Roman" w:hAnsi="Times New Roman"/>
          <w:sz w:val="24"/>
        </w:rPr>
        <w:t>La doctrine</w:t>
      </w:r>
      <w:r>
        <w:rPr>
          <w:rStyle w:val="Appelnotedebasdep"/>
          <w:rFonts w:ascii="Times New Roman" w:hAnsi="Times New Roman"/>
          <w:sz w:val="24"/>
        </w:rPr>
        <w:footnoteReference w:id="197"/>
      </w:r>
      <w:r>
        <w:rPr>
          <w:rFonts w:ascii="Times New Roman" w:hAnsi="Times New Roman"/>
          <w:sz w:val="24"/>
        </w:rPr>
        <w:t xml:space="preserve"> estimait qu’il pouvait se justifier de </w:t>
      </w:r>
      <w:r w:rsidR="0047593D" w:rsidRPr="0047593D">
        <w:rPr>
          <w:rFonts w:ascii="Times New Roman" w:hAnsi="Times New Roman"/>
          <w:sz w:val="24"/>
        </w:rPr>
        <w:t>f</w:t>
      </w:r>
      <w:r w:rsidRPr="0047593D">
        <w:rPr>
          <w:rFonts w:ascii="Times New Roman" w:hAnsi="Times New Roman"/>
          <w:sz w:val="24"/>
        </w:rPr>
        <w:t>aire</w:t>
      </w:r>
      <w:r>
        <w:rPr>
          <w:rFonts w:ascii="Times New Roman" w:hAnsi="Times New Roman"/>
          <w:sz w:val="24"/>
        </w:rPr>
        <w:t xml:space="preserve"> une comparaison entre le prix proposé dans le transfert avec celui qui aurait pu être obtenu en cas de liquidation ou de faillite. </w:t>
      </w:r>
      <w:r w:rsidRPr="001547AC">
        <w:rPr>
          <w:rFonts w:ascii="Times New Roman" w:hAnsi="Times New Roman"/>
          <w:sz w:val="24"/>
        </w:rPr>
        <w:t>Les avis sur lesquels le mandataire doit se baser doivent être pris auprès de spécialiste et avec toutes les informations utiles</w:t>
      </w:r>
      <w:r>
        <w:rPr>
          <w:rStyle w:val="Appelnotedebasdep"/>
          <w:rFonts w:ascii="Times New Roman" w:hAnsi="Times New Roman"/>
          <w:sz w:val="24"/>
        </w:rPr>
        <w:footnoteReference w:id="198"/>
      </w:r>
      <w:r w:rsidRPr="001547AC">
        <w:rPr>
          <w:rFonts w:ascii="Times New Roman" w:hAnsi="Times New Roman"/>
          <w:sz w:val="24"/>
        </w:rPr>
        <w:t>.</w:t>
      </w:r>
    </w:p>
    <w:p w:rsidR="008064D7" w:rsidRDefault="008064D7" w:rsidP="004F5442">
      <w:pPr>
        <w:pStyle w:val="Paragraphedeliste"/>
        <w:spacing w:line="240" w:lineRule="auto"/>
        <w:ind w:left="786"/>
        <w:rPr>
          <w:rFonts w:ascii="Times New Roman" w:hAnsi="Times New Roman"/>
          <w:sz w:val="24"/>
        </w:rPr>
      </w:pPr>
    </w:p>
    <w:p w:rsidR="008064D7" w:rsidRDefault="008064D7" w:rsidP="004F5442">
      <w:pPr>
        <w:pStyle w:val="Paragraphedeliste"/>
        <w:spacing w:line="240" w:lineRule="auto"/>
        <w:ind w:left="786"/>
        <w:rPr>
          <w:rFonts w:ascii="Times New Roman" w:hAnsi="Times New Roman"/>
          <w:sz w:val="24"/>
        </w:rPr>
      </w:pPr>
      <w:r>
        <w:rPr>
          <w:rFonts w:ascii="Times New Roman" w:hAnsi="Times New Roman"/>
          <w:sz w:val="24"/>
        </w:rPr>
        <w:t xml:space="preserve">Pourtant, la loi contient un paradoxe : la valeur retenue est la valeur de faillite ou de liquidation alors que le transfert ne peut s’opérer que sur une activité </w:t>
      </w:r>
      <w:r w:rsidRPr="007C17D3">
        <w:rPr>
          <w:rFonts w:ascii="Times New Roman" w:hAnsi="Times New Roman"/>
          <w:i/>
          <w:sz w:val="24"/>
        </w:rPr>
        <w:t>going-concern</w:t>
      </w:r>
      <w:r>
        <w:rPr>
          <w:rFonts w:ascii="Times New Roman" w:hAnsi="Times New Roman"/>
          <w:sz w:val="24"/>
        </w:rPr>
        <w:t xml:space="preserve"> et non sur des actifs non exploitables comme des immeubles</w:t>
      </w:r>
      <w:r>
        <w:rPr>
          <w:rStyle w:val="Appelnotedebasdep"/>
          <w:rFonts w:ascii="Times New Roman" w:hAnsi="Times New Roman"/>
          <w:sz w:val="24"/>
        </w:rPr>
        <w:footnoteReference w:id="199"/>
      </w:r>
      <w:r>
        <w:rPr>
          <w:rFonts w:ascii="Times New Roman" w:hAnsi="Times New Roman"/>
          <w:sz w:val="24"/>
        </w:rPr>
        <w:t>, sur des activité à l’arrêt</w:t>
      </w:r>
      <w:r>
        <w:rPr>
          <w:rStyle w:val="Appelnotedebasdep"/>
          <w:rFonts w:ascii="Times New Roman" w:hAnsi="Times New Roman"/>
          <w:sz w:val="24"/>
        </w:rPr>
        <w:footnoteReference w:id="200"/>
      </w:r>
      <w:r>
        <w:rPr>
          <w:rFonts w:ascii="Times New Roman" w:hAnsi="Times New Roman"/>
          <w:sz w:val="24"/>
        </w:rPr>
        <w:t xml:space="preserve">. Un actif </w:t>
      </w:r>
      <w:r w:rsidRPr="007C17D3">
        <w:rPr>
          <w:rFonts w:ascii="Times New Roman" w:hAnsi="Times New Roman"/>
          <w:i/>
          <w:sz w:val="24"/>
        </w:rPr>
        <w:t>going-concern</w:t>
      </w:r>
      <w:r>
        <w:rPr>
          <w:rFonts w:ascii="Times New Roman" w:hAnsi="Times New Roman"/>
          <w:sz w:val="24"/>
        </w:rPr>
        <w:t xml:space="preserve"> est donc évalué en valeur liquidative.</w:t>
      </w:r>
    </w:p>
    <w:p w:rsidR="008064D7" w:rsidRDefault="008064D7" w:rsidP="004F5442">
      <w:pPr>
        <w:pStyle w:val="Paragraphedeliste"/>
        <w:spacing w:line="240" w:lineRule="auto"/>
        <w:ind w:left="786"/>
        <w:rPr>
          <w:rFonts w:ascii="Times New Roman" w:hAnsi="Times New Roman"/>
          <w:sz w:val="24"/>
        </w:rPr>
      </w:pPr>
    </w:p>
    <w:p w:rsidR="008064D7" w:rsidRDefault="008064D7" w:rsidP="004F5442">
      <w:pPr>
        <w:pStyle w:val="Paragraphedeliste"/>
        <w:spacing w:line="240" w:lineRule="auto"/>
        <w:ind w:left="786"/>
        <w:rPr>
          <w:rFonts w:ascii="Times New Roman" w:hAnsi="Times New Roman"/>
          <w:sz w:val="24"/>
        </w:rPr>
      </w:pPr>
      <w:r w:rsidRPr="001547AC">
        <w:rPr>
          <w:rFonts w:ascii="Times New Roman" w:hAnsi="Times New Roman"/>
          <w:sz w:val="24"/>
        </w:rPr>
        <w:t xml:space="preserve">À relire les décisions qui se sont écartées des expertises, il faudrait considérer que la loi ne ferait des rapports produits qu’un élément d’appréciation, le juge étant en définitive celui qui arrête la valeur de réalisation en faillite en examinant les offres effectivement reçues (valeur de résultat du marché créé par cet appel d’offre). </w:t>
      </w:r>
    </w:p>
    <w:p w:rsidR="008064D7" w:rsidRDefault="008064D7" w:rsidP="004F5442">
      <w:pPr>
        <w:pStyle w:val="Paragraphedeliste"/>
        <w:spacing w:line="240" w:lineRule="auto"/>
        <w:ind w:left="786"/>
        <w:rPr>
          <w:rFonts w:ascii="Times New Roman" w:hAnsi="Times New Roman"/>
          <w:sz w:val="24"/>
        </w:rPr>
      </w:pPr>
    </w:p>
    <w:p w:rsidR="008064D7" w:rsidRDefault="008064D7" w:rsidP="004F5442">
      <w:pPr>
        <w:pStyle w:val="Paragraphedeliste"/>
        <w:spacing w:line="240" w:lineRule="auto"/>
        <w:ind w:left="786"/>
        <w:rPr>
          <w:rFonts w:ascii="Times New Roman" w:hAnsi="Times New Roman"/>
          <w:sz w:val="24"/>
        </w:rPr>
      </w:pPr>
      <w:r w:rsidRPr="001547AC">
        <w:rPr>
          <w:rFonts w:ascii="Times New Roman" w:hAnsi="Times New Roman"/>
          <w:sz w:val="24"/>
        </w:rPr>
        <w:t>Souvent, la nécessité d’aller vite en raison de problèmes de financement et des effets de la publicité sur le fond de roulement conduisent à des valeurs de réalisation inférieures à la valeur de vente par le curateur qui vend après arrêt des activités en mettant une concurrence effective en place.</w:t>
      </w:r>
    </w:p>
    <w:p w:rsidR="0047593D" w:rsidRDefault="0047593D" w:rsidP="004F5442">
      <w:pPr>
        <w:pStyle w:val="Paragraphedeliste"/>
        <w:spacing w:line="240" w:lineRule="auto"/>
        <w:ind w:left="786"/>
        <w:rPr>
          <w:rFonts w:ascii="Times New Roman" w:hAnsi="Times New Roman"/>
          <w:sz w:val="24"/>
        </w:rPr>
      </w:pPr>
    </w:p>
    <w:p w:rsidR="0047593D" w:rsidRPr="0047593D" w:rsidRDefault="0047593D" w:rsidP="0047593D">
      <w:pPr>
        <w:pStyle w:val="Titre2"/>
        <w:numPr>
          <w:ilvl w:val="2"/>
          <w:numId w:val="14"/>
        </w:numPr>
        <w:ind w:left="1418" w:hanging="425"/>
        <w:rPr>
          <w:rFonts w:ascii="Times New Roman" w:hAnsi="Times New Roman" w:cs="Times New Roman"/>
        </w:rPr>
      </w:pPr>
      <w:bookmarkStart w:id="20" w:name="_Toc55407466"/>
      <w:r w:rsidRPr="0047593D">
        <w:rPr>
          <w:rFonts w:ascii="Times New Roman" w:hAnsi="Times New Roman" w:cs="Times New Roman"/>
        </w:rPr>
        <w:t>Test implicite de marché pour la valeur liquidative</w:t>
      </w:r>
      <w:bookmarkEnd w:id="20"/>
    </w:p>
    <w:p w:rsidR="008064D7" w:rsidRDefault="008064D7" w:rsidP="004F5442">
      <w:pPr>
        <w:pStyle w:val="Paragraphedeliste"/>
        <w:spacing w:line="240" w:lineRule="auto"/>
        <w:ind w:left="786"/>
        <w:rPr>
          <w:rFonts w:ascii="Times New Roman" w:hAnsi="Times New Roman"/>
          <w:sz w:val="24"/>
        </w:rPr>
      </w:pPr>
    </w:p>
    <w:p w:rsidR="0047593D" w:rsidRPr="002D56AE" w:rsidRDefault="008064D7" w:rsidP="00D14DBD">
      <w:pPr>
        <w:pStyle w:val="Paragraphedeliste"/>
        <w:numPr>
          <w:ilvl w:val="0"/>
          <w:numId w:val="2"/>
        </w:numPr>
        <w:spacing w:line="240" w:lineRule="auto"/>
        <w:rPr>
          <w:rFonts w:ascii="Times New Roman" w:hAnsi="Times New Roman"/>
          <w:sz w:val="24"/>
        </w:rPr>
      </w:pPr>
      <w:r w:rsidRPr="002D56AE">
        <w:rPr>
          <w:rFonts w:ascii="Times New Roman" w:hAnsi="Times New Roman"/>
          <w:sz w:val="24"/>
          <w:u w:val="single"/>
        </w:rPr>
        <w:t>Prépack – test implicite</w:t>
      </w:r>
      <w:r w:rsidR="0047593D" w:rsidRPr="002D56AE">
        <w:rPr>
          <w:rFonts w:ascii="Times New Roman" w:hAnsi="Times New Roman"/>
          <w:sz w:val="24"/>
          <w:u w:val="single"/>
        </w:rPr>
        <w:t xml:space="preserve"> </w:t>
      </w:r>
      <w:r w:rsidRPr="002D56AE">
        <w:rPr>
          <w:rFonts w:ascii="Times New Roman" w:hAnsi="Times New Roman"/>
          <w:sz w:val="24"/>
          <w:u w:val="single"/>
        </w:rPr>
        <w:t>de marché.</w:t>
      </w:r>
      <w:r w:rsidRPr="002D56AE">
        <w:rPr>
          <w:rFonts w:ascii="Times New Roman" w:hAnsi="Times New Roman"/>
          <w:sz w:val="24"/>
        </w:rPr>
        <w:t xml:space="preserve"> </w:t>
      </w:r>
      <w:r w:rsidR="0047593D" w:rsidRPr="002D56AE">
        <w:rPr>
          <w:rFonts w:ascii="Times New Roman" w:hAnsi="Times New Roman"/>
          <w:sz w:val="24"/>
        </w:rPr>
        <w:t xml:space="preserve">Nous avons évoqué les critiques que la docrine américaine avait à l’encontre du test implicite de marché pour la valeur going-concern. Ces critiques sont très discutables en présence de la recherche d’une valeur de marché implicite pour la valeur de liquidation. </w:t>
      </w:r>
      <w:r w:rsidRPr="002D56AE">
        <w:rPr>
          <w:rFonts w:ascii="Times New Roman" w:hAnsi="Times New Roman"/>
          <w:sz w:val="24"/>
        </w:rPr>
        <w:t>Dans le dossier PAIN QUOTIDIEN, le Président du Tribunal a désigné des médiateurs pour organiser un appel d’offre – avec une due diligence possible – entre candidats intéressés dans le cadre d’une procédure confidentielle, sans échéance connue trop stricte et avec une véritable négociation.  C’est le prix qui a résulté de cette « </w:t>
      </w:r>
      <w:r w:rsidRPr="002D56AE">
        <w:rPr>
          <w:rFonts w:ascii="Times New Roman" w:hAnsi="Times New Roman"/>
          <w:i/>
          <w:sz w:val="24"/>
        </w:rPr>
        <w:t>mise sur le marché</w:t>
      </w:r>
      <w:r w:rsidRPr="002D56AE">
        <w:rPr>
          <w:rFonts w:ascii="Times New Roman" w:hAnsi="Times New Roman"/>
          <w:sz w:val="24"/>
        </w:rPr>
        <w:t xml:space="preserve"> » qui a été tenu pour la valeur de liquidation. Elle était largement supérieure à la valeur expertisée par certains experts mais conforme à la valeur expertisée par des curateurs. </w:t>
      </w:r>
    </w:p>
    <w:p w:rsidR="008064D7" w:rsidRPr="001547AC" w:rsidRDefault="008064D7" w:rsidP="00497A97">
      <w:pPr>
        <w:pStyle w:val="Paragraphedeliste"/>
        <w:spacing w:line="240" w:lineRule="auto"/>
        <w:ind w:left="786"/>
        <w:rPr>
          <w:rFonts w:ascii="Times New Roman" w:hAnsi="Times New Roman"/>
          <w:sz w:val="24"/>
        </w:rPr>
      </w:pPr>
      <w:r>
        <w:rPr>
          <w:rFonts w:ascii="Times New Roman" w:hAnsi="Times New Roman"/>
          <w:sz w:val="24"/>
          <w:u w:val="single"/>
        </w:rPr>
        <w:t xml:space="preserve"> </w:t>
      </w:r>
    </w:p>
    <w:p w:rsidR="008064D7" w:rsidRDefault="008064D7" w:rsidP="0047593D">
      <w:pPr>
        <w:pStyle w:val="Titre2"/>
        <w:numPr>
          <w:ilvl w:val="2"/>
          <w:numId w:val="14"/>
        </w:numPr>
        <w:ind w:left="1418" w:hanging="425"/>
        <w:rPr>
          <w:rFonts w:ascii="Times New Roman" w:hAnsi="Times New Roman" w:cs="Times New Roman"/>
        </w:rPr>
      </w:pPr>
      <w:bookmarkStart w:id="21" w:name="_Toc55407467"/>
      <w:r>
        <w:rPr>
          <w:rFonts w:ascii="Times New Roman" w:hAnsi="Times New Roman" w:cs="Times New Roman"/>
        </w:rPr>
        <w:t>Dans la directive</w:t>
      </w:r>
      <w:bookmarkEnd w:id="21"/>
      <w:r>
        <w:rPr>
          <w:rFonts w:ascii="Times New Roman" w:hAnsi="Times New Roman" w:cs="Times New Roman"/>
        </w:rPr>
        <w:t xml:space="preserve"> </w:t>
      </w:r>
    </w:p>
    <w:p w:rsidR="008064D7" w:rsidRDefault="008064D7" w:rsidP="004F5442">
      <w:pPr>
        <w:pStyle w:val="Paragraphedeliste"/>
        <w:spacing w:line="240" w:lineRule="auto"/>
        <w:ind w:left="786"/>
        <w:rPr>
          <w:rFonts w:ascii="Times New Roman" w:hAnsi="Times New Roman"/>
          <w:sz w:val="24"/>
        </w:rPr>
      </w:pPr>
    </w:p>
    <w:p w:rsidR="008064D7" w:rsidRPr="00505B92" w:rsidRDefault="008064D7" w:rsidP="004F5442">
      <w:pPr>
        <w:pStyle w:val="Paragraphedeliste"/>
        <w:numPr>
          <w:ilvl w:val="0"/>
          <w:numId w:val="2"/>
        </w:numPr>
        <w:spacing w:line="240" w:lineRule="auto"/>
        <w:rPr>
          <w:rFonts w:ascii="Times New Roman" w:hAnsi="Times New Roman"/>
          <w:sz w:val="24"/>
          <w:u w:val="single"/>
        </w:rPr>
      </w:pPr>
      <w:r w:rsidRPr="00081D76">
        <w:rPr>
          <w:rFonts w:ascii="Times New Roman" w:hAnsi="Times New Roman"/>
          <w:sz w:val="24"/>
          <w:u w:val="single"/>
        </w:rPr>
        <w:t>La directive apporte des précision</w:t>
      </w:r>
      <w:r>
        <w:rPr>
          <w:rFonts w:ascii="Times New Roman" w:hAnsi="Times New Roman"/>
          <w:sz w:val="24"/>
          <w:u w:val="single"/>
        </w:rPr>
        <w:t>s</w:t>
      </w:r>
      <w:r w:rsidRPr="00081D76">
        <w:rPr>
          <w:rFonts w:ascii="Times New Roman" w:hAnsi="Times New Roman"/>
          <w:sz w:val="24"/>
          <w:u w:val="single"/>
        </w:rPr>
        <w:t xml:space="preserve"> sur cette valeur liquidative</w:t>
      </w:r>
      <w:r>
        <w:rPr>
          <w:rFonts w:ascii="Times New Roman" w:hAnsi="Times New Roman"/>
          <w:sz w:val="24"/>
          <w:u w:val="single"/>
        </w:rPr>
        <w:t>.</w:t>
      </w:r>
      <w:r>
        <w:rPr>
          <w:rFonts w:ascii="Times New Roman" w:hAnsi="Times New Roman"/>
          <w:sz w:val="24"/>
        </w:rPr>
        <w:t xml:space="preserve"> L</w:t>
      </w:r>
      <w:r w:rsidRPr="00505B92">
        <w:rPr>
          <w:rFonts w:ascii="Times New Roman" w:hAnsi="Times New Roman"/>
          <w:sz w:val="24"/>
        </w:rPr>
        <w:t>e</w:t>
      </w:r>
      <w:r w:rsidRPr="00081D76">
        <w:rPr>
          <w:rFonts w:ascii="Times New Roman" w:hAnsi="Times New Roman"/>
          <w:sz w:val="24"/>
        </w:rPr>
        <w:t xml:space="preserve"> test</w:t>
      </w:r>
      <w:r>
        <w:rPr>
          <w:rFonts w:ascii="Times New Roman" w:hAnsi="Times New Roman"/>
          <w:sz w:val="24"/>
        </w:rPr>
        <w:t xml:space="preserve"> du </w:t>
      </w:r>
      <w:r w:rsidRPr="007C17D3">
        <w:rPr>
          <w:rFonts w:ascii="Times New Roman" w:hAnsi="Times New Roman"/>
          <w:i/>
          <w:sz w:val="24"/>
        </w:rPr>
        <w:t>Best interest</w:t>
      </w:r>
      <w:r w:rsidRPr="00B331AB">
        <w:rPr>
          <w:rFonts w:ascii="Times New Roman" w:hAnsi="Times New Roman"/>
          <w:i/>
          <w:sz w:val="24"/>
        </w:rPr>
        <w:t xml:space="preserve"> of creditors</w:t>
      </w:r>
      <w:r>
        <w:rPr>
          <w:rFonts w:ascii="Times New Roman" w:hAnsi="Times New Roman"/>
          <w:sz w:val="24"/>
        </w:rPr>
        <w:t xml:space="preserve"> </w:t>
      </w:r>
      <w:r w:rsidRPr="00081D76">
        <w:rPr>
          <w:rFonts w:ascii="Times New Roman" w:hAnsi="Times New Roman"/>
          <w:sz w:val="24"/>
        </w:rPr>
        <w:t>impose au juge – ce qui renforce son pouvoir par rapport à celui qu’il tient du livre XX CDE</w:t>
      </w:r>
      <w:r>
        <w:rPr>
          <w:rFonts w:ascii="Times New Roman" w:hAnsi="Times New Roman"/>
          <w:sz w:val="24"/>
        </w:rPr>
        <w:t xml:space="preserve"> </w:t>
      </w:r>
      <w:r w:rsidRPr="00081D76">
        <w:rPr>
          <w:rFonts w:ascii="Times New Roman" w:hAnsi="Times New Roman"/>
          <w:sz w:val="24"/>
        </w:rPr>
        <w:t xml:space="preserve">- de constater </w:t>
      </w:r>
      <w:r w:rsidRPr="00C33069">
        <w:rPr>
          <w:rFonts w:ascii="Times New Roman" w:hAnsi="Times New Roman"/>
          <w:sz w:val="24"/>
          <w:u w:val="single"/>
        </w:rPr>
        <w:t xml:space="preserve">qu’aucun </w:t>
      </w:r>
      <w:r w:rsidRPr="002A16C4">
        <w:rPr>
          <w:rFonts w:ascii="Times New Roman" w:hAnsi="Times New Roman"/>
          <w:sz w:val="24"/>
          <w:u w:val="single"/>
        </w:rPr>
        <w:t>créancier qui demande ce contrôle</w:t>
      </w:r>
      <w:r w:rsidRPr="00081D76">
        <w:rPr>
          <w:rFonts w:ascii="Times New Roman" w:hAnsi="Times New Roman"/>
          <w:sz w:val="24"/>
        </w:rPr>
        <w:t xml:space="preserve"> ne soit moins bien traité dans le plan que le traitement dont il ferait l’objet dans une situation de liquidation, voire dans la meilleure solution alternative possible si le plan de restructuration n’était pas adopté</w:t>
      </w:r>
      <w:r>
        <w:rPr>
          <w:rStyle w:val="Appelnotedebasdep"/>
          <w:rFonts w:ascii="Times New Roman" w:hAnsi="Times New Roman"/>
          <w:sz w:val="24"/>
        </w:rPr>
        <w:footnoteReference w:id="201"/>
      </w:r>
      <w:r w:rsidRPr="00081D76">
        <w:rPr>
          <w:rFonts w:ascii="Times New Roman" w:hAnsi="Times New Roman"/>
          <w:sz w:val="24"/>
        </w:rPr>
        <w:t xml:space="preserve">. Le test du meilleur intérêt du créancier n’est </w:t>
      </w:r>
      <w:r>
        <w:rPr>
          <w:rFonts w:ascii="Times New Roman" w:hAnsi="Times New Roman"/>
          <w:sz w:val="24"/>
        </w:rPr>
        <w:t xml:space="preserve">en effet </w:t>
      </w:r>
      <w:r w:rsidRPr="00081D76">
        <w:rPr>
          <w:rFonts w:ascii="Times New Roman" w:hAnsi="Times New Roman"/>
          <w:sz w:val="24"/>
        </w:rPr>
        <w:t>effectué qu’à la demande d’un ou plusieurs créanciers dissidents contes</w:t>
      </w:r>
      <w:r w:rsidR="002A16C4">
        <w:rPr>
          <w:rFonts w:ascii="Times New Roman" w:hAnsi="Times New Roman"/>
          <w:sz w:val="24"/>
        </w:rPr>
        <w:t>tant le plan, lesquels débattront, pièces et expertises à l’appui, cette valeur.</w:t>
      </w:r>
    </w:p>
    <w:p w:rsidR="008064D7" w:rsidRDefault="008064D7" w:rsidP="004F5442">
      <w:pPr>
        <w:pStyle w:val="Paragraphedeliste"/>
        <w:spacing w:line="240" w:lineRule="auto"/>
        <w:ind w:left="786"/>
        <w:rPr>
          <w:rFonts w:ascii="Times New Roman" w:hAnsi="Times New Roman"/>
          <w:sz w:val="24"/>
          <w:u w:val="single"/>
        </w:rPr>
      </w:pPr>
    </w:p>
    <w:p w:rsidR="008064D7" w:rsidRPr="002A16C4" w:rsidRDefault="002A16C4" w:rsidP="004F5442">
      <w:pPr>
        <w:pStyle w:val="Paragraphedeliste"/>
        <w:spacing w:line="240" w:lineRule="auto"/>
        <w:ind w:left="786"/>
        <w:rPr>
          <w:rFonts w:ascii="Times New Roman" w:hAnsi="Times New Roman"/>
          <w:sz w:val="24"/>
          <w:u w:val="single"/>
        </w:rPr>
      </w:pPr>
      <w:r>
        <w:rPr>
          <w:rFonts w:ascii="Times New Roman" w:hAnsi="Times New Roman"/>
          <w:sz w:val="24"/>
        </w:rPr>
        <w:t>N’oublions pas, à ce stade – mais le point est évoqué plus loin – que la</w:t>
      </w:r>
      <w:r w:rsidR="008064D7" w:rsidRPr="00081D76">
        <w:rPr>
          <w:rFonts w:ascii="Times New Roman" w:hAnsi="Times New Roman"/>
          <w:sz w:val="24"/>
        </w:rPr>
        <w:t xml:space="preserve"> confirmation </w:t>
      </w:r>
      <w:r>
        <w:rPr>
          <w:rFonts w:ascii="Times New Roman" w:hAnsi="Times New Roman"/>
          <w:sz w:val="24"/>
        </w:rPr>
        <w:t>du plan porte aussi sur</w:t>
      </w:r>
      <w:r w:rsidR="008064D7" w:rsidRPr="00081D76">
        <w:rPr>
          <w:rFonts w:ascii="Times New Roman" w:hAnsi="Times New Roman"/>
          <w:sz w:val="24"/>
        </w:rPr>
        <w:t xml:space="preserve"> le respect des principes de légalité et de proportionnalité du traitement de la créance. </w:t>
      </w:r>
      <w:r w:rsidR="008064D7">
        <w:rPr>
          <w:rFonts w:ascii="Times New Roman" w:hAnsi="Times New Roman"/>
          <w:sz w:val="24"/>
        </w:rPr>
        <w:t xml:space="preserve"> </w:t>
      </w:r>
      <w:r w:rsidR="008064D7" w:rsidRPr="00081D76">
        <w:rPr>
          <w:rFonts w:ascii="Times New Roman" w:hAnsi="Times New Roman"/>
          <w:sz w:val="24"/>
        </w:rPr>
        <w:t>La confirmation doit être refusée si le plan n’offre pas de perspectives raisonnables d’éviter l’insolvabilité du débiteur ou de garantir la viabilité de l’entreprise</w:t>
      </w:r>
      <w:r w:rsidR="008064D7">
        <w:rPr>
          <w:rStyle w:val="Appelnotedebasdep"/>
          <w:rFonts w:ascii="Times New Roman" w:hAnsi="Times New Roman"/>
          <w:sz w:val="24"/>
        </w:rPr>
        <w:footnoteReference w:id="202"/>
      </w:r>
      <w:r w:rsidR="008064D7" w:rsidRPr="00081D76">
        <w:rPr>
          <w:rFonts w:ascii="Times New Roman" w:hAnsi="Times New Roman"/>
          <w:sz w:val="24"/>
        </w:rPr>
        <w:t>. La confirmation n’interviendra donc que s’il est probable que la confirmation du plan ne sera pas suivie d’une liquidation ou d’une restructuration complémentai</w:t>
      </w:r>
      <w:r>
        <w:rPr>
          <w:rFonts w:ascii="Times New Roman" w:hAnsi="Times New Roman"/>
          <w:sz w:val="24"/>
        </w:rPr>
        <w:t xml:space="preserve">re, ce qui est </w:t>
      </w:r>
      <w:r w:rsidR="008064D7" w:rsidRPr="00081D76">
        <w:rPr>
          <w:rFonts w:ascii="Times New Roman" w:hAnsi="Times New Roman"/>
          <w:sz w:val="24"/>
        </w:rPr>
        <w:t>appelé  test de faisabilité</w:t>
      </w:r>
      <w:r w:rsidR="008064D7">
        <w:rPr>
          <w:rStyle w:val="Appelnotedebasdep"/>
          <w:rFonts w:ascii="Times New Roman" w:hAnsi="Times New Roman"/>
          <w:sz w:val="24"/>
        </w:rPr>
        <w:footnoteReference w:id="203"/>
      </w:r>
      <w:r>
        <w:rPr>
          <w:rFonts w:ascii="Times New Roman" w:hAnsi="Times New Roman"/>
          <w:sz w:val="24"/>
        </w:rPr>
        <w:t xml:space="preserve"> et ce qui influencera aussi la détermination de la valeur de liquidation « </w:t>
      </w:r>
      <w:r>
        <w:rPr>
          <w:rFonts w:ascii="Times New Roman" w:hAnsi="Times New Roman"/>
          <w:i/>
          <w:sz w:val="24"/>
        </w:rPr>
        <w:t xml:space="preserve">dans le meilleur scénario possible », </w:t>
      </w:r>
      <w:r>
        <w:rPr>
          <w:rFonts w:ascii="Times New Roman" w:hAnsi="Times New Roman"/>
          <w:sz w:val="24"/>
        </w:rPr>
        <w:t>ce dernier n’étant pas la valeur de faillite pure et simple si l’activité a encore une chance d’être exploitée, même pas un autre exploitant dans une autre structure.</w:t>
      </w:r>
    </w:p>
    <w:p w:rsidR="008064D7" w:rsidRDefault="008064D7" w:rsidP="004F5442">
      <w:pPr>
        <w:pStyle w:val="Paragraphedeliste"/>
        <w:spacing w:line="240" w:lineRule="auto"/>
        <w:ind w:left="786"/>
        <w:rPr>
          <w:rFonts w:ascii="Times New Roman" w:hAnsi="Times New Roman"/>
          <w:sz w:val="24"/>
          <w:u w:val="single"/>
        </w:rPr>
      </w:pPr>
    </w:p>
    <w:p w:rsidR="008064D7" w:rsidRPr="00505B92" w:rsidRDefault="002A16C4" w:rsidP="004F5442">
      <w:pPr>
        <w:pStyle w:val="Paragraphedeliste"/>
        <w:spacing w:line="240" w:lineRule="auto"/>
        <w:ind w:left="786"/>
        <w:rPr>
          <w:rFonts w:ascii="Times New Roman" w:hAnsi="Times New Roman"/>
          <w:sz w:val="28"/>
          <w:u w:val="single"/>
        </w:rPr>
      </w:pPr>
      <w:r>
        <w:rPr>
          <w:rFonts w:ascii="Times New Roman" w:hAnsi="Times New Roman"/>
          <w:sz w:val="24"/>
        </w:rPr>
        <w:t>Cette</w:t>
      </w:r>
      <w:r w:rsidR="008064D7" w:rsidRPr="00505B92">
        <w:rPr>
          <w:rFonts w:ascii="Times New Roman" w:hAnsi="Times New Roman"/>
          <w:sz w:val="24"/>
        </w:rPr>
        <w:t xml:space="preserve"> notion de </w:t>
      </w:r>
      <w:r w:rsidR="008064D7" w:rsidRPr="007C17D3">
        <w:rPr>
          <w:rFonts w:ascii="Times New Roman" w:hAnsi="Times New Roman"/>
          <w:i/>
          <w:sz w:val="24"/>
        </w:rPr>
        <w:t>Best interest</w:t>
      </w:r>
      <w:r w:rsidR="008064D7" w:rsidRPr="00505B92">
        <w:rPr>
          <w:rFonts w:ascii="Times New Roman" w:hAnsi="Times New Roman"/>
          <w:i/>
          <w:sz w:val="24"/>
        </w:rPr>
        <w:t xml:space="preserve"> of creditors</w:t>
      </w:r>
      <w:r w:rsidR="008064D7" w:rsidRPr="00505B92">
        <w:rPr>
          <w:rFonts w:ascii="Times New Roman" w:hAnsi="Times New Roman"/>
          <w:sz w:val="24"/>
        </w:rPr>
        <w:t xml:space="preserve"> est </w:t>
      </w:r>
      <w:r>
        <w:rPr>
          <w:rFonts w:ascii="Times New Roman" w:hAnsi="Times New Roman"/>
          <w:sz w:val="24"/>
        </w:rPr>
        <w:t>différente de</w:t>
      </w:r>
      <w:r w:rsidR="008064D7" w:rsidRPr="00505B92">
        <w:rPr>
          <w:rFonts w:ascii="Times New Roman" w:hAnsi="Times New Roman"/>
          <w:sz w:val="24"/>
        </w:rPr>
        <w:t xml:space="preserve"> la notion d</w:t>
      </w:r>
      <w:r>
        <w:rPr>
          <w:rFonts w:ascii="Times New Roman" w:hAnsi="Times New Roman"/>
          <w:sz w:val="24"/>
        </w:rPr>
        <w:t>’</w:t>
      </w:r>
      <w:r w:rsidR="008064D7" w:rsidRPr="00505B92">
        <w:rPr>
          <w:rFonts w:ascii="Times New Roman" w:hAnsi="Times New Roman"/>
          <w:sz w:val="24"/>
        </w:rPr>
        <w:t>« </w:t>
      </w:r>
      <w:r w:rsidR="008064D7" w:rsidRPr="00505B92">
        <w:rPr>
          <w:rFonts w:ascii="Times New Roman" w:hAnsi="Times New Roman"/>
          <w:i/>
          <w:sz w:val="24"/>
        </w:rPr>
        <w:t>l’intérêt des créanciers »</w:t>
      </w:r>
      <w:r w:rsidR="008064D7" w:rsidRPr="00505B92">
        <w:rPr>
          <w:rFonts w:ascii="Times New Roman" w:hAnsi="Times New Roman"/>
          <w:sz w:val="24"/>
        </w:rPr>
        <w:t xml:space="preserve"> – qui a souvent un contenu flou laissé à la discrétion des juges</w:t>
      </w:r>
      <w:r w:rsidR="008064D7" w:rsidRPr="00505B92">
        <w:rPr>
          <w:rStyle w:val="Appelnotedebasdep"/>
          <w:rFonts w:ascii="Times New Roman" w:hAnsi="Times New Roman"/>
          <w:sz w:val="24"/>
        </w:rPr>
        <w:footnoteReference w:id="204"/>
      </w:r>
      <w:r w:rsidR="008064D7" w:rsidRPr="00505B92">
        <w:rPr>
          <w:rFonts w:ascii="Times New Roman" w:hAnsi="Times New Roman"/>
          <w:sz w:val="24"/>
        </w:rPr>
        <w:t xml:space="preserve"> </w:t>
      </w:r>
      <w:r w:rsidR="008064D7" w:rsidRPr="00505B92">
        <w:rPr>
          <w:rStyle w:val="Appelnotedebasdep"/>
          <w:rFonts w:ascii="Times New Roman" w:hAnsi="Times New Roman"/>
          <w:sz w:val="24"/>
        </w:rPr>
        <w:footnoteReference w:id="205"/>
      </w:r>
      <w:r w:rsidR="008064D7" w:rsidRPr="00505B92">
        <w:rPr>
          <w:rFonts w:ascii="Times New Roman" w:hAnsi="Times New Roman"/>
          <w:sz w:val="24"/>
        </w:rPr>
        <w:t>. Le test du meilleur intérêt des créanciers est défini</w:t>
      </w:r>
      <w:r w:rsidR="008064D7" w:rsidRPr="00505B92">
        <w:rPr>
          <w:rStyle w:val="Appelnotedebasdep"/>
          <w:rFonts w:ascii="Times New Roman" w:hAnsi="Times New Roman"/>
          <w:sz w:val="24"/>
        </w:rPr>
        <w:footnoteReference w:id="206"/>
      </w:r>
      <w:r>
        <w:rPr>
          <w:rFonts w:ascii="Times New Roman" w:hAnsi="Times New Roman"/>
          <w:sz w:val="24"/>
        </w:rPr>
        <w:t>, de manière concrète : m</w:t>
      </w:r>
      <w:r w:rsidR="008064D7">
        <w:rPr>
          <w:rFonts w:ascii="Times New Roman" w:hAnsi="Times New Roman"/>
          <w:sz w:val="24"/>
        </w:rPr>
        <w:t>ême s’il</w:t>
      </w:r>
      <w:r w:rsidR="008064D7" w:rsidRPr="00505B92">
        <w:rPr>
          <w:rFonts w:ascii="Times New Roman" w:hAnsi="Times New Roman"/>
          <w:sz w:val="24"/>
        </w:rPr>
        <w:t xml:space="preserve"> </w:t>
      </w:r>
      <w:r w:rsidR="008064D7" w:rsidRPr="00505B92">
        <w:rPr>
          <w:rFonts w:ascii="Times New Roman" w:hAnsi="Times New Roman"/>
          <w:sz w:val="24"/>
        </w:rPr>
        <w:lastRenderedPageBreak/>
        <w:t>renvoie à l’ordre normal des priorités en liquidation établi par le droit national</w:t>
      </w:r>
      <w:r w:rsidR="008064D7">
        <w:rPr>
          <w:rFonts w:ascii="Times New Roman" w:hAnsi="Times New Roman"/>
          <w:sz w:val="24"/>
        </w:rPr>
        <w:t xml:space="preserve">, il a un contenu communautaire. </w:t>
      </w:r>
      <w:r w:rsidR="008064D7" w:rsidRPr="00505B92">
        <w:rPr>
          <w:rFonts w:ascii="Times New Roman" w:hAnsi="Times New Roman"/>
          <w:sz w:val="24"/>
        </w:rPr>
        <w:t>Ce test, selon plus d’un, pourrait obliger les États membres à revoir les privilèges, voire certaines sûretés</w:t>
      </w:r>
      <w:r w:rsidR="008064D7" w:rsidRPr="00505B92">
        <w:rPr>
          <w:rStyle w:val="Appelnotedebasdep"/>
          <w:rFonts w:ascii="Times New Roman" w:hAnsi="Times New Roman"/>
          <w:sz w:val="24"/>
        </w:rPr>
        <w:footnoteReference w:id="207"/>
      </w:r>
      <w:r w:rsidR="008064D7" w:rsidRPr="00505B92">
        <w:rPr>
          <w:rFonts w:ascii="Times New Roman" w:hAnsi="Times New Roman"/>
          <w:sz w:val="24"/>
        </w:rPr>
        <w:t xml:space="preserve"> </w:t>
      </w:r>
      <w:r w:rsidR="008064D7" w:rsidRPr="00505B92">
        <w:rPr>
          <w:rStyle w:val="Appelnotedebasdep"/>
          <w:rFonts w:ascii="Times New Roman" w:hAnsi="Times New Roman"/>
          <w:sz w:val="24"/>
        </w:rPr>
        <w:footnoteReference w:id="208"/>
      </w:r>
      <w:r w:rsidR="008064D7" w:rsidRPr="00505B92">
        <w:rPr>
          <w:rFonts w:ascii="Times New Roman" w:hAnsi="Times New Roman"/>
          <w:sz w:val="24"/>
        </w:rPr>
        <w:t>.</w:t>
      </w:r>
      <w:r>
        <w:rPr>
          <w:rFonts w:ascii="Times New Roman" w:hAnsi="Times New Roman"/>
          <w:sz w:val="24"/>
        </w:rPr>
        <w:t xml:space="preserve"> Il est aussi concret pour chaque créancier.</w:t>
      </w:r>
    </w:p>
    <w:p w:rsidR="008064D7" w:rsidRPr="00505B92" w:rsidRDefault="008064D7" w:rsidP="004F5442">
      <w:pPr>
        <w:pStyle w:val="Paragraphedeliste"/>
        <w:spacing w:line="254" w:lineRule="auto"/>
        <w:rPr>
          <w:rFonts w:ascii="Times New Roman" w:hAnsi="Times New Roman"/>
          <w:sz w:val="24"/>
        </w:rPr>
      </w:pPr>
    </w:p>
    <w:p w:rsidR="002A16C4" w:rsidRDefault="002A16C4" w:rsidP="004F5442">
      <w:pPr>
        <w:pStyle w:val="Paragraphedeliste"/>
        <w:spacing w:after="160" w:line="254" w:lineRule="auto"/>
        <w:rPr>
          <w:rFonts w:ascii="Times New Roman" w:hAnsi="Times New Roman"/>
          <w:sz w:val="24"/>
        </w:rPr>
      </w:pPr>
      <w:r>
        <w:rPr>
          <w:rFonts w:ascii="Times New Roman" w:hAnsi="Times New Roman"/>
          <w:sz w:val="24"/>
          <w:u w:val="single"/>
        </w:rPr>
        <w:t>L</w:t>
      </w:r>
      <w:r w:rsidR="008064D7">
        <w:rPr>
          <w:rFonts w:ascii="Times New Roman" w:hAnsi="Times New Roman"/>
          <w:sz w:val="24"/>
          <w:u w:val="single"/>
        </w:rPr>
        <w:t>a directive attribue au juge un pouvoir marginal</w:t>
      </w:r>
      <w:r w:rsidR="008064D7" w:rsidRPr="00505B92">
        <w:rPr>
          <w:rStyle w:val="Appelnotedebasdep"/>
          <w:rFonts w:ascii="Times New Roman" w:hAnsi="Times New Roman"/>
          <w:sz w:val="24"/>
        </w:rPr>
        <w:footnoteReference w:id="209"/>
      </w:r>
      <w:r w:rsidR="008064D7" w:rsidRPr="00505B92">
        <w:rPr>
          <w:rFonts w:ascii="Times New Roman" w:hAnsi="Times New Roman"/>
          <w:sz w:val="24"/>
        </w:rPr>
        <w:t xml:space="preserve">, ce </w:t>
      </w:r>
      <w:r>
        <w:rPr>
          <w:rFonts w:ascii="Times New Roman" w:hAnsi="Times New Roman"/>
          <w:sz w:val="24"/>
        </w:rPr>
        <w:t>que la loi</w:t>
      </w:r>
      <w:r w:rsidR="008064D7" w:rsidRPr="00505B92">
        <w:rPr>
          <w:rFonts w:ascii="Times New Roman" w:hAnsi="Times New Roman"/>
          <w:sz w:val="24"/>
        </w:rPr>
        <w:t xml:space="preserve"> fai</w:t>
      </w:r>
      <w:r w:rsidR="008064D7">
        <w:rPr>
          <w:rFonts w:ascii="Times New Roman" w:hAnsi="Times New Roman"/>
          <w:sz w:val="24"/>
        </w:rPr>
        <w:t>sai</w:t>
      </w:r>
      <w:r w:rsidR="008064D7" w:rsidRPr="00505B92">
        <w:rPr>
          <w:rFonts w:ascii="Times New Roman" w:hAnsi="Times New Roman"/>
          <w:sz w:val="24"/>
        </w:rPr>
        <w:t>t déjà</w:t>
      </w:r>
      <w:r>
        <w:rPr>
          <w:rFonts w:ascii="Times New Roman" w:hAnsi="Times New Roman"/>
          <w:sz w:val="24"/>
        </w:rPr>
        <w:t>,</w:t>
      </w:r>
      <w:r w:rsidR="008064D7" w:rsidRPr="00505B92">
        <w:rPr>
          <w:rFonts w:ascii="Times New Roman" w:hAnsi="Times New Roman"/>
          <w:sz w:val="24"/>
        </w:rPr>
        <w:t xml:space="preserve"> par ailleurs</w:t>
      </w:r>
      <w:r>
        <w:rPr>
          <w:rFonts w:ascii="Times New Roman" w:hAnsi="Times New Roman"/>
          <w:sz w:val="24"/>
        </w:rPr>
        <w:t>,</w:t>
      </w:r>
      <w:r w:rsidR="008064D7" w:rsidRPr="00505B92">
        <w:rPr>
          <w:rFonts w:ascii="Times New Roman" w:hAnsi="Times New Roman"/>
          <w:sz w:val="24"/>
        </w:rPr>
        <w:t xml:space="preserve"> dans la PRJ transfert. </w:t>
      </w:r>
    </w:p>
    <w:p w:rsidR="002A16C4" w:rsidRDefault="002A16C4" w:rsidP="004F5442">
      <w:pPr>
        <w:pStyle w:val="Paragraphedeliste"/>
        <w:spacing w:after="160" w:line="254" w:lineRule="auto"/>
        <w:rPr>
          <w:rFonts w:ascii="Times New Roman" w:hAnsi="Times New Roman"/>
          <w:sz w:val="24"/>
        </w:rPr>
      </w:pPr>
    </w:p>
    <w:p w:rsidR="008064D7" w:rsidRDefault="008064D7" w:rsidP="004F5442">
      <w:pPr>
        <w:pStyle w:val="Paragraphedeliste"/>
        <w:spacing w:after="160" w:line="254" w:lineRule="auto"/>
        <w:rPr>
          <w:rFonts w:ascii="Times New Roman" w:hAnsi="Times New Roman"/>
          <w:sz w:val="24"/>
        </w:rPr>
      </w:pPr>
      <w:r w:rsidRPr="00EE1371">
        <w:rPr>
          <w:rFonts w:ascii="Times New Roman" w:hAnsi="Times New Roman"/>
          <w:sz w:val="24"/>
        </w:rPr>
        <w:t>Plusieurs auteurs et experts ont critiqué cette absence de référence</w:t>
      </w:r>
      <w:r w:rsidRPr="00505B92">
        <w:rPr>
          <w:rStyle w:val="Appelnotedebasdep"/>
          <w:rFonts w:ascii="Times New Roman" w:hAnsi="Times New Roman"/>
          <w:sz w:val="24"/>
        </w:rPr>
        <w:footnoteReference w:id="210"/>
      </w:r>
      <w:r w:rsidRPr="00EE1371">
        <w:rPr>
          <w:rFonts w:ascii="Times New Roman" w:hAnsi="Times New Roman"/>
          <w:sz w:val="24"/>
        </w:rPr>
        <w:t xml:space="preserve"> à une méthode de valorisation précise.</w:t>
      </w:r>
      <w:r w:rsidR="00DC2476">
        <w:rPr>
          <w:rFonts w:ascii="Times New Roman" w:hAnsi="Times New Roman"/>
          <w:sz w:val="24"/>
        </w:rPr>
        <w:t xml:space="preserve"> </w:t>
      </w:r>
      <w:r w:rsidRPr="00EE1371">
        <w:rPr>
          <w:rFonts w:ascii="Times New Roman" w:hAnsi="Times New Roman"/>
          <w:sz w:val="24"/>
        </w:rPr>
        <w:t>Le considérant 49 de la directive, en intégrant le terme « </w:t>
      </w:r>
      <w:r w:rsidRPr="00EE1371">
        <w:rPr>
          <w:rFonts w:ascii="Times New Roman" w:hAnsi="Times New Roman"/>
          <w:i/>
          <w:sz w:val="24"/>
        </w:rPr>
        <w:t>raisonnablement s’attendre »</w:t>
      </w:r>
      <w:r w:rsidRPr="00EE1371">
        <w:rPr>
          <w:rFonts w:ascii="Times New Roman" w:hAnsi="Times New Roman"/>
          <w:sz w:val="24"/>
        </w:rPr>
        <w:t xml:space="preserve"> comme d’ailleurs dans les termes « </w:t>
      </w:r>
      <w:r w:rsidRPr="00EE1371">
        <w:rPr>
          <w:rFonts w:ascii="Times New Roman" w:hAnsi="Times New Roman"/>
          <w:i/>
          <w:sz w:val="24"/>
        </w:rPr>
        <w:t>meilleur scénario alternatif possible »</w:t>
      </w:r>
      <w:r w:rsidRPr="00EE1371">
        <w:rPr>
          <w:rFonts w:ascii="Times New Roman" w:hAnsi="Times New Roman"/>
          <w:sz w:val="24"/>
        </w:rPr>
        <w:t xml:space="preserve"> laisse au droit national la possibilité de laisser au juge un pouvoir d’appréciation </w:t>
      </w:r>
      <w:r w:rsidR="00DC2476">
        <w:rPr>
          <w:rFonts w:ascii="Times New Roman" w:hAnsi="Times New Roman"/>
          <w:sz w:val="24"/>
        </w:rPr>
        <w:t>plus</w:t>
      </w:r>
      <w:r w:rsidRPr="00EE1371">
        <w:rPr>
          <w:rFonts w:ascii="Times New Roman" w:hAnsi="Times New Roman"/>
          <w:sz w:val="24"/>
        </w:rPr>
        <w:t xml:space="preserve"> important.</w:t>
      </w:r>
      <w:r>
        <w:rPr>
          <w:rFonts w:ascii="Times New Roman" w:hAnsi="Times New Roman"/>
          <w:sz w:val="24"/>
        </w:rPr>
        <w:t xml:space="preserve"> </w:t>
      </w:r>
    </w:p>
    <w:p w:rsidR="008064D7" w:rsidRPr="001547AC" w:rsidRDefault="008064D7" w:rsidP="00593471">
      <w:pPr>
        <w:pStyle w:val="Paragraphedeliste"/>
        <w:spacing w:line="240" w:lineRule="auto"/>
        <w:ind w:left="786"/>
        <w:rPr>
          <w:rFonts w:ascii="Times New Roman" w:hAnsi="Times New Roman"/>
          <w:sz w:val="24"/>
        </w:rPr>
      </w:pPr>
    </w:p>
    <w:p w:rsidR="008064D7" w:rsidRPr="0047593D" w:rsidRDefault="00DC2476" w:rsidP="00DC2476">
      <w:pPr>
        <w:pStyle w:val="Titre2"/>
        <w:numPr>
          <w:ilvl w:val="2"/>
          <w:numId w:val="14"/>
        </w:numPr>
        <w:spacing w:before="0" w:line="240" w:lineRule="auto"/>
        <w:ind w:left="1418" w:hanging="425"/>
        <w:rPr>
          <w:rFonts w:ascii="Times New Roman" w:hAnsi="Times New Roman" w:cs="Times New Roman"/>
        </w:rPr>
      </w:pPr>
      <w:bookmarkStart w:id="22" w:name="_Toc55407468"/>
      <w:r>
        <w:rPr>
          <w:rFonts w:ascii="Times New Roman" w:hAnsi="Times New Roman" w:cs="Times New Roman"/>
        </w:rPr>
        <w:t xml:space="preserve">Test du </w:t>
      </w:r>
      <w:r>
        <w:rPr>
          <w:rFonts w:ascii="Times New Roman" w:hAnsi="Times New Roman" w:cs="Times New Roman"/>
          <w:i/>
        </w:rPr>
        <w:t>Best interest of creditors</w:t>
      </w:r>
      <w:r>
        <w:rPr>
          <w:rFonts w:ascii="Times New Roman" w:hAnsi="Times New Roman" w:cs="Times New Roman"/>
        </w:rPr>
        <w:t xml:space="preserve"> en droit Américain</w:t>
      </w:r>
      <w:bookmarkEnd w:id="22"/>
    </w:p>
    <w:p w:rsidR="008064D7" w:rsidRPr="002053C5" w:rsidRDefault="008064D7" w:rsidP="00DC2476">
      <w:pPr>
        <w:spacing w:line="240" w:lineRule="auto"/>
        <w:rPr>
          <w:lang w:val="en-US"/>
        </w:rPr>
      </w:pPr>
    </w:p>
    <w:p w:rsidR="00DC2476" w:rsidRDefault="00DC2476" w:rsidP="00DC2476">
      <w:pPr>
        <w:pStyle w:val="Paragraphedeliste"/>
        <w:numPr>
          <w:ilvl w:val="0"/>
          <w:numId w:val="2"/>
        </w:numPr>
        <w:spacing w:line="240" w:lineRule="auto"/>
        <w:rPr>
          <w:rFonts w:ascii="Times New Roman" w:hAnsi="Times New Roman"/>
          <w:sz w:val="24"/>
        </w:rPr>
      </w:pPr>
      <w:r>
        <w:rPr>
          <w:rFonts w:ascii="Times New Roman" w:hAnsi="Times New Roman"/>
          <w:sz w:val="24"/>
          <w:u w:val="single"/>
        </w:rPr>
        <w:t>Origine.</w:t>
      </w:r>
      <w:r w:rsidR="008064D7">
        <w:rPr>
          <w:rFonts w:ascii="Times New Roman" w:hAnsi="Times New Roman"/>
          <w:sz w:val="24"/>
        </w:rPr>
        <w:t xml:space="preserve"> Le test provient </w:t>
      </w:r>
      <w:r>
        <w:rPr>
          <w:rFonts w:ascii="Times New Roman" w:hAnsi="Times New Roman"/>
          <w:sz w:val="24"/>
        </w:rPr>
        <w:t xml:space="preserve">des origines du droit de l’insolvabilité et, en particulier, dans les </w:t>
      </w:r>
      <w:r w:rsidR="008064D7">
        <w:rPr>
          <w:rFonts w:ascii="Times New Roman" w:hAnsi="Times New Roman"/>
          <w:sz w:val="24"/>
        </w:rPr>
        <w:t xml:space="preserve">lois de 1898 et de 1394 </w:t>
      </w:r>
      <w:r>
        <w:rPr>
          <w:rFonts w:ascii="Times New Roman" w:hAnsi="Times New Roman"/>
          <w:sz w:val="24"/>
        </w:rPr>
        <w:t>ainsi que</w:t>
      </w:r>
      <w:r w:rsidR="008064D7">
        <w:rPr>
          <w:rFonts w:ascii="Times New Roman" w:hAnsi="Times New Roman"/>
          <w:sz w:val="24"/>
        </w:rPr>
        <w:t xml:space="preserve"> des arrêts </w:t>
      </w:r>
      <w:r>
        <w:rPr>
          <w:rFonts w:ascii="Times New Roman" w:hAnsi="Times New Roman"/>
          <w:sz w:val="24"/>
        </w:rPr>
        <w:t xml:space="preserve">de la Cour Suprême </w:t>
      </w:r>
      <w:r w:rsidR="008064D7">
        <w:rPr>
          <w:rFonts w:ascii="Times New Roman" w:hAnsi="Times New Roman"/>
          <w:sz w:val="24"/>
        </w:rPr>
        <w:t>antérieurs à 1978</w:t>
      </w:r>
      <w:r w:rsidR="008064D7">
        <w:rPr>
          <w:rStyle w:val="Appelnotedebasdep"/>
          <w:rFonts w:ascii="Times New Roman" w:hAnsi="Times New Roman"/>
          <w:sz w:val="24"/>
        </w:rPr>
        <w:footnoteReference w:id="211"/>
      </w:r>
      <w:r w:rsidR="008064D7">
        <w:rPr>
          <w:rFonts w:ascii="Times New Roman" w:hAnsi="Times New Roman"/>
          <w:sz w:val="24"/>
        </w:rPr>
        <w:t xml:space="preserve">. </w:t>
      </w:r>
    </w:p>
    <w:p w:rsidR="00DC2476" w:rsidRDefault="00DC2476" w:rsidP="00DC2476">
      <w:pPr>
        <w:pStyle w:val="Paragraphedeliste"/>
        <w:spacing w:line="240" w:lineRule="auto"/>
        <w:ind w:left="786"/>
        <w:rPr>
          <w:rFonts w:ascii="Times New Roman" w:hAnsi="Times New Roman"/>
          <w:sz w:val="24"/>
          <w:u w:val="single"/>
        </w:rPr>
      </w:pPr>
    </w:p>
    <w:p w:rsidR="008064D7" w:rsidRDefault="008064D7" w:rsidP="00DC2476">
      <w:pPr>
        <w:pStyle w:val="Paragraphedeliste"/>
        <w:spacing w:line="240" w:lineRule="auto"/>
        <w:ind w:left="786"/>
        <w:rPr>
          <w:rFonts w:ascii="Times New Roman" w:hAnsi="Times New Roman"/>
          <w:sz w:val="24"/>
        </w:rPr>
      </w:pPr>
      <w:r>
        <w:rPr>
          <w:rFonts w:ascii="Times New Roman" w:hAnsi="Times New Roman"/>
          <w:sz w:val="24"/>
        </w:rPr>
        <w:t>Le congrès</w:t>
      </w:r>
      <w:r w:rsidR="00DC2476">
        <w:rPr>
          <w:rFonts w:ascii="Times New Roman" w:hAnsi="Times New Roman"/>
          <w:sz w:val="24"/>
        </w:rPr>
        <w:t>,</w:t>
      </w:r>
      <w:r>
        <w:rPr>
          <w:rFonts w:ascii="Times New Roman" w:hAnsi="Times New Roman"/>
          <w:sz w:val="24"/>
        </w:rPr>
        <w:t xml:space="preserve"> lors de la réforme de 1978</w:t>
      </w:r>
      <w:r w:rsidR="00DC2476">
        <w:rPr>
          <w:rFonts w:ascii="Times New Roman" w:hAnsi="Times New Roman"/>
          <w:sz w:val="24"/>
        </w:rPr>
        <w:t>,</w:t>
      </w:r>
      <w:r>
        <w:rPr>
          <w:rFonts w:ascii="Times New Roman" w:hAnsi="Times New Roman"/>
          <w:sz w:val="24"/>
        </w:rPr>
        <w:t xml:space="preserve"> soutint la nécessité du maintien de cette règle à ses yeux essentielle </w:t>
      </w:r>
      <w:r>
        <w:rPr>
          <w:rStyle w:val="Appelnotedebasdep"/>
          <w:rFonts w:ascii="Times New Roman" w:hAnsi="Times New Roman"/>
          <w:sz w:val="24"/>
        </w:rPr>
        <w:footnoteReference w:id="212"/>
      </w:r>
      <w:r w:rsidR="00DC2476">
        <w:rPr>
          <w:rFonts w:ascii="Times New Roman" w:hAnsi="Times New Roman"/>
          <w:sz w:val="24"/>
        </w:rPr>
        <w:t>. C’est lui qui a</w:t>
      </w:r>
      <w:r>
        <w:rPr>
          <w:rFonts w:ascii="Times New Roman" w:hAnsi="Times New Roman"/>
          <w:sz w:val="24"/>
        </w:rPr>
        <w:t xml:space="preserve"> mis </w:t>
      </w:r>
      <w:r w:rsidR="00DC2476">
        <w:rPr>
          <w:rFonts w:ascii="Times New Roman" w:hAnsi="Times New Roman"/>
          <w:sz w:val="24"/>
        </w:rPr>
        <w:t xml:space="preserve">cette notion </w:t>
      </w:r>
      <w:r>
        <w:rPr>
          <w:rFonts w:ascii="Times New Roman" w:hAnsi="Times New Roman"/>
          <w:sz w:val="24"/>
        </w:rPr>
        <w:t>en lien avec la règle de priorité absolue qui</w:t>
      </w:r>
      <w:r w:rsidR="00DC2476">
        <w:rPr>
          <w:rFonts w:ascii="Times New Roman" w:hAnsi="Times New Roman"/>
          <w:sz w:val="24"/>
        </w:rPr>
        <w:t>,</w:t>
      </w:r>
      <w:r>
        <w:rPr>
          <w:rFonts w:ascii="Times New Roman" w:hAnsi="Times New Roman"/>
          <w:sz w:val="24"/>
        </w:rPr>
        <w:t xml:space="preserve"> elle</w:t>
      </w:r>
      <w:r w:rsidR="00DC2476">
        <w:rPr>
          <w:rFonts w:ascii="Times New Roman" w:hAnsi="Times New Roman"/>
          <w:sz w:val="24"/>
        </w:rPr>
        <w:t>,</w:t>
      </w:r>
      <w:r>
        <w:rPr>
          <w:rFonts w:ascii="Times New Roman" w:hAnsi="Times New Roman"/>
          <w:sz w:val="24"/>
        </w:rPr>
        <w:t xml:space="preserve"> prenait en compte la valeur </w:t>
      </w:r>
      <w:r w:rsidRPr="007C17D3">
        <w:rPr>
          <w:rFonts w:ascii="Times New Roman" w:hAnsi="Times New Roman"/>
          <w:i/>
          <w:sz w:val="24"/>
        </w:rPr>
        <w:t>going-concern</w:t>
      </w:r>
      <w:r>
        <w:rPr>
          <w:rFonts w:ascii="Times New Roman" w:hAnsi="Times New Roman"/>
          <w:sz w:val="24"/>
        </w:rPr>
        <w:t xml:space="preserve"> dans un traitement « </w:t>
      </w:r>
      <w:r w:rsidRPr="00DC1382">
        <w:rPr>
          <w:rFonts w:ascii="Times New Roman" w:hAnsi="Times New Roman"/>
          <w:i/>
          <w:sz w:val="24"/>
        </w:rPr>
        <w:t>Fair &amp; equitable</w:t>
      </w:r>
      <w:r>
        <w:rPr>
          <w:rFonts w:ascii="Times New Roman" w:hAnsi="Times New Roman"/>
          <w:sz w:val="24"/>
        </w:rPr>
        <w:t> »</w:t>
      </w:r>
      <w:r w:rsidR="00DC2476">
        <w:rPr>
          <w:rFonts w:ascii="Times New Roman" w:hAnsi="Times New Roman"/>
          <w:sz w:val="24"/>
        </w:rPr>
        <w:t>.</w:t>
      </w:r>
      <w:r>
        <w:rPr>
          <w:rFonts w:ascii="Times New Roman" w:hAnsi="Times New Roman"/>
          <w:sz w:val="24"/>
        </w:rPr>
        <w:t xml:space="preserve"> L’idée était que les créanciers devaient au moins recevoir autant qu’en chapitre 7, le surplus jusqu’à la valeur </w:t>
      </w:r>
      <w:r w:rsidRPr="007C17D3">
        <w:rPr>
          <w:rFonts w:ascii="Times New Roman" w:hAnsi="Times New Roman"/>
          <w:i/>
          <w:sz w:val="24"/>
        </w:rPr>
        <w:t>going-concern</w:t>
      </w:r>
      <w:r>
        <w:rPr>
          <w:rFonts w:ascii="Times New Roman" w:hAnsi="Times New Roman"/>
          <w:sz w:val="24"/>
        </w:rPr>
        <w:t xml:space="preserve"> étant attribué par un vote démocratique aux créanciers</w:t>
      </w:r>
      <w:r>
        <w:rPr>
          <w:rStyle w:val="Appelnotedebasdep"/>
          <w:rFonts w:ascii="Times New Roman" w:hAnsi="Times New Roman"/>
          <w:sz w:val="24"/>
        </w:rPr>
        <w:footnoteReference w:id="213"/>
      </w:r>
      <w:r w:rsidR="00DC2476">
        <w:rPr>
          <w:rFonts w:ascii="Times New Roman" w:hAnsi="Times New Roman"/>
          <w:sz w:val="24"/>
        </w:rPr>
        <w:t>.</w:t>
      </w:r>
    </w:p>
    <w:p w:rsidR="008064D7" w:rsidRDefault="008064D7" w:rsidP="00593471">
      <w:pPr>
        <w:spacing w:line="240" w:lineRule="auto"/>
        <w:ind w:left="708"/>
        <w:rPr>
          <w:rFonts w:ascii="Times New Roman" w:hAnsi="Times New Roman"/>
          <w:sz w:val="24"/>
        </w:rPr>
      </w:pPr>
    </w:p>
    <w:p w:rsidR="008064D7" w:rsidRDefault="00DC2476" w:rsidP="00DC2476">
      <w:pPr>
        <w:pStyle w:val="Paragraphedeliste"/>
        <w:numPr>
          <w:ilvl w:val="0"/>
          <w:numId w:val="2"/>
        </w:numPr>
        <w:spacing w:line="240" w:lineRule="auto"/>
        <w:rPr>
          <w:rFonts w:ascii="Times New Roman" w:hAnsi="Times New Roman"/>
          <w:sz w:val="24"/>
        </w:rPr>
      </w:pPr>
      <w:r w:rsidRPr="00DC2476">
        <w:rPr>
          <w:rFonts w:ascii="Times New Roman" w:hAnsi="Times New Roman"/>
          <w:sz w:val="24"/>
          <w:u w:val="single"/>
        </w:rPr>
        <w:t>Concept actuel</w:t>
      </w:r>
      <w:r>
        <w:rPr>
          <w:rFonts w:ascii="Times New Roman" w:hAnsi="Times New Roman"/>
          <w:sz w:val="24"/>
        </w:rPr>
        <w:t xml:space="preserve">. </w:t>
      </w:r>
      <w:r w:rsidR="008064D7">
        <w:rPr>
          <w:rFonts w:ascii="Times New Roman" w:hAnsi="Times New Roman"/>
          <w:sz w:val="24"/>
        </w:rPr>
        <w:t xml:space="preserve">Le concept </w:t>
      </w:r>
      <w:r>
        <w:rPr>
          <w:rFonts w:ascii="Times New Roman" w:hAnsi="Times New Roman"/>
          <w:sz w:val="24"/>
        </w:rPr>
        <w:t>actuel</w:t>
      </w:r>
      <w:r w:rsidR="008064D7">
        <w:rPr>
          <w:rStyle w:val="Appelnotedebasdep"/>
          <w:rFonts w:ascii="Times New Roman" w:hAnsi="Times New Roman"/>
          <w:sz w:val="24"/>
        </w:rPr>
        <w:footnoteReference w:id="214"/>
      </w:r>
      <w:r w:rsidR="008064D7">
        <w:rPr>
          <w:rFonts w:ascii="Times New Roman" w:hAnsi="Times New Roman"/>
          <w:sz w:val="24"/>
        </w:rPr>
        <w:t xml:space="preserve"> prévoit que chaque créancier doit recevoir au moins autant en réorganisation que ce qu’il aurait reçu en faillite » Aucune des composante de la liquidation est exclue du calcul et du débat et tous les éléments doivent être soumis au débats et produit.</w:t>
      </w:r>
      <w:r w:rsidR="008064D7">
        <w:rPr>
          <w:rStyle w:val="Appelnotedebasdep"/>
          <w:rFonts w:ascii="Times New Roman" w:hAnsi="Times New Roman"/>
          <w:sz w:val="24"/>
        </w:rPr>
        <w:footnoteReference w:id="215"/>
      </w:r>
      <w:r w:rsidR="008064D7">
        <w:rPr>
          <w:rFonts w:ascii="Times New Roman" w:hAnsi="Times New Roman"/>
          <w:sz w:val="24"/>
        </w:rPr>
        <w:t xml:space="preserve"> </w:t>
      </w:r>
    </w:p>
    <w:p w:rsidR="008064D7" w:rsidRDefault="008064D7" w:rsidP="00593471">
      <w:pPr>
        <w:spacing w:line="240" w:lineRule="auto"/>
        <w:ind w:left="708"/>
        <w:rPr>
          <w:rFonts w:ascii="Times New Roman" w:hAnsi="Times New Roman"/>
          <w:sz w:val="24"/>
        </w:rPr>
      </w:pPr>
    </w:p>
    <w:p w:rsidR="00DC2476" w:rsidRDefault="008064D7" w:rsidP="00DC2476">
      <w:pPr>
        <w:spacing w:line="240" w:lineRule="auto"/>
        <w:ind w:left="708"/>
        <w:rPr>
          <w:rFonts w:ascii="Times New Roman" w:hAnsi="Times New Roman"/>
          <w:sz w:val="24"/>
        </w:rPr>
      </w:pPr>
      <w:r>
        <w:rPr>
          <w:rFonts w:ascii="Times New Roman" w:hAnsi="Times New Roman"/>
          <w:sz w:val="24"/>
        </w:rPr>
        <w:t>Une analyse en détail au départ de la situation de WORLDCOM est reprise dans une intéressante étude</w:t>
      </w:r>
      <w:r>
        <w:rPr>
          <w:rStyle w:val="Appelnotedebasdep"/>
          <w:rFonts w:ascii="Times New Roman" w:hAnsi="Times New Roman"/>
          <w:sz w:val="24"/>
        </w:rPr>
        <w:footnoteReference w:id="216"/>
      </w:r>
      <w:r>
        <w:rPr>
          <w:rFonts w:ascii="Times New Roman" w:hAnsi="Times New Roman"/>
          <w:sz w:val="24"/>
        </w:rPr>
        <w:t xml:space="preserve"> pour montrer toute la difficulté de l’exercice et ses conséquences et pour fonder une approche moderne du test. Le test protège </w:t>
      </w:r>
      <w:r w:rsidR="00DC2476">
        <w:rPr>
          <w:rFonts w:ascii="Times New Roman" w:hAnsi="Times New Roman"/>
          <w:sz w:val="24"/>
        </w:rPr>
        <w:t>les minorités</w:t>
      </w:r>
      <w:r>
        <w:rPr>
          <w:rFonts w:ascii="Times New Roman" w:hAnsi="Times New Roman"/>
          <w:sz w:val="24"/>
        </w:rPr>
        <w:t xml:space="preserve"> puisqu’aucune ne pourrait </w:t>
      </w:r>
      <w:r w:rsidRPr="00DC2476">
        <w:rPr>
          <w:rFonts w:ascii="Times New Roman" w:hAnsi="Times New Roman"/>
          <w:sz w:val="24"/>
          <w:u w:val="single"/>
        </w:rPr>
        <w:t>avoir moins</w:t>
      </w:r>
      <w:r>
        <w:rPr>
          <w:rFonts w:ascii="Times New Roman" w:hAnsi="Times New Roman"/>
          <w:sz w:val="24"/>
        </w:rPr>
        <w:t xml:space="preserve"> que la liquidation en laissant à la majorité le soin </w:t>
      </w:r>
      <w:r>
        <w:rPr>
          <w:rFonts w:ascii="Times New Roman" w:hAnsi="Times New Roman"/>
          <w:sz w:val="24"/>
        </w:rPr>
        <w:lastRenderedPageBreak/>
        <w:t>d’arbitrer la différence. Le test est complété par le test « </w:t>
      </w:r>
      <w:r w:rsidRPr="007C17D3">
        <w:rPr>
          <w:rFonts w:ascii="Times New Roman" w:hAnsi="Times New Roman"/>
          <w:i/>
          <w:sz w:val="24"/>
        </w:rPr>
        <w:t>Fair</w:t>
      </w:r>
      <w:r>
        <w:rPr>
          <w:rFonts w:ascii="Times New Roman" w:hAnsi="Times New Roman"/>
          <w:sz w:val="24"/>
        </w:rPr>
        <w:t xml:space="preserve"> &amp; equitable » et par le test de « </w:t>
      </w:r>
      <w:r w:rsidRPr="00DC2476">
        <w:rPr>
          <w:rFonts w:ascii="Times New Roman" w:hAnsi="Times New Roman"/>
          <w:i/>
          <w:sz w:val="24"/>
        </w:rPr>
        <w:t>faisability</w:t>
      </w:r>
      <w:r>
        <w:rPr>
          <w:rFonts w:ascii="Times New Roman" w:hAnsi="Times New Roman"/>
          <w:sz w:val="24"/>
        </w:rPr>
        <w:t> »</w:t>
      </w:r>
      <w:r w:rsidR="00DC2476">
        <w:rPr>
          <w:rFonts w:ascii="Times New Roman" w:hAnsi="Times New Roman"/>
          <w:sz w:val="24"/>
        </w:rPr>
        <w:t xml:space="preserve"> que nous examinons ci-après.</w:t>
      </w:r>
    </w:p>
    <w:p w:rsidR="00DC2476" w:rsidRDefault="00DC2476" w:rsidP="00DC2476">
      <w:pPr>
        <w:spacing w:line="240" w:lineRule="auto"/>
        <w:ind w:left="708"/>
        <w:rPr>
          <w:rFonts w:ascii="Times New Roman" w:hAnsi="Times New Roman"/>
          <w:sz w:val="24"/>
        </w:rPr>
      </w:pPr>
    </w:p>
    <w:p w:rsidR="008064D7" w:rsidRPr="00DC2476" w:rsidRDefault="00DC2476" w:rsidP="00DC2476">
      <w:pPr>
        <w:pStyle w:val="Titre2"/>
        <w:numPr>
          <w:ilvl w:val="2"/>
          <w:numId w:val="14"/>
        </w:numPr>
        <w:spacing w:before="0" w:line="240" w:lineRule="auto"/>
        <w:ind w:left="1418" w:hanging="425"/>
        <w:rPr>
          <w:rFonts w:ascii="Times New Roman" w:hAnsi="Times New Roman" w:cs="Times New Roman"/>
        </w:rPr>
      </w:pPr>
      <w:bookmarkStart w:id="23" w:name="_Toc55407469"/>
      <w:r w:rsidRPr="00DC2476">
        <w:rPr>
          <w:rFonts w:ascii="Times New Roman" w:hAnsi="Times New Roman" w:cs="Times New Roman"/>
        </w:rPr>
        <w:t>Synthèse provisoire</w:t>
      </w:r>
      <w:bookmarkEnd w:id="23"/>
      <w:r w:rsidR="008064D7" w:rsidRPr="00DC2476">
        <w:rPr>
          <w:rFonts w:ascii="Times New Roman" w:hAnsi="Times New Roman" w:cs="Times New Roman"/>
        </w:rPr>
        <w:t xml:space="preserve"> </w:t>
      </w:r>
    </w:p>
    <w:p w:rsidR="008064D7" w:rsidRDefault="008064D7" w:rsidP="004F5442">
      <w:pPr>
        <w:pStyle w:val="Paragraphedeliste"/>
        <w:spacing w:after="160" w:line="254" w:lineRule="auto"/>
        <w:rPr>
          <w:rFonts w:ascii="Times New Roman" w:hAnsi="Times New Roman"/>
          <w:sz w:val="24"/>
        </w:rPr>
      </w:pPr>
    </w:p>
    <w:p w:rsidR="008064D7" w:rsidRDefault="00DC2476" w:rsidP="00DC2476">
      <w:pPr>
        <w:pStyle w:val="Paragraphedeliste"/>
        <w:numPr>
          <w:ilvl w:val="0"/>
          <w:numId w:val="2"/>
        </w:numPr>
        <w:spacing w:line="240" w:lineRule="auto"/>
        <w:rPr>
          <w:rFonts w:ascii="Times New Roman" w:hAnsi="Times New Roman"/>
          <w:sz w:val="24"/>
        </w:rPr>
      </w:pPr>
      <w:r w:rsidRPr="00DC2476">
        <w:rPr>
          <w:rFonts w:ascii="Times New Roman" w:hAnsi="Times New Roman"/>
          <w:sz w:val="24"/>
          <w:u w:val="single"/>
        </w:rPr>
        <w:t>Effet sur le vote des créances dans la directive</w:t>
      </w:r>
      <w:r>
        <w:rPr>
          <w:rFonts w:ascii="Times New Roman" w:hAnsi="Times New Roman"/>
          <w:sz w:val="24"/>
        </w:rPr>
        <w:t xml:space="preserve">. Si les créanciers non-garantis et, en particulier, les subordonnés et les chirographaires auront intérêt à augmenter la valeur de liquidation car, ce </w:t>
      </w:r>
      <w:r w:rsidR="001233A4">
        <w:rPr>
          <w:rFonts w:ascii="Times New Roman" w:hAnsi="Times New Roman"/>
          <w:sz w:val="24"/>
        </w:rPr>
        <w:t>faisant</w:t>
      </w:r>
      <w:r>
        <w:rPr>
          <w:rFonts w:ascii="Times New Roman" w:hAnsi="Times New Roman"/>
          <w:sz w:val="24"/>
        </w:rPr>
        <w:t>, ils feront échouer le plan qui ne leur attribue pas au moins l’éventuelle part et portion dans ce dernier</w:t>
      </w:r>
      <w:r w:rsidR="001233A4">
        <w:rPr>
          <w:rFonts w:ascii="Times New Roman" w:hAnsi="Times New Roman"/>
          <w:sz w:val="24"/>
        </w:rPr>
        <w:t xml:space="preserve">. Les garantis n’auront pas intérêt à augmenter cette valeur, car tout ce qui sera attribué aux non-garantis diminuera la capacité à leur attribuer de la valeur. L’effet est différent que pour la valeur going-concern qui est utilisée dans un seul cas – si les garantis ne votent pas le plan et seulement – dans la directive, pour déterminer si une classe de créanciers est utilisable pour valider et appliquer interclasse le plan. Ici, le plan </w:t>
      </w:r>
      <w:r w:rsidR="00533A3F">
        <w:rPr>
          <w:rFonts w:ascii="Times New Roman" w:hAnsi="Times New Roman"/>
          <w:sz w:val="24"/>
        </w:rPr>
        <w:t>sera</w:t>
      </w:r>
      <w:r w:rsidR="001233A4">
        <w:rPr>
          <w:rFonts w:ascii="Times New Roman" w:hAnsi="Times New Roman"/>
          <w:sz w:val="24"/>
        </w:rPr>
        <w:t xml:space="preserve"> refusé si chaque créancier n’a pas la valeur de liquidation </w:t>
      </w:r>
      <w:r w:rsidR="001233A4">
        <w:rPr>
          <w:rFonts w:ascii="Times New Roman" w:hAnsi="Times New Roman"/>
          <w:sz w:val="24"/>
          <w:u w:val="single"/>
        </w:rPr>
        <w:t>estimée</w:t>
      </w:r>
      <w:r w:rsidR="001233A4">
        <w:rPr>
          <w:rFonts w:ascii="Times New Roman" w:hAnsi="Times New Roman"/>
          <w:sz w:val="24"/>
        </w:rPr>
        <w:t xml:space="preserve">. </w:t>
      </w:r>
      <w:r w:rsidR="00756D04">
        <w:rPr>
          <w:rFonts w:ascii="Times New Roman" w:hAnsi="Times New Roman"/>
          <w:sz w:val="24"/>
        </w:rPr>
        <w:t>S’il soutient que tel n’est pas le cas, le refus du plan lui apportera la valeur réalisée. Mais ce créancier a, dans ce cas, un pouvoir individuel.</w:t>
      </w:r>
    </w:p>
    <w:p w:rsidR="00756D04" w:rsidRDefault="00756D04" w:rsidP="00756D04">
      <w:pPr>
        <w:pStyle w:val="Paragraphedeliste"/>
        <w:spacing w:line="240" w:lineRule="auto"/>
        <w:ind w:left="786"/>
        <w:rPr>
          <w:rFonts w:ascii="Times New Roman" w:hAnsi="Times New Roman"/>
          <w:sz w:val="24"/>
        </w:rPr>
      </w:pPr>
    </w:p>
    <w:p w:rsidR="00756D04" w:rsidRPr="00756D04" w:rsidRDefault="00756D04" w:rsidP="00DC2476">
      <w:pPr>
        <w:pStyle w:val="Paragraphedeliste"/>
        <w:numPr>
          <w:ilvl w:val="0"/>
          <w:numId w:val="2"/>
        </w:numPr>
        <w:spacing w:line="240" w:lineRule="auto"/>
        <w:rPr>
          <w:rFonts w:ascii="Times New Roman" w:hAnsi="Times New Roman"/>
          <w:sz w:val="24"/>
        </w:rPr>
      </w:pPr>
      <w:r w:rsidRPr="00756D04">
        <w:rPr>
          <w:rFonts w:ascii="Times New Roman" w:hAnsi="Times New Roman"/>
          <w:sz w:val="24"/>
        </w:rPr>
        <w:t xml:space="preserve">La loi de transposition devrait contenir des notions utiles à la mise en œuvre de cette disposition. </w:t>
      </w:r>
    </w:p>
    <w:p w:rsidR="00756D04" w:rsidRPr="00756D04" w:rsidRDefault="00756D04" w:rsidP="00756D04">
      <w:pPr>
        <w:pStyle w:val="Paragraphedeliste"/>
        <w:spacing w:line="240" w:lineRule="auto"/>
        <w:ind w:left="786"/>
        <w:rPr>
          <w:rFonts w:ascii="Times New Roman" w:hAnsi="Times New Roman"/>
          <w:sz w:val="24"/>
        </w:rPr>
      </w:pPr>
    </w:p>
    <w:p w:rsidR="008064D7" w:rsidRPr="00505B92" w:rsidRDefault="008064D7" w:rsidP="004F5442">
      <w:pPr>
        <w:pStyle w:val="Paragraphedeliste"/>
        <w:ind w:left="567"/>
        <w:rPr>
          <w:rFonts w:ascii="Times New Roman" w:hAnsi="Times New Roman"/>
          <w:sz w:val="24"/>
        </w:rPr>
      </w:pPr>
    </w:p>
    <w:p w:rsidR="00DC2476" w:rsidRDefault="00DC2476">
      <w:pPr>
        <w:spacing w:after="160" w:line="259" w:lineRule="auto"/>
        <w:jc w:val="left"/>
        <w:rPr>
          <w:rFonts w:ascii="Times New Roman" w:eastAsiaTheme="majorEastAsia" w:hAnsi="Times New Roman"/>
          <w:color w:val="2E74B5" w:themeColor="accent1" w:themeShade="BF"/>
          <w:sz w:val="32"/>
          <w:szCs w:val="32"/>
          <w14:shadow w14:blurRad="50800" w14:dist="38100" w14:dir="2700000" w14:sx="100000" w14:sy="100000" w14:kx="0" w14:ky="0" w14:algn="tl">
            <w14:srgbClr w14:val="000000">
              <w14:alpha w14:val="60000"/>
            </w14:srgbClr>
          </w14:shadow>
        </w:rPr>
      </w:pPr>
      <w:r>
        <w:rPr>
          <w:rFonts w:ascii="Times New Roman" w:hAnsi="Times New Roman"/>
          <w14:shadow w14:blurRad="50800" w14:dist="38100" w14:dir="2700000" w14:sx="100000" w14:sy="100000" w14:kx="0" w14:ky="0" w14:algn="tl">
            <w14:srgbClr w14:val="000000">
              <w14:alpha w14:val="60000"/>
            </w14:srgbClr>
          </w14:shadow>
        </w:rPr>
        <w:br w:type="page"/>
      </w:r>
    </w:p>
    <w:p w:rsidR="008064D7" w:rsidRDefault="008064D7" w:rsidP="00AB6DD0">
      <w:pPr>
        <w:pStyle w:val="Titre1"/>
        <w:numPr>
          <w:ilvl w:val="0"/>
          <w:numId w:val="5"/>
        </w:numPr>
        <w:spacing w:before="0" w:line="240" w:lineRule="auto"/>
        <w:ind w:left="714" w:hanging="357"/>
        <w:rPr>
          <w:rFonts w:ascii="Times New Roman" w:hAnsi="Times New Roman" w:cs="Times New Roman"/>
          <w14:shadow w14:blurRad="50800" w14:dist="38100" w14:dir="2700000" w14:sx="100000" w14:sy="100000" w14:kx="0" w14:ky="0" w14:algn="tl">
            <w14:srgbClr w14:val="000000">
              <w14:alpha w14:val="60000"/>
            </w14:srgbClr>
          </w14:shadow>
        </w:rPr>
      </w:pPr>
      <w:bookmarkStart w:id="24" w:name="_Toc55407470"/>
      <w:r w:rsidRPr="00B108AD">
        <w:rPr>
          <w:rFonts w:ascii="Times New Roman" w:hAnsi="Times New Roman" w:cs="Times New Roman"/>
          <w14:shadow w14:blurRad="50800" w14:dist="38100" w14:dir="2700000" w14:sx="100000" w14:sy="100000" w14:kx="0" w14:ky="0" w14:algn="tl">
            <w14:srgbClr w14:val="000000">
              <w14:alpha w14:val="60000"/>
            </w14:srgbClr>
          </w14:shadow>
        </w:rPr>
        <w:lastRenderedPageBreak/>
        <w:t xml:space="preserve">Valeur et financement </w:t>
      </w:r>
      <w:r>
        <w:rPr>
          <w:rFonts w:ascii="Times New Roman" w:hAnsi="Times New Roman" w:cs="Times New Roman"/>
          <w14:shadow w14:blurRad="50800" w14:dist="38100" w14:dir="2700000" w14:sx="100000" w14:sy="100000" w14:kx="0" w14:ky="0" w14:algn="tl">
            <w14:srgbClr w14:val="000000">
              <w14:alpha w14:val="60000"/>
            </w14:srgbClr>
          </w14:shadow>
        </w:rPr>
        <w:t>– un nouvel paradigme</w:t>
      </w:r>
      <w:bookmarkEnd w:id="24"/>
      <w:r>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rsidR="00756D04" w:rsidRDefault="00756D04" w:rsidP="00756D04"/>
    <w:p w:rsidR="00756D04" w:rsidRPr="00756D04" w:rsidRDefault="00756D04" w:rsidP="00756D04">
      <w:pPr>
        <w:pStyle w:val="Titre2"/>
        <w:numPr>
          <w:ilvl w:val="0"/>
          <w:numId w:val="43"/>
        </w:numPr>
        <w:spacing w:before="0" w:line="240" w:lineRule="auto"/>
        <w:ind w:left="1134" w:hanging="348"/>
        <w:rPr>
          <w:rFonts w:ascii="Times New Roman" w:hAnsi="Times New Roman" w:cs="Times New Roman"/>
        </w:rPr>
      </w:pPr>
      <w:bookmarkStart w:id="25" w:name="_Toc55407471"/>
      <w:r w:rsidRPr="00756D04">
        <w:rPr>
          <w:rFonts w:ascii="Times New Roman" w:hAnsi="Times New Roman" w:cs="Times New Roman"/>
        </w:rPr>
        <w:t>La position de la question</w:t>
      </w:r>
      <w:bookmarkEnd w:id="25"/>
    </w:p>
    <w:p w:rsidR="008064D7" w:rsidRDefault="008064D7" w:rsidP="00AB6DD0">
      <w:pPr>
        <w:spacing w:line="240" w:lineRule="auto"/>
        <w:ind w:left="786"/>
        <w:rPr>
          <w:rFonts w:ascii="Times New Roman" w:hAnsi="Times New Roman"/>
          <w:sz w:val="24"/>
        </w:rPr>
      </w:pPr>
    </w:p>
    <w:p w:rsidR="00756D04" w:rsidRDefault="00756D04" w:rsidP="00AB6DD0">
      <w:pPr>
        <w:pStyle w:val="Paragraphedeliste"/>
        <w:numPr>
          <w:ilvl w:val="0"/>
          <w:numId w:val="2"/>
        </w:numPr>
        <w:spacing w:line="240" w:lineRule="auto"/>
        <w:rPr>
          <w:rFonts w:ascii="Times New Roman" w:hAnsi="Times New Roman"/>
          <w:sz w:val="24"/>
        </w:rPr>
      </w:pPr>
      <w:r>
        <w:rPr>
          <w:rFonts w:ascii="Times New Roman" w:hAnsi="Times New Roman"/>
          <w:sz w:val="24"/>
        </w:rPr>
        <w:t>Puisque</w:t>
      </w:r>
      <w:r w:rsidR="008064D7">
        <w:rPr>
          <w:rFonts w:ascii="Times New Roman" w:hAnsi="Times New Roman"/>
          <w:sz w:val="24"/>
        </w:rPr>
        <w:t xml:space="preserve"> la procédure laisse le débiteur en possession, il serait</w:t>
      </w:r>
      <w:r>
        <w:rPr>
          <w:rFonts w:ascii="Times New Roman" w:hAnsi="Times New Roman"/>
          <w:sz w:val="24"/>
        </w:rPr>
        <w:t>, en théorie,</w:t>
      </w:r>
      <w:r w:rsidR="008064D7">
        <w:rPr>
          <w:rFonts w:ascii="Times New Roman" w:hAnsi="Times New Roman"/>
          <w:sz w:val="24"/>
        </w:rPr>
        <w:t xml:space="preserve"> normal qu’il puisse continuer à </w:t>
      </w:r>
      <w:r>
        <w:rPr>
          <w:rFonts w:ascii="Times New Roman" w:hAnsi="Times New Roman"/>
          <w:sz w:val="24"/>
        </w:rPr>
        <w:t>se</w:t>
      </w:r>
      <w:r w:rsidR="008064D7">
        <w:rPr>
          <w:rFonts w:ascii="Times New Roman" w:hAnsi="Times New Roman"/>
          <w:sz w:val="24"/>
        </w:rPr>
        <w:t xml:space="preserve"> financer</w:t>
      </w:r>
      <w:r>
        <w:rPr>
          <w:rFonts w:ascii="Times New Roman" w:hAnsi="Times New Roman"/>
          <w:sz w:val="24"/>
        </w:rPr>
        <w:t>,</w:t>
      </w:r>
      <w:r w:rsidR="008064D7">
        <w:rPr>
          <w:rFonts w:ascii="Times New Roman" w:hAnsi="Times New Roman"/>
          <w:sz w:val="24"/>
        </w:rPr>
        <w:t xml:space="preserve"> car le principe même de lui laisser diriger ses </w:t>
      </w:r>
      <w:r w:rsidR="008064D7" w:rsidRPr="007C17D3">
        <w:rPr>
          <w:rFonts w:ascii="Times New Roman" w:hAnsi="Times New Roman"/>
          <w:sz w:val="24"/>
        </w:rPr>
        <w:t>affaire</w:t>
      </w:r>
      <w:r w:rsidR="008064D7">
        <w:rPr>
          <w:rFonts w:ascii="Times New Roman" w:hAnsi="Times New Roman"/>
          <w:sz w:val="24"/>
        </w:rPr>
        <w:t xml:space="preserve">s </w:t>
      </w:r>
      <w:r>
        <w:rPr>
          <w:rFonts w:ascii="Times New Roman" w:hAnsi="Times New Roman"/>
          <w:sz w:val="24"/>
        </w:rPr>
        <w:t>suppose qu’il ait les moyens d’assurer</w:t>
      </w:r>
      <w:r w:rsidR="008064D7">
        <w:rPr>
          <w:rFonts w:ascii="Times New Roman" w:hAnsi="Times New Roman"/>
          <w:sz w:val="24"/>
        </w:rPr>
        <w:t xml:space="preserve"> </w:t>
      </w:r>
      <w:r>
        <w:rPr>
          <w:rFonts w:ascii="Times New Roman" w:hAnsi="Times New Roman"/>
          <w:sz w:val="24"/>
        </w:rPr>
        <w:t>s</w:t>
      </w:r>
      <w:r w:rsidR="008064D7">
        <w:rPr>
          <w:rFonts w:ascii="Times New Roman" w:hAnsi="Times New Roman"/>
          <w:sz w:val="24"/>
        </w:rPr>
        <w:t>a rentabilité ou</w:t>
      </w:r>
      <w:r>
        <w:rPr>
          <w:rFonts w:ascii="Times New Roman" w:hAnsi="Times New Roman"/>
          <w:sz w:val="24"/>
        </w:rPr>
        <w:t xml:space="preserve"> sa</w:t>
      </w:r>
      <w:r w:rsidR="008064D7">
        <w:rPr>
          <w:rFonts w:ascii="Times New Roman" w:hAnsi="Times New Roman"/>
          <w:sz w:val="24"/>
        </w:rPr>
        <w:t xml:space="preserve"> liquidité pendant la période </w:t>
      </w:r>
      <w:r>
        <w:rPr>
          <w:rFonts w:ascii="Times New Roman" w:hAnsi="Times New Roman"/>
          <w:sz w:val="24"/>
        </w:rPr>
        <w:t>de suspension des poursuites</w:t>
      </w:r>
      <w:r w:rsidR="008064D7">
        <w:rPr>
          <w:rFonts w:ascii="Times New Roman" w:hAnsi="Times New Roman"/>
          <w:sz w:val="24"/>
        </w:rPr>
        <w:t xml:space="preserve"> </w:t>
      </w:r>
      <w:r>
        <w:rPr>
          <w:rFonts w:ascii="Times New Roman" w:hAnsi="Times New Roman"/>
          <w:sz w:val="24"/>
        </w:rPr>
        <w:t>pour</w:t>
      </w:r>
      <w:r w:rsidR="008064D7">
        <w:rPr>
          <w:rFonts w:ascii="Times New Roman" w:hAnsi="Times New Roman"/>
          <w:sz w:val="24"/>
        </w:rPr>
        <w:t xml:space="preserve"> créer de la valeur qui servira à payer les créanciers. </w:t>
      </w:r>
    </w:p>
    <w:p w:rsidR="00756D04" w:rsidRDefault="00756D04" w:rsidP="00756D04">
      <w:pPr>
        <w:pStyle w:val="Paragraphedeliste"/>
        <w:spacing w:line="240" w:lineRule="auto"/>
        <w:ind w:left="786"/>
        <w:rPr>
          <w:rFonts w:ascii="Times New Roman" w:hAnsi="Times New Roman"/>
          <w:sz w:val="24"/>
        </w:rPr>
      </w:pPr>
    </w:p>
    <w:p w:rsidR="008064D7" w:rsidRDefault="008064D7" w:rsidP="00756D04">
      <w:pPr>
        <w:pStyle w:val="Paragraphedeliste"/>
        <w:spacing w:line="240" w:lineRule="auto"/>
        <w:ind w:left="786"/>
        <w:rPr>
          <w:rFonts w:ascii="Times New Roman" w:hAnsi="Times New Roman"/>
          <w:sz w:val="24"/>
        </w:rPr>
      </w:pPr>
      <w:r>
        <w:rPr>
          <w:rFonts w:ascii="Times New Roman" w:hAnsi="Times New Roman"/>
          <w:sz w:val="24"/>
        </w:rPr>
        <w:t>Le modèle du débiteur en possession n’</w:t>
      </w:r>
      <w:r w:rsidR="00756D04">
        <w:rPr>
          <w:rFonts w:ascii="Times New Roman" w:hAnsi="Times New Roman"/>
          <w:sz w:val="24"/>
        </w:rPr>
        <w:t>a</w:t>
      </w:r>
      <w:r>
        <w:rPr>
          <w:rFonts w:ascii="Times New Roman" w:hAnsi="Times New Roman"/>
          <w:sz w:val="24"/>
        </w:rPr>
        <w:t xml:space="preserve"> donc de sens que si le débiteur peut financer cette période et d’ailleurs aussi celle qui suit juste la sortie du plan. Or, on sait que le monde financier </w:t>
      </w:r>
      <w:r w:rsidR="002F4FEE">
        <w:rPr>
          <w:rFonts w:ascii="Times New Roman" w:hAnsi="Times New Roman"/>
          <w:sz w:val="24"/>
        </w:rPr>
        <w:t xml:space="preserve">européen et </w:t>
      </w:r>
      <w:r>
        <w:rPr>
          <w:rFonts w:ascii="Times New Roman" w:hAnsi="Times New Roman"/>
          <w:sz w:val="24"/>
        </w:rPr>
        <w:t xml:space="preserve">belge a toujours </w:t>
      </w:r>
      <w:r w:rsidR="00756D04">
        <w:rPr>
          <w:rFonts w:ascii="Times New Roman" w:hAnsi="Times New Roman"/>
          <w:sz w:val="24"/>
        </w:rPr>
        <w:t>exprimé,</w:t>
      </w:r>
      <w:r>
        <w:rPr>
          <w:rFonts w:ascii="Times New Roman" w:hAnsi="Times New Roman"/>
          <w:sz w:val="24"/>
        </w:rPr>
        <w:t xml:space="preserve"> par Febelfin et auprès des gouvernants qui cherchait à améliorer la loi sur l’insolvabilité</w:t>
      </w:r>
      <w:r w:rsidR="002F4FEE">
        <w:rPr>
          <w:rFonts w:ascii="Times New Roman" w:hAnsi="Times New Roman"/>
          <w:sz w:val="24"/>
        </w:rPr>
        <w:t>,</w:t>
      </w:r>
      <w:r>
        <w:rPr>
          <w:rFonts w:ascii="Times New Roman" w:hAnsi="Times New Roman"/>
          <w:sz w:val="24"/>
        </w:rPr>
        <w:t xml:space="preserve"> que selon </w:t>
      </w:r>
      <w:r w:rsidR="002F4FEE">
        <w:rPr>
          <w:rFonts w:ascii="Times New Roman" w:hAnsi="Times New Roman"/>
          <w:sz w:val="24"/>
        </w:rPr>
        <w:t>eux</w:t>
      </w:r>
      <w:r>
        <w:rPr>
          <w:rFonts w:ascii="Times New Roman" w:hAnsi="Times New Roman"/>
          <w:sz w:val="24"/>
        </w:rPr>
        <w:t xml:space="preserve"> le modèle</w:t>
      </w:r>
      <w:r w:rsidR="002F4FEE">
        <w:rPr>
          <w:rFonts w:ascii="Times New Roman" w:hAnsi="Times New Roman"/>
          <w:sz w:val="24"/>
        </w:rPr>
        <w:t xml:space="preserve"> d’un financement durant la procédure</w:t>
      </w:r>
      <w:r>
        <w:rPr>
          <w:rFonts w:ascii="Times New Roman" w:hAnsi="Times New Roman"/>
          <w:sz w:val="24"/>
        </w:rPr>
        <w:t xml:space="preserve"> risquait d’atteindre à </w:t>
      </w:r>
      <w:r w:rsidR="002F4FEE">
        <w:rPr>
          <w:rFonts w:ascii="Times New Roman" w:hAnsi="Times New Roman"/>
          <w:sz w:val="24"/>
        </w:rPr>
        <w:t>leurs</w:t>
      </w:r>
      <w:r>
        <w:rPr>
          <w:rFonts w:ascii="Times New Roman" w:hAnsi="Times New Roman"/>
          <w:sz w:val="24"/>
        </w:rPr>
        <w:t xml:space="preserve"> </w:t>
      </w:r>
      <w:r w:rsidR="00756D04">
        <w:rPr>
          <w:rFonts w:ascii="Times New Roman" w:hAnsi="Times New Roman"/>
          <w:sz w:val="24"/>
        </w:rPr>
        <w:t>intérêts et partant à la finança</w:t>
      </w:r>
      <w:r>
        <w:rPr>
          <w:rFonts w:ascii="Times New Roman" w:hAnsi="Times New Roman"/>
          <w:sz w:val="24"/>
        </w:rPr>
        <w:t xml:space="preserve">bilité </w:t>
      </w:r>
      <w:r w:rsidR="002F4FEE">
        <w:rPr>
          <w:rFonts w:ascii="Times New Roman" w:hAnsi="Times New Roman"/>
          <w:sz w:val="24"/>
        </w:rPr>
        <w:t>des entreprises.</w:t>
      </w:r>
    </w:p>
    <w:p w:rsidR="008064D7" w:rsidRDefault="008064D7" w:rsidP="00FC7384">
      <w:pPr>
        <w:pStyle w:val="Paragraphedeliste"/>
        <w:spacing w:line="240" w:lineRule="auto"/>
        <w:ind w:left="786"/>
        <w:rPr>
          <w:rFonts w:ascii="Times New Roman" w:hAnsi="Times New Roman"/>
          <w:sz w:val="24"/>
          <w:u w:val="single"/>
        </w:rPr>
      </w:pPr>
    </w:p>
    <w:p w:rsidR="002F4FEE" w:rsidRDefault="008064D7" w:rsidP="00FC7384">
      <w:pPr>
        <w:pStyle w:val="Paragraphedeliste"/>
        <w:spacing w:line="240" w:lineRule="auto"/>
        <w:ind w:left="786"/>
        <w:rPr>
          <w:rFonts w:ascii="Times New Roman" w:hAnsi="Times New Roman"/>
          <w:sz w:val="24"/>
        </w:rPr>
      </w:pPr>
      <w:r w:rsidRPr="00FC7384">
        <w:rPr>
          <w:rFonts w:ascii="Times New Roman" w:hAnsi="Times New Roman"/>
          <w:sz w:val="24"/>
        </w:rPr>
        <w:t xml:space="preserve">Le livre XX consacre quelques dispositions aux créanciers de financement </w:t>
      </w:r>
      <w:r>
        <w:rPr>
          <w:rFonts w:ascii="Times New Roman" w:hAnsi="Times New Roman"/>
          <w:sz w:val="24"/>
        </w:rPr>
        <w:t xml:space="preserve">Les créanciers gagiste de registre ou non sont traité par le </w:t>
      </w:r>
      <w:r w:rsidR="002F4FEE">
        <w:rPr>
          <w:rFonts w:ascii="Times New Roman" w:hAnsi="Times New Roman"/>
          <w:sz w:val="24"/>
        </w:rPr>
        <w:t>L</w:t>
      </w:r>
      <w:r>
        <w:rPr>
          <w:rFonts w:ascii="Times New Roman" w:hAnsi="Times New Roman"/>
          <w:sz w:val="24"/>
        </w:rPr>
        <w:t xml:space="preserve">ivre I </w:t>
      </w:r>
      <w:r w:rsidR="002F4FEE">
        <w:rPr>
          <w:rFonts w:ascii="Times New Roman" w:hAnsi="Times New Roman"/>
          <w:sz w:val="24"/>
        </w:rPr>
        <w:t>à l’</w:t>
      </w:r>
      <w:r>
        <w:rPr>
          <w:rFonts w:ascii="Times New Roman" w:hAnsi="Times New Roman"/>
          <w:sz w:val="24"/>
        </w:rPr>
        <w:t xml:space="preserve">article 14 22° comme </w:t>
      </w:r>
      <w:r w:rsidR="002F4FEE">
        <w:rPr>
          <w:rFonts w:ascii="Times New Roman" w:hAnsi="Times New Roman"/>
          <w:sz w:val="24"/>
        </w:rPr>
        <w:t>des créanciers extraordinaires</w:t>
      </w:r>
      <w:r>
        <w:rPr>
          <w:rFonts w:ascii="Times New Roman" w:hAnsi="Times New Roman"/>
          <w:sz w:val="24"/>
        </w:rPr>
        <w:t xml:space="preserve"> à payer en 24 </w:t>
      </w:r>
      <w:r w:rsidR="00756D04">
        <w:rPr>
          <w:rFonts w:ascii="Times New Roman" w:hAnsi="Times New Roman"/>
          <w:sz w:val="24"/>
        </w:rPr>
        <w:t>mois,</w:t>
      </w:r>
      <w:r>
        <w:rPr>
          <w:rFonts w:ascii="Times New Roman" w:hAnsi="Times New Roman"/>
          <w:sz w:val="24"/>
        </w:rPr>
        <w:t xml:space="preserve"> les créanciers </w:t>
      </w:r>
      <w:r w:rsidR="002F4FEE">
        <w:rPr>
          <w:rFonts w:ascii="Times New Roman" w:hAnsi="Times New Roman"/>
          <w:sz w:val="24"/>
        </w:rPr>
        <w:t>ayant</w:t>
      </w:r>
      <w:r>
        <w:rPr>
          <w:rFonts w:ascii="Times New Roman" w:hAnsi="Times New Roman"/>
          <w:sz w:val="24"/>
        </w:rPr>
        <w:t xml:space="preserve"> un gage sur créances spécifiques sont aussi considérés comme extraordinaire</w:t>
      </w:r>
      <w:r w:rsidR="002F4FEE">
        <w:rPr>
          <w:rFonts w:ascii="Times New Roman" w:hAnsi="Times New Roman"/>
          <w:sz w:val="24"/>
        </w:rPr>
        <w:t>s,</w:t>
      </w:r>
      <w:r>
        <w:rPr>
          <w:rFonts w:ascii="Times New Roman" w:hAnsi="Times New Roman"/>
          <w:sz w:val="24"/>
        </w:rPr>
        <w:t xml:space="preserve"> de telle sorte que la valeur de leur sûreté ne sait être atteinte que de leur consentement.</w:t>
      </w:r>
    </w:p>
    <w:p w:rsidR="002F4FEE" w:rsidRDefault="002F4FEE" w:rsidP="00FC7384">
      <w:pPr>
        <w:pStyle w:val="Paragraphedeliste"/>
        <w:spacing w:line="240" w:lineRule="auto"/>
        <w:ind w:left="786"/>
        <w:rPr>
          <w:rFonts w:ascii="Times New Roman" w:hAnsi="Times New Roman"/>
          <w:sz w:val="24"/>
        </w:rPr>
      </w:pPr>
    </w:p>
    <w:p w:rsidR="008064D7" w:rsidRDefault="008064D7" w:rsidP="00FC7384">
      <w:pPr>
        <w:pStyle w:val="Paragraphedeliste"/>
        <w:spacing w:line="240" w:lineRule="auto"/>
        <w:ind w:left="786"/>
        <w:rPr>
          <w:rFonts w:ascii="Times New Roman" w:hAnsi="Times New Roman"/>
          <w:sz w:val="24"/>
        </w:rPr>
      </w:pPr>
      <w:r w:rsidRPr="00FC7384">
        <w:rPr>
          <w:rFonts w:ascii="Times New Roman" w:hAnsi="Times New Roman"/>
          <w:sz w:val="24"/>
        </w:rPr>
        <w:t xml:space="preserve">Le refinancement de l’entreprise en sursis n’est réglé que par l’article XX58 </w:t>
      </w:r>
      <w:r w:rsidR="002F4FEE">
        <w:rPr>
          <w:rFonts w:ascii="Times New Roman" w:hAnsi="Times New Roman"/>
          <w:sz w:val="24"/>
        </w:rPr>
        <w:t>qui reste assez peu utile en fait</w:t>
      </w:r>
      <w:r w:rsidRPr="00FC7384">
        <w:rPr>
          <w:rFonts w:ascii="Times New Roman" w:hAnsi="Times New Roman"/>
          <w:sz w:val="24"/>
        </w:rPr>
        <w:t xml:space="preserve">. </w:t>
      </w:r>
    </w:p>
    <w:p w:rsidR="008064D7" w:rsidRDefault="008064D7" w:rsidP="00FC7384">
      <w:pPr>
        <w:pStyle w:val="Paragraphedeliste"/>
        <w:spacing w:line="240" w:lineRule="auto"/>
        <w:ind w:left="786"/>
        <w:rPr>
          <w:rFonts w:ascii="Times New Roman" w:hAnsi="Times New Roman"/>
          <w:sz w:val="24"/>
        </w:rPr>
      </w:pPr>
    </w:p>
    <w:p w:rsidR="002F4FEE" w:rsidRDefault="002F4FEE" w:rsidP="00FC7384">
      <w:pPr>
        <w:pStyle w:val="Paragraphedeliste"/>
        <w:spacing w:line="240" w:lineRule="auto"/>
        <w:ind w:left="786"/>
        <w:rPr>
          <w:rFonts w:ascii="Times New Roman" w:hAnsi="Times New Roman"/>
          <w:sz w:val="24"/>
        </w:rPr>
      </w:pPr>
      <w:r>
        <w:rPr>
          <w:rFonts w:ascii="Times New Roman" w:hAnsi="Times New Roman"/>
          <w:sz w:val="24"/>
        </w:rPr>
        <w:t>En effet</w:t>
      </w:r>
      <w:r w:rsidR="008064D7">
        <w:rPr>
          <w:rFonts w:ascii="Times New Roman" w:hAnsi="Times New Roman"/>
          <w:sz w:val="24"/>
        </w:rPr>
        <w:t xml:space="preserve">, </w:t>
      </w:r>
      <w:r w:rsidR="008064D7" w:rsidRPr="00FC7384">
        <w:rPr>
          <w:rFonts w:ascii="Times New Roman" w:hAnsi="Times New Roman"/>
          <w:sz w:val="24"/>
        </w:rPr>
        <w:t>il n’y a pas de redressement d’entreprise d’une certaine taille et, en particulier, de grandes entreprises sans financement de la période d’observation et de sortie du plan, que ce soit un financement de campagne, de trésorerie, d’inv</w:t>
      </w:r>
      <w:r>
        <w:rPr>
          <w:rFonts w:ascii="Times New Roman" w:hAnsi="Times New Roman"/>
          <w:sz w:val="24"/>
        </w:rPr>
        <w:t>estissement ou de développement. S</w:t>
      </w:r>
      <w:r w:rsidR="008064D7" w:rsidRPr="00FC7384">
        <w:rPr>
          <w:rFonts w:ascii="Times New Roman" w:hAnsi="Times New Roman"/>
          <w:sz w:val="24"/>
        </w:rPr>
        <w:t xml:space="preserve">ans eux, la valeur de l’entreprise </w:t>
      </w:r>
      <w:r>
        <w:rPr>
          <w:rFonts w:ascii="Times New Roman" w:hAnsi="Times New Roman"/>
          <w:sz w:val="24"/>
        </w:rPr>
        <w:t>pourrait ne plus être faite</w:t>
      </w:r>
      <w:r w:rsidR="008064D7" w:rsidRPr="00FC7384">
        <w:rPr>
          <w:rFonts w:ascii="Times New Roman" w:hAnsi="Times New Roman"/>
          <w:sz w:val="24"/>
        </w:rPr>
        <w:t xml:space="preserve"> en </w:t>
      </w:r>
      <w:r w:rsidR="008064D7" w:rsidRPr="007C17D3">
        <w:rPr>
          <w:rFonts w:ascii="Times New Roman" w:hAnsi="Times New Roman"/>
          <w:i/>
          <w:sz w:val="24"/>
        </w:rPr>
        <w:t>going-concern</w:t>
      </w:r>
      <w:r>
        <w:rPr>
          <w:rFonts w:ascii="Times New Roman" w:hAnsi="Times New Roman"/>
          <w:i/>
          <w:sz w:val="24"/>
        </w:rPr>
        <w:t>,</w:t>
      </w:r>
      <w:r w:rsidR="008064D7" w:rsidRPr="00FC7384">
        <w:rPr>
          <w:rFonts w:ascii="Times New Roman" w:hAnsi="Times New Roman"/>
          <w:sz w:val="24"/>
        </w:rPr>
        <w:t xml:space="preserve"> mais </w:t>
      </w:r>
      <w:r>
        <w:rPr>
          <w:rFonts w:ascii="Times New Roman" w:hAnsi="Times New Roman"/>
          <w:sz w:val="24"/>
        </w:rPr>
        <w:t>probablement</w:t>
      </w:r>
      <w:r w:rsidR="008064D7" w:rsidRPr="00FC7384">
        <w:rPr>
          <w:rFonts w:ascii="Times New Roman" w:hAnsi="Times New Roman"/>
          <w:sz w:val="24"/>
        </w:rPr>
        <w:t xml:space="preserve"> en valeur de liquidation alors qu’avec </w:t>
      </w:r>
      <w:r>
        <w:rPr>
          <w:rFonts w:ascii="Times New Roman" w:hAnsi="Times New Roman"/>
          <w:sz w:val="24"/>
        </w:rPr>
        <w:t>le financement</w:t>
      </w:r>
      <w:r w:rsidR="008064D7" w:rsidRPr="00FC7384">
        <w:rPr>
          <w:rFonts w:ascii="Times New Roman" w:hAnsi="Times New Roman"/>
          <w:sz w:val="24"/>
        </w:rPr>
        <w:t>, une entreprise au bord de la faillite – qui n’a plus qu’une valeur de liquidation</w:t>
      </w:r>
      <w:r>
        <w:rPr>
          <w:rFonts w:ascii="Times New Roman" w:hAnsi="Times New Roman"/>
          <w:sz w:val="24"/>
        </w:rPr>
        <w:t xml:space="preserve"> -</w:t>
      </w:r>
      <w:r w:rsidR="008064D7" w:rsidRPr="00FC7384">
        <w:rPr>
          <w:rFonts w:ascii="Times New Roman" w:hAnsi="Times New Roman"/>
          <w:sz w:val="24"/>
        </w:rPr>
        <w:t xml:space="preserve"> pourrait avoir une valeur </w:t>
      </w:r>
      <w:r w:rsidR="008064D7" w:rsidRPr="007C17D3">
        <w:rPr>
          <w:rFonts w:ascii="Times New Roman" w:hAnsi="Times New Roman"/>
          <w:i/>
          <w:sz w:val="24"/>
        </w:rPr>
        <w:t>going-concern</w:t>
      </w:r>
      <w:r w:rsidR="008064D7" w:rsidRPr="00FC7384">
        <w:rPr>
          <w:rFonts w:ascii="Times New Roman" w:hAnsi="Times New Roman"/>
          <w:sz w:val="24"/>
        </w:rPr>
        <w:t xml:space="preserve">. </w:t>
      </w:r>
    </w:p>
    <w:p w:rsidR="002F4FEE" w:rsidRDefault="002F4FEE" w:rsidP="00FC7384">
      <w:pPr>
        <w:pStyle w:val="Paragraphedeliste"/>
        <w:spacing w:line="240" w:lineRule="auto"/>
        <w:ind w:left="786"/>
        <w:rPr>
          <w:rFonts w:ascii="Times New Roman" w:hAnsi="Times New Roman"/>
          <w:sz w:val="24"/>
        </w:rPr>
      </w:pPr>
    </w:p>
    <w:p w:rsidR="008064D7" w:rsidRPr="00FC7384" w:rsidRDefault="008064D7" w:rsidP="00FC7384">
      <w:pPr>
        <w:pStyle w:val="Paragraphedeliste"/>
        <w:spacing w:line="240" w:lineRule="auto"/>
        <w:ind w:left="786"/>
        <w:rPr>
          <w:rFonts w:ascii="Times New Roman" w:hAnsi="Times New Roman"/>
          <w:sz w:val="24"/>
        </w:rPr>
      </w:pPr>
      <w:r>
        <w:rPr>
          <w:rFonts w:ascii="Times New Roman" w:hAnsi="Times New Roman"/>
          <w:sz w:val="24"/>
        </w:rPr>
        <w:t xml:space="preserve">Dans la pratique, certaines banques et </w:t>
      </w:r>
      <w:r w:rsidRPr="00DC1382">
        <w:rPr>
          <w:rFonts w:ascii="Times New Roman" w:hAnsi="Times New Roman"/>
          <w:i/>
          <w:sz w:val="24"/>
        </w:rPr>
        <w:t>invests</w:t>
      </w:r>
      <w:r>
        <w:rPr>
          <w:rFonts w:ascii="Times New Roman" w:hAnsi="Times New Roman"/>
          <w:sz w:val="24"/>
        </w:rPr>
        <w:t xml:space="preserve"> publics acceptent de négocier</w:t>
      </w:r>
      <w:r w:rsidR="002F4FEE">
        <w:rPr>
          <w:rFonts w:ascii="Times New Roman" w:hAnsi="Times New Roman"/>
          <w:sz w:val="24"/>
        </w:rPr>
        <w:t>,</w:t>
      </w:r>
      <w:r>
        <w:rPr>
          <w:rFonts w:ascii="Times New Roman" w:hAnsi="Times New Roman"/>
          <w:sz w:val="24"/>
        </w:rPr>
        <w:t xml:space="preserve"> durant le sursis</w:t>
      </w:r>
      <w:r w:rsidR="002F4FEE">
        <w:rPr>
          <w:rFonts w:ascii="Times New Roman" w:hAnsi="Times New Roman"/>
          <w:sz w:val="24"/>
        </w:rPr>
        <w:t>,</w:t>
      </w:r>
      <w:r>
        <w:rPr>
          <w:rFonts w:ascii="Times New Roman" w:hAnsi="Times New Roman"/>
          <w:sz w:val="24"/>
        </w:rPr>
        <w:t xml:space="preserve"> la solution de financement qui pourra se déployer à la sortie de la procédure</w:t>
      </w:r>
      <w:r w:rsidR="002F4FEE">
        <w:rPr>
          <w:rFonts w:ascii="Times New Roman" w:hAnsi="Times New Roman"/>
          <w:sz w:val="24"/>
        </w:rPr>
        <w:t>,</w:t>
      </w:r>
      <w:r>
        <w:rPr>
          <w:rFonts w:ascii="Times New Roman" w:hAnsi="Times New Roman"/>
          <w:sz w:val="24"/>
        </w:rPr>
        <w:t xml:space="preserve"> mais rarement ce financement est opérationnel durant le sursis</w:t>
      </w:r>
      <w:r w:rsidR="002F4FEE">
        <w:rPr>
          <w:rFonts w:ascii="Times New Roman" w:hAnsi="Times New Roman"/>
          <w:sz w:val="24"/>
        </w:rPr>
        <w:t>.</w:t>
      </w:r>
      <w:r>
        <w:rPr>
          <w:rFonts w:ascii="Times New Roman" w:hAnsi="Times New Roman"/>
          <w:sz w:val="24"/>
        </w:rPr>
        <w:t xml:space="preserve"> </w:t>
      </w:r>
    </w:p>
    <w:p w:rsidR="008064D7" w:rsidRDefault="008064D7" w:rsidP="00AB6DD0">
      <w:pPr>
        <w:pStyle w:val="Paragraphedeliste"/>
        <w:spacing w:line="240" w:lineRule="auto"/>
        <w:ind w:left="786"/>
        <w:rPr>
          <w:rFonts w:ascii="Times New Roman" w:hAnsi="Times New Roman"/>
          <w:sz w:val="24"/>
        </w:rPr>
      </w:pPr>
    </w:p>
    <w:p w:rsidR="008064D7" w:rsidRDefault="008064D7" w:rsidP="00FC7384">
      <w:pPr>
        <w:pStyle w:val="Paragraphedeliste"/>
        <w:spacing w:line="240" w:lineRule="auto"/>
        <w:ind w:left="786"/>
        <w:rPr>
          <w:rFonts w:ascii="Times New Roman" w:hAnsi="Times New Roman"/>
          <w:sz w:val="24"/>
        </w:rPr>
      </w:pPr>
      <w:r w:rsidRPr="00176ADB">
        <w:rPr>
          <w:rFonts w:ascii="Times New Roman" w:hAnsi="Times New Roman"/>
          <w:sz w:val="24"/>
        </w:rPr>
        <w:t xml:space="preserve">L’entreprise </w:t>
      </w:r>
      <w:r w:rsidR="002F4FEE">
        <w:rPr>
          <w:rFonts w:ascii="Times New Roman" w:hAnsi="Times New Roman"/>
          <w:sz w:val="24"/>
        </w:rPr>
        <w:t>peut espérer compter sur</w:t>
      </w:r>
      <w:r w:rsidRPr="00176ADB">
        <w:rPr>
          <w:rFonts w:ascii="Times New Roman" w:hAnsi="Times New Roman"/>
          <w:sz w:val="24"/>
        </w:rPr>
        <w:t xml:space="preserve"> le factor, lequel dépend des assureurs crédit et du crédit fournisseur. </w:t>
      </w:r>
      <w:r w:rsidR="002F4FEE">
        <w:rPr>
          <w:rFonts w:ascii="Times New Roman" w:hAnsi="Times New Roman"/>
          <w:sz w:val="24"/>
        </w:rPr>
        <w:t>Mais en période de crise, l’assureur crédit retire souvent sa couverture, entraînant l’arrêt du factor. Les fournisseurs ne peuvent plus assurer le financement opérationnel.</w:t>
      </w:r>
    </w:p>
    <w:p w:rsidR="008064D7" w:rsidRDefault="008064D7" w:rsidP="00FC7384">
      <w:pPr>
        <w:pStyle w:val="Paragraphedeliste"/>
        <w:spacing w:line="240" w:lineRule="auto"/>
        <w:ind w:left="786"/>
        <w:rPr>
          <w:rFonts w:ascii="Times New Roman" w:hAnsi="Times New Roman"/>
          <w:sz w:val="24"/>
        </w:rPr>
      </w:pPr>
    </w:p>
    <w:p w:rsidR="008064D7" w:rsidRDefault="002F4FEE" w:rsidP="00FC7384">
      <w:pPr>
        <w:pStyle w:val="Paragraphedeliste"/>
        <w:spacing w:line="240" w:lineRule="auto"/>
        <w:ind w:left="786"/>
        <w:rPr>
          <w:rFonts w:ascii="Times New Roman" w:hAnsi="Times New Roman"/>
          <w:sz w:val="24"/>
        </w:rPr>
      </w:pPr>
      <w:r>
        <w:rPr>
          <w:rFonts w:ascii="Times New Roman" w:hAnsi="Times New Roman"/>
          <w:sz w:val="24"/>
        </w:rPr>
        <w:t>Un</w:t>
      </w:r>
      <w:r w:rsidR="008064D7">
        <w:rPr>
          <w:rFonts w:ascii="Times New Roman" w:hAnsi="Times New Roman"/>
          <w:sz w:val="24"/>
        </w:rPr>
        <w:t xml:space="preserve"> paradigme </w:t>
      </w:r>
      <w:r>
        <w:rPr>
          <w:rFonts w:ascii="Times New Roman" w:hAnsi="Times New Roman"/>
          <w:sz w:val="24"/>
        </w:rPr>
        <w:t xml:space="preserve">nouveau se déduit de la </w:t>
      </w:r>
      <w:r w:rsidR="008064D7">
        <w:rPr>
          <w:rFonts w:ascii="Times New Roman" w:hAnsi="Times New Roman"/>
          <w:sz w:val="24"/>
        </w:rPr>
        <w:t>nouvelle approche</w:t>
      </w:r>
      <w:r>
        <w:rPr>
          <w:rFonts w:ascii="Times New Roman" w:hAnsi="Times New Roman"/>
          <w:sz w:val="24"/>
        </w:rPr>
        <w:t xml:space="preserve"> préconisée par la directive</w:t>
      </w:r>
      <w:r w:rsidR="008064D7">
        <w:rPr>
          <w:rFonts w:ascii="Times New Roman" w:hAnsi="Times New Roman"/>
          <w:sz w:val="24"/>
        </w:rPr>
        <w:t xml:space="preserve"> : si le financement est apporté à l’entreprise, sa valeur augmente et partant </w:t>
      </w:r>
      <w:r>
        <w:rPr>
          <w:rFonts w:ascii="Times New Roman" w:hAnsi="Times New Roman"/>
          <w:sz w:val="24"/>
        </w:rPr>
        <w:t>les droits</w:t>
      </w:r>
      <w:r w:rsidR="008064D7">
        <w:rPr>
          <w:rFonts w:ascii="Times New Roman" w:hAnsi="Times New Roman"/>
          <w:sz w:val="24"/>
        </w:rPr>
        <w:t xml:space="preserve"> des créanciers sécurisé</w:t>
      </w:r>
      <w:r>
        <w:rPr>
          <w:rFonts w:ascii="Times New Roman" w:hAnsi="Times New Roman"/>
          <w:sz w:val="24"/>
        </w:rPr>
        <w:t>s</w:t>
      </w:r>
      <w:r w:rsidR="008064D7">
        <w:rPr>
          <w:rFonts w:ascii="Times New Roman" w:hAnsi="Times New Roman"/>
          <w:sz w:val="24"/>
        </w:rPr>
        <w:t xml:space="preserve"> aussi…</w:t>
      </w:r>
    </w:p>
    <w:p w:rsidR="002F4FEE" w:rsidRPr="00176ADB" w:rsidRDefault="002F4FEE" w:rsidP="00FC7384">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Titre2"/>
        <w:numPr>
          <w:ilvl w:val="0"/>
          <w:numId w:val="18"/>
        </w:numPr>
        <w:rPr>
          <w:rFonts w:ascii="Times New Roman" w:hAnsi="Times New Roman" w:cs="Times New Roman"/>
        </w:rPr>
      </w:pPr>
      <w:bookmarkStart w:id="26" w:name="_Toc55407472"/>
      <w:r w:rsidRPr="00A51A45">
        <w:rPr>
          <w:rFonts w:ascii="Times New Roman" w:hAnsi="Times New Roman" w:cs="Times New Roman"/>
        </w:rPr>
        <w:lastRenderedPageBreak/>
        <w:t xml:space="preserve">Solutions </w:t>
      </w:r>
      <w:r>
        <w:rPr>
          <w:rFonts w:ascii="Times New Roman" w:hAnsi="Times New Roman" w:cs="Times New Roman"/>
        </w:rPr>
        <w:t>actuelles du droit belge</w:t>
      </w:r>
      <w:bookmarkEnd w:id="26"/>
    </w:p>
    <w:p w:rsidR="00BB6379" w:rsidRDefault="008064D7" w:rsidP="00DC1382">
      <w:pPr>
        <w:pStyle w:val="Paragraphedeliste"/>
        <w:numPr>
          <w:ilvl w:val="0"/>
          <w:numId w:val="2"/>
        </w:numPr>
        <w:spacing w:line="240" w:lineRule="auto"/>
        <w:rPr>
          <w:rFonts w:ascii="Times New Roman" w:hAnsi="Times New Roman"/>
          <w:sz w:val="24"/>
        </w:rPr>
      </w:pPr>
      <w:r w:rsidRPr="008E36C0">
        <w:rPr>
          <w:rFonts w:ascii="Times New Roman" w:hAnsi="Times New Roman"/>
          <w:sz w:val="24"/>
          <w:u w:val="single"/>
        </w:rPr>
        <w:t xml:space="preserve">Test de viabilité et protection de la valeur du gage pendant le </w:t>
      </w:r>
      <w:r w:rsidR="002F4FEE" w:rsidRPr="008E36C0">
        <w:rPr>
          <w:rFonts w:ascii="Times New Roman" w:hAnsi="Times New Roman"/>
          <w:sz w:val="24"/>
          <w:u w:val="single"/>
        </w:rPr>
        <w:t>sursis</w:t>
      </w:r>
      <w:r w:rsidR="002F4FEE" w:rsidRPr="008E36C0">
        <w:rPr>
          <w:rFonts w:ascii="Times New Roman" w:hAnsi="Times New Roman"/>
          <w:sz w:val="24"/>
        </w:rPr>
        <w:t xml:space="preserve"> :</w:t>
      </w:r>
      <w:r w:rsidRPr="008E36C0">
        <w:rPr>
          <w:rFonts w:ascii="Times New Roman" w:hAnsi="Times New Roman"/>
          <w:sz w:val="24"/>
        </w:rPr>
        <w:t xml:space="preserve"> Le premier point </w:t>
      </w:r>
      <w:r w:rsidRPr="004F523B">
        <w:rPr>
          <w:rFonts w:ascii="Times New Roman" w:hAnsi="Times New Roman"/>
          <w:sz w:val="24"/>
        </w:rPr>
        <w:t xml:space="preserve">s’achoppement </w:t>
      </w:r>
      <w:r w:rsidR="002F4FEE" w:rsidRPr="004F523B">
        <w:rPr>
          <w:rFonts w:ascii="Times New Roman" w:hAnsi="Times New Roman"/>
          <w:sz w:val="24"/>
        </w:rPr>
        <w:t>entre</w:t>
      </w:r>
      <w:r w:rsidR="002F4FEE">
        <w:rPr>
          <w:rFonts w:ascii="Times New Roman" w:hAnsi="Times New Roman"/>
          <w:sz w:val="24"/>
        </w:rPr>
        <w:t xml:space="preserve"> le débiteur et le banquier à qui un financement de la période de sursis est demandé, est la notion de</w:t>
      </w:r>
      <w:r w:rsidRPr="008E36C0">
        <w:rPr>
          <w:rFonts w:ascii="Times New Roman" w:hAnsi="Times New Roman"/>
          <w:sz w:val="24"/>
        </w:rPr>
        <w:t xml:space="preserve"> viabilité.  </w:t>
      </w:r>
    </w:p>
    <w:p w:rsidR="00BB6379" w:rsidRDefault="00BB6379" w:rsidP="00BB6379">
      <w:pPr>
        <w:pStyle w:val="Paragraphedeliste"/>
        <w:spacing w:line="240" w:lineRule="auto"/>
        <w:ind w:left="786"/>
        <w:rPr>
          <w:rFonts w:ascii="Times New Roman" w:hAnsi="Times New Roman"/>
          <w:sz w:val="24"/>
          <w:u w:val="single"/>
        </w:rPr>
      </w:pPr>
    </w:p>
    <w:p w:rsidR="00BB6379" w:rsidRDefault="008064D7" w:rsidP="00BB6379">
      <w:pPr>
        <w:pStyle w:val="Paragraphedeliste"/>
        <w:spacing w:line="240" w:lineRule="auto"/>
        <w:ind w:left="786"/>
        <w:rPr>
          <w:rFonts w:ascii="Times New Roman" w:hAnsi="Times New Roman"/>
          <w:sz w:val="24"/>
        </w:rPr>
      </w:pPr>
      <w:r w:rsidRPr="008E36C0">
        <w:rPr>
          <w:rFonts w:ascii="Times New Roman" w:hAnsi="Times New Roman"/>
          <w:sz w:val="24"/>
        </w:rPr>
        <w:t xml:space="preserve">L’actuel article  XX.62 est en réalité un test de viabilité et une mesure assurant la protection de la valeur de l’assiette puisque «  </w:t>
      </w:r>
      <w:r w:rsidRPr="00BB6379">
        <w:rPr>
          <w:rFonts w:ascii="Times New Roman" w:hAnsi="Times New Roman"/>
          <w:i/>
          <w:sz w:val="24"/>
        </w:rPr>
        <w:t>Lorsque le débiteur n'est manifestement plus en mesure d'assurer la continuité de tout ou partie de ses actifs ou de ses activités au regard de l'objectif de la procédure ou lorsque l'information fournie au juge délégué, au tribunal ou aux créanciers lors du dépôt de la requête ou ultérieurement est manifestement incomplète ou inexacte, le tribunal peut ordonner la fin anticipée de la procédure de réorganisation judiciaire par un jugement qui la clôture.</w:t>
      </w:r>
      <w:r w:rsidRPr="008E36C0">
        <w:rPr>
          <w:rFonts w:ascii="Times New Roman" w:hAnsi="Times New Roman"/>
          <w:sz w:val="24"/>
        </w:rPr>
        <w:t> » . Les créanciers peuvent initier la procédure et</w:t>
      </w:r>
      <w:r w:rsidR="00BB6379">
        <w:rPr>
          <w:rFonts w:ascii="Times New Roman" w:hAnsi="Times New Roman"/>
          <w:sz w:val="24"/>
        </w:rPr>
        <w:t>,</w:t>
      </w:r>
      <w:r w:rsidRPr="008E36C0">
        <w:rPr>
          <w:rFonts w:ascii="Times New Roman" w:hAnsi="Times New Roman"/>
          <w:sz w:val="24"/>
        </w:rPr>
        <w:t xml:space="preserve"> en particulier</w:t>
      </w:r>
      <w:r w:rsidR="00BB6379">
        <w:rPr>
          <w:rFonts w:ascii="Times New Roman" w:hAnsi="Times New Roman"/>
          <w:sz w:val="24"/>
        </w:rPr>
        <w:t>,</w:t>
      </w:r>
      <w:r w:rsidRPr="008E36C0">
        <w:rPr>
          <w:rFonts w:ascii="Times New Roman" w:hAnsi="Times New Roman"/>
          <w:sz w:val="24"/>
        </w:rPr>
        <w:t xml:space="preserve"> le banquier ou le fournisseur de financement. Si le sursis peut être obtenu sans l’accord et souvent sans la participation de ces fournisseurs, il ne se maintiendra que parce qu’il</w:t>
      </w:r>
      <w:r w:rsidR="00BB6379">
        <w:rPr>
          <w:rFonts w:ascii="Times New Roman" w:hAnsi="Times New Roman"/>
          <w:sz w:val="24"/>
        </w:rPr>
        <w:t>s</w:t>
      </w:r>
      <w:r w:rsidRPr="008E36C0">
        <w:rPr>
          <w:rFonts w:ascii="Times New Roman" w:hAnsi="Times New Roman"/>
          <w:sz w:val="24"/>
        </w:rPr>
        <w:t xml:space="preserve"> estimeront qu’il est compatible avec leurs intérêts, faute de quoi, ils </w:t>
      </w:r>
      <w:r w:rsidR="00BB6379">
        <w:rPr>
          <w:rFonts w:ascii="Times New Roman" w:hAnsi="Times New Roman"/>
          <w:sz w:val="24"/>
        </w:rPr>
        <w:t>pouvaient</w:t>
      </w:r>
      <w:r w:rsidRPr="008E36C0">
        <w:rPr>
          <w:rFonts w:ascii="Times New Roman" w:hAnsi="Times New Roman"/>
          <w:sz w:val="24"/>
        </w:rPr>
        <w:t xml:space="preserve"> demand</w:t>
      </w:r>
      <w:r w:rsidR="00BB6379">
        <w:rPr>
          <w:rFonts w:ascii="Times New Roman" w:hAnsi="Times New Roman"/>
          <w:sz w:val="24"/>
        </w:rPr>
        <w:t>er</w:t>
      </w:r>
      <w:r w:rsidRPr="008E36C0">
        <w:rPr>
          <w:rFonts w:ascii="Times New Roman" w:hAnsi="Times New Roman"/>
          <w:sz w:val="24"/>
        </w:rPr>
        <w:t xml:space="preserve"> la levée de ce sursis en contestant la viabilité du débiteur</w:t>
      </w:r>
      <w:r>
        <w:rPr>
          <w:rFonts w:ascii="Times New Roman" w:hAnsi="Times New Roman"/>
          <w:sz w:val="24"/>
        </w:rPr>
        <w:t>.</w:t>
      </w:r>
    </w:p>
    <w:p w:rsidR="00BB6379" w:rsidRDefault="00BB6379" w:rsidP="00BB6379">
      <w:pPr>
        <w:pStyle w:val="Paragraphedeliste"/>
        <w:spacing w:line="240" w:lineRule="auto"/>
        <w:ind w:left="786"/>
        <w:rPr>
          <w:rFonts w:ascii="Times New Roman" w:hAnsi="Times New Roman"/>
          <w:sz w:val="24"/>
        </w:rPr>
      </w:pPr>
    </w:p>
    <w:p w:rsidR="00BB6379" w:rsidRDefault="00BB6379" w:rsidP="00BB6379">
      <w:pPr>
        <w:pStyle w:val="Paragraphedeliste"/>
        <w:spacing w:line="240" w:lineRule="auto"/>
        <w:ind w:left="786"/>
        <w:rPr>
          <w:rFonts w:ascii="Times New Roman" w:hAnsi="Times New Roman"/>
          <w:sz w:val="24"/>
        </w:rPr>
      </w:pPr>
      <w:r>
        <w:rPr>
          <w:rFonts w:ascii="Times New Roman" w:hAnsi="Times New Roman"/>
          <w:sz w:val="24"/>
        </w:rPr>
        <w:t>Ce test est cependant insuffisant pour fonder un crédit nouveau : l’examen auquel le juge délégué peut participer est trop limité. Si le tribunal peut imposer des devoirs d’information du débiteur, le contrôle de la viabilité ne porte, en réalité, que sur la période de sursis.</w:t>
      </w:r>
    </w:p>
    <w:p w:rsidR="008064D7" w:rsidRPr="008E36C0" w:rsidRDefault="008064D7" w:rsidP="00BB6379">
      <w:pPr>
        <w:pStyle w:val="Paragraphedeliste"/>
        <w:spacing w:line="240" w:lineRule="auto"/>
        <w:ind w:left="786"/>
        <w:rPr>
          <w:rFonts w:ascii="Times New Roman" w:hAnsi="Times New Roman"/>
          <w:sz w:val="24"/>
        </w:rPr>
      </w:pPr>
      <w:r w:rsidRPr="008E36C0">
        <w:rPr>
          <w:rFonts w:ascii="Times New Roman" w:hAnsi="Times New Roman"/>
          <w:sz w:val="24"/>
        </w:rPr>
        <w:t>  </w:t>
      </w:r>
    </w:p>
    <w:p w:rsidR="008064D7" w:rsidRDefault="008064D7" w:rsidP="00AB6DD0">
      <w:pPr>
        <w:pStyle w:val="Paragraphedeliste"/>
        <w:numPr>
          <w:ilvl w:val="0"/>
          <w:numId w:val="2"/>
        </w:numPr>
        <w:spacing w:line="240" w:lineRule="auto"/>
        <w:rPr>
          <w:rFonts w:ascii="Times New Roman" w:hAnsi="Times New Roman"/>
          <w:sz w:val="24"/>
        </w:rPr>
      </w:pPr>
      <w:r>
        <w:rPr>
          <w:rFonts w:ascii="Times New Roman" w:hAnsi="Times New Roman"/>
          <w:sz w:val="24"/>
          <w:u w:val="single"/>
        </w:rPr>
        <w:t>Privilège du refinancement pendant le sursis.</w:t>
      </w:r>
      <w:r>
        <w:rPr>
          <w:rFonts w:ascii="Times New Roman" w:hAnsi="Times New Roman"/>
          <w:sz w:val="24"/>
        </w:rPr>
        <w:t xml:space="preserve"> L’article XX.58 n’accorde par contre aux créanciers qui financent l’activité après le jugement d’ouverture qu’un privilège </w:t>
      </w:r>
      <w:r w:rsidRPr="00164E9E">
        <w:rPr>
          <w:rFonts w:ascii="Times New Roman" w:hAnsi="Times New Roman"/>
          <w:sz w:val="24"/>
          <w:u w:val="single"/>
        </w:rPr>
        <w:t>dette de masse</w:t>
      </w:r>
      <w:r>
        <w:rPr>
          <w:rFonts w:ascii="Times New Roman" w:hAnsi="Times New Roman"/>
          <w:sz w:val="24"/>
        </w:rPr>
        <w:t xml:space="preserve"> dans l’hypothèse où des nouveaux financements sont accordés postérieurement au sursis en cas de faillite ou de liquidation juste concomitante à la procédure. </w:t>
      </w:r>
    </w:p>
    <w:p w:rsidR="00BB6379" w:rsidRDefault="00BB6379" w:rsidP="00BB6379">
      <w:pPr>
        <w:pStyle w:val="Paragraphedeliste"/>
        <w:spacing w:line="240" w:lineRule="auto"/>
        <w:ind w:left="786"/>
        <w:rPr>
          <w:rFonts w:ascii="Times New Roman" w:hAnsi="Times New Roman"/>
          <w:sz w:val="24"/>
          <w:u w:val="single"/>
        </w:rPr>
      </w:pPr>
    </w:p>
    <w:p w:rsidR="00BB6379" w:rsidRPr="00F305FA" w:rsidRDefault="00BB6379" w:rsidP="00BB6379">
      <w:pPr>
        <w:pStyle w:val="Paragraphedeliste"/>
        <w:spacing w:line="240" w:lineRule="auto"/>
        <w:ind w:left="786"/>
        <w:rPr>
          <w:rFonts w:ascii="Times New Roman" w:hAnsi="Times New Roman"/>
          <w:sz w:val="24"/>
        </w:rPr>
      </w:pPr>
      <w:r>
        <w:rPr>
          <w:rFonts w:ascii="Times New Roman" w:hAnsi="Times New Roman"/>
          <w:sz w:val="24"/>
        </w:rPr>
        <w:t xml:space="preserve">La portée de ce privilège résulte des nombreux arrêts qui ont émaillé la question de savoir si la dette de précompte et d’ONSS liée aux salaires payés durant le sursis était </w:t>
      </w:r>
      <w:r w:rsidR="00F305FA">
        <w:rPr>
          <w:rFonts w:ascii="Times New Roman" w:hAnsi="Times New Roman"/>
          <w:sz w:val="24"/>
        </w:rPr>
        <w:t>une</w:t>
      </w:r>
      <w:r>
        <w:rPr>
          <w:rFonts w:ascii="Times New Roman" w:hAnsi="Times New Roman"/>
          <w:sz w:val="24"/>
        </w:rPr>
        <w:t xml:space="preserve"> dette rentrant dans le champ d’application de l’art. 58</w:t>
      </w:r>
      <w:r>
        <w:rPr>
          <w:rStyle w:val="Appelnotedebasdep"/>
          <w:rFonts w:ascii="Times New Roman" w:hAnsi="Times New Roman"/>
          <w:sz w:val="24"/>
        </w:rPr>
        <w:footnoteReference w:id="217"/>
      </w:r>
      <w:r w:rsidR="00F305FA">
        <w:rPr>
          <w:rFonts w:ascii="Times New Roman" w:hAnsi="Times New Roman"/>
          <w:sz w:val="24"/>
        </w:rPr>
        <w:t xml:space="preserve"> Le législateur a cependant fait un « </w:t>
      </w:r>
      <w:r w:rsidR="00F305FA">
        <w:rPr>
          <w:rFonts w:ascii="Times New Roman" w:hAnsi="Times New Roman"/>
          <w:i/>
          <w:sz w:val="24"/>
        </w:rPr>
        <w:t>hold-up »</w:t>
      </w:r>
      <w:r w:rsidR="00F305FA">
        <w:rPr>
          <w:rStyle w:val="Appelnotedebasdep"/>
          <w:rFonts w:ascii="Times New Roman" w:hAnsi="Times New Roman"/>
          <w:i/>
          <w:sz w:val="24"/>
        </w:rPr>
        <w:footnoteReference w:id="218"/>
      </w:r>
      <w:r w:rsidR="00F305FA">
        <w:rPr>
          <w:rFonts w:ascii="Times New Roman" w:hAnsi="Times New Roman"/>
          <w:sz w:val="24"/>
        </w:rPr>
        <w:t xml:space="preserve"> en retenant l’amendement qui en acceptait le principe, rendant l’assiette sur laquelle les créanciers se partagent l’actif accessible à des créanciers assez gourmands, réduisant d’autant l’utilité de ce privilège.</w:t>
      </w:r>
    </w:p>
    <w:p w:rsidR="008064D7" w:rsidRDefault="008064D7" w:rsidP="00AB6DD0">
      <w:pPr>
        <w:pStyle w:val="Paragraphedeliste"/>
        <w:spacing w:line="240" w:lineRule="auto"/>
        <w:ind w:left="786"/>
        <w:rPr>
          <w:rFonts w:ascii="Times New Roman" w:hAnsi="Times New Roman"/>
          <w:sz w:val="24"/>
          <w:u w:val="single"/>
        </w:rPr>
      </w:pPr>
    </w:p>
    <w:p w:rsidR="008064D7" w:rsidRPr="00F305FA" w:rsidRDefault="008064D7" w:rsidP="00AB6DD0">
      <w:pPr>
        <w:pStyle w:val="Paragraphedeliste"/>
        <w:spacing w:line="240" w:lineRule="auto"/>
        <w:ind w:left="786"/>
        <w:rPr>
          <w:rFonts w:ascii="Times New Roman" w:hAnsi="Times New Roman"/>
          <w:sz w:val="24"/>
        </w:rPr>
      </w:pPr>
      <w:r w:rsidRPr="00C70033">
        <w:rPr>
          <w:rFonts w:ascii="Times New Roman" w:hAnsi="Times New Roman"/>
          <w:sz w:val="24"/>
        </w:rPr>
        <w:t>On sait que ce privilège a</w:t>
      </w:r>
      <w:r w:rsidR="00F305FA">
        <w:rPr>
          <w:rFonts w:ascii="Times New Roman" w:hAnsi="Times New Roman"/>
          <w:sz w:val="24"/>
        </w:rPr>
        <w:t>vait déjà</w:t>
      </w:r>
      <w:r w:rsidRPr="00C70033">
        <w:rPr>
          <w:rFonts w:ascii="Times New Roman" w:hAnsi="Times New Roman"/>
          <w:sz w:val="24"/>
        </w:rPr>
        <w:t xml:space="preserve"> souvent une assiette très faible, en particulier, en raison qu’il s’exerce sur une valeur de faillite des actifs et surtout en raison du fait que le privilège a été accordé </w:t>
      </w:r>
      <w:r w:rsidR="00F305FA">
        <w:rPr>
          <w:rFonts w:ascii="Times New Roman" w:hAnsi="Times New Roman"/>
          <w:sz w:val="24"/>
        </w:rPr>
        <w:t>à l’ensemble des cocontractants</w:t>
      </w:r>
      <w:r w:rsidRPr="00C70033">
        <w:rPr>
          <w:rFonts w:ascii="Times New Roman" w:hAnsi="Times New Roman"/>
          <w:sz w:val="24"/>
        </w:rPr>
        <w:t xml:space="preserve">. Son plus grand désavantage est qu’il est réglé comme un privilège, c’est-à-dire, </w:t>
      </w:r>
      <w:r>
        <w:rPr>
          <w:rFonts w:ascii="Times New Roman" w:hAnsi="Times New Roman"/>
          <w:sz w:val="24"/>
        </w:rPr>
        <w:t xml:space="preserve">qu’il est lié à </w:t>
      </w:r>
      <w:r w:rsidRPr="00C70033">
        <w:rPr>
          <w:rFonts w:ascii="Times New Roman" w:hAnsi="Times New Roman"/>
          <w:sz w:val="24"/>
        </w:rPr>
        <w:t>la procédure de liquidation de faillite</w:t>
      </w:r>
      <w:r>
        <w:rPr>
          <w:rFonts w:ascii="Times New Roman" w:hAnsi="Times New Roman"/>
          <w:sz w:val="24"/>
        </w:rPr>
        <w:t>,</w:t>
      </w:r>
      <w:r w:rsidRPr="00C70033">
        <w:rPr>
          <w:rFonts w:ascii="Times New Roman" w:hAnsi="Times New Roman"/>
          <w:sz w:val="24"/>
        </w:rPr>
        <w:t xml:space="preserve"> par le curateur</w:t>
      </w:r>
      <w:r>
        <w:rPr>
          <w:rFonts w:ascii="Times New Roman" w:hAnsi="Times New Roman"/>
          <w:sz w:val="24"/>
        </w:rPr>
        <w:t>,</w:t>
      </w:r>
      <w:r w:rsidRPr="00C70033">
        <w:rPr>
          <w:rFonts w:ascii="Times New Roman" w:hAnsi="Times New Roman"/>
          <w:sz w:val="24"/>
        </w:rPr>
        <w:t xml:space="preserve"> au terme des opérations de réalisation. Le créancier, non seulement, risque de recevoir un dividende largement amoindrie</w:t>
      </w:r>
      <w:r>
        <w:rPr>
          <w:rFonts w:ascii="Times New Roman" w:hAnsi="Times New Roman"/>
          <w:sz w:val="24"/>
        </w:rPr>
        <w:t xml:space="preserve"> par les dettes de masse</w:t>
      </w:r>
      <w:r w:rsidRPr="00C70033">
        <w:rPr>
          <w:rFonts w:ascii="Times New Roman" w:hAnsi="Times New Roman"/>
          <w:sz w:val="24"/>
        </w:rPr>
        <w:t xml:space="preserve">, mais encore un dividende payé dans fort longtemps. </w:t>
      </w:r>
      <w:r w:rsidR="00F305FA">
        <w:rPr>
          <w:rFonts w:ascii="Times New Roman" w:hAnsi="Times New Roman"/>
          <w:sz w:val="24"/>
        </w:rPr>
        <w:t xml:space="preserve">L’article 58 reprend la règle de l’article 37 LCE en ce que le paiement des créanciers de masse ne </w:t>
      </w:r>
      <w:r w:rsidR="00F305FA">
        <w:rPr>
          <w:rFonts w:ascii="Times New Roman" w:hAnsi="Times New Roman"/>
          <w:sz w:val="24"/>
        </w:rPr>
        <w:lastRenderedPageBreak/>
        <w:t>sera prélevé par priorité sur le produit de la réalisation des biens sur lesquels un droit réel est établi que dans la mesure où les prestations ont contribué au maintien de la sûreté ou de la propriété. La Cour de Cassation</w:t>
      </w:r>
      <w:r w:rsidR="00F305FA">
        <w:rPr>
          <w:rStyle w:val="Appelnotedebasdep"/>
          <w:rFonts w:ascii="Times New Roman" w:hAnsi="Times New Roman"/>
          <w:sz w:val="24"/>
        </w:rPr>
        <w:footnoteReference w:id="219"/>
      </w:r>
      <w:r w:rsidR="00F305FA">
        <w:rPr>
          <w:rFonts w:ascii="Times New Roman" w:hAnsi="Times New Roman"/>
          <w:sz w:val="24"/>
        </w:rPr>
        <w:t xml:space="preserve"> a dit qu’il fallait, mais qu’il suffisait que les prestations </w:t>
      </w:r>
      <w:r w:rsidR="00F305FA">
        <w:rPr>
          <w:rFonts w:ascii="Times New Roman" w:hAnsi="Times New Roman"/>
          <w:sz w:val="24"/>
          <w:u w:val="single"/>
        </w:rPr>
        <w:t xml:space="preserve">contribuent </w:t>
      </w:r>
      <w:r w:rsidR="00F305FA">
        <w:rPr>
          <w:rFonts w:ascii="Times New Roman" w:hAnsi="Times New Roman"/>
          <w:sz w:val="24"/>
        </w:rPr>
        <w:t>au maintien.</w:t>
      </w:r>
    </w:p>
    <w:p w:rsidR="008064D7" w:rsidRDefault="008064D7" w:rsidP="00AB6DD0">
      <w:pPr>
        <w:pStyle w:val="Paragraphedeliste"/>
        <w:spacing w:line="240" w:lineRule="auto"/>
        <w:ind w:left="786"/>
        <w:rPr>
          <w:rFonts w:ascii="Times New Roman" w:hAnsi="Times New Roman"/>
          <w:sz w:val="24"/>
        </w:rPr>
      </w:pPr>
    </w:p>
    <w:p w:rsidR="008064D7" w:rsidRDefault="008064D7" w:rsidP="00F305FA">
      <w:pPr>
        <w:pStyle w:val="Paragraphedeliste"/>
        <w:numPr>
          <w:ilvl w:val="0"/>
          <w:numId w:val="2"/>
        </w:numPr>
        <w:spacing w:line="240" w:lineRule="auto"/>
        <w:rPr>
          <w:rFonts w:ascii="Times New Roman" w:hAnsi="Times New Roman"/>
          <w:sz w:val="24"/>
        </w:rPr>
      </w:pPr>
      <w:r>
        <w:rPr>
          <w:rFonts w:ascii="Times New Roman" w:hAnsi="Times New Roman"/>
          <w:sz w:val="24"/>
        </w:rPr>
        <w:t xml:space="preserve">À </w:t>
      </w:r>
      <w:r w:rsidRPr="00F305FA">
        <w:rPr>
          <w:rFonts w:ascii="Times New Roman" w:hAnsi="Times New Roman"/>
          <w:sz w:val="24"/>
          <w:u w:val="single"/>
        </w:rPr>
        <w:t xml:space="preserve">défaut d’autres privilèges accordés tels le privilège </w:t>
      </w:r>
      <w:r w:rsidRPr="00F305FA">
        <w:rPr>
          <w:rFonts w:ascii="Times New Roman" w:hAnsi="Times New Roman"/>
          <w:i/>
          <w:sz w:val="24"/>
          <w:u w:val="single"/>
        </w:rPr>
        <w:t>New Money</w:t>
      </w:r>
      <w:r>
        <w:rPr>
          <w:rFonts w:ascii="Times New Roman" w:hAnsi="Times New Roman"/>
          <w:sz w:val="24"/>
        </w:rPr>
        <w:t xml:space="preserve"> accordé aux créanciers français, par exemple, qui, en période de conciliation, accorde du crédit à la société pour lui permettre de mener à bien sa restructuration ou le privilège Post Money attribué aux créanciers français qui financent l’activité après le vote du plan de PRJ (de sauvegarde) ou encore le </w:t>
      </w:r>
      <w:r w:rsidRPr="004352DF">
        <w:rPr>
          <w:rFonts w:ascii="Times New Roman" w:hAnsi="Times New Roman"/>
          <w:i/>
          <w:sz w:val="24"/>
        </w:rPr>
        <w:t xml:space="preserve">DP </w:t>
      </w:r>
      <w:r w:rsidRPr="007C17D3">
        <w:rPr>
          <w:rFonts w:ascii="Times New Roman" w:hAnsi="Times New Roman"/>
          <w:i/>
          <w:sz w:val="24"/>
        </w:rPr>
        <w:t>Financing</w:t>
      </w:r>
      <w:r>
        <w:rPr>
          <w:rFonts w:ascii="Times New Roman" w:hAnsi="Times New Roman"/>
          <w:sz w:val="24"/>
        </w:rPr>
        <w:t xml:space="preserve"> américain qui accorde un gage réel sur les actifs financiers, le droit belge ne permet pas le refinancement effectif de l’entreprise qui doit donc attendre la fin de la procédure pour obtenir de nouveaux financements.</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L’utilisation de l’accord amiable</w:t>
      </w:r>
      <w:r>
        <w:rPr>
          <w:rStyle w:val="Appelnotedebasdep"/>
          <w:rFonts w:ascii="Times New Roman" w:hAnsi="Times New Roman"/>
          <w:sz w:val="24"/>
        </w:rPr>
        <w:footnoteReference w:id="220"/>
      </w:r>
      <w:r>
        <w:rPr>
          <w:rFonts w:ascii="Times New Roman" w:hAnsi="Times New Roman"/>
          <w:sz w:val="24"/>
        </w:rPr>
        <w:t xml:space="preserve"> avant le dépôt de la procédure ou dans le cadre de la procédure, en poursuivant deux objectifs distincts, peut éventuellement être utilisé pour permettre la prise d’un gage sur certains éléments d’actifs du débiteur. Si cet accord amiable est validé par le Tribunal, l’on peut espérer, d’une part, échapper à la période suspecte et, d’autre part, échapper à la remise en cause pour violation de l’ordre public. </w:t>
      </w:r>
      <w:r w:rsidRPr="000F515F">
        <w:rPr>
          <w:rFonts w:ascii="Times New Roman" w:hAnsi="Times New Roman"/>
          <w:sz w:val="24"/>
        </w:rPr>
        <w:t xml:space="preserve">La pratique reste cependant très aléatoire. </w:t>
      </w:r>
    </w:p>
    <w:p w:rsidR="008064D7" w:rsidRDefault="008064D7" w:rsidP="00AB6DD0">
      <w:pPr>
        <w:pStyle w:val="Paragraphedeliste"/>
        <w:spacing w:line="240" w:lineRule="auto"/>
        <w:ind w:left="786"/>
        <w:rPr>
          <w:rFonts w:ascii="Times New Roman" w:hAnsi="Times New Roman"/>
          <w:sz w:val="24"/>
        </w:rPr>
      </w:pPr>
    </w:p>
    <w:p w:rsidR="008064D7" w:rsidRPr="00BF265C" w:rsidRDefault="008064D7" w:rsidP="00BF265C">
      <w:pPr>
        <w:pStyle w:val="Paragraphedeliste"/>
        <w:numPr>
          <w:ilvl w:val="0"/>
          <w:numId w:val="2"/>
        </w:numPr>
        <w:spacing w:line="240" w:lineRule="auto"/>
        <w:rPr>
          <w:rFonts w:ascii="Times New Roman" w:hAnsi="Times New Roman"/>
          <w:sz w:val="24"/>
        </w:rPr>
      </w:pPr>
      <w:r w:rsidRPr="00167E06">
        <w:rPr>
          <w:rFonts w:ascii="Times New Roman" w:hAnsi="Times New Roman"/>
          <w:sz w:val="24"/>
          <w:u w:val="single"/>
        </w:rPr>
        <w:t>Protection de la créance sécurisée</w:t>
      </w:r>
      <w:r w:rsidRPr="004E3029">
        <w:rPr>
          <w:rFonts w:ascii="Times New Roman" w:hAnsi="Times New Roman"/>
          <w:sz w:val="24"/>
        </w:rPr>
        <w:t xml:space="preserve">. </w:t>
      </w:r>
      <w:r w:rsidR="00F305FA" w:rsidRPr="004E3029">
        <w:rPr>
          <w:rFonts w:ascii="Times New Roman" w:hAnsi="Times New Roman"/>
          <w:sz w:val="24"/>
        </w:rPr>
        <w:t>L’article</w:t>
      </w:r>
      <w:r w:rsidR="00F305FA">
        <w:rPr>
          <w:rFonts w:ascii="Times New Roman" w:hAnsi="Times New Roman"/>
          <w:sz w:val="24"/>
        </w:rPr>
        <w:t xml:space="preserve"> XX.74</w:t>
      </w:r>
      <w:r>
        <w:rPr>
          <w:rFonts w:ascii="Times New Roman" w:hAnsi="Times New Roman"/>
          <w:sz w:val="24"/>
        </w:rPr>
        <w:t xml:space="preserve"> </w:t>
      </w:r>
      <w:r w:rsidRPr="00F13253">
        <w:rPr>
          <w:rFonts w:ascii="Times New Roman" w:hAnsi="Times New Roman"/>
          <w:sz w:val="24"/>
        </w:rPr>
        <w:t>protège la créance extraordinaire</w:t>
      </w:r>
      <w:r>
        <w:rPr>
          <w:rFonts w:ascii="Times New Roman" w:hAnsi="Times New Roman"/>
          <w:sz w:val="24"/>
        </w:rPr>
        <w:t xml:space="preserve"> (</w:t>
      </w:r>
      <w:r w:rsidRPr="00F13253">
        <w:rPr>
          <w:rFonts w:ascii="Times New Roman" w:hAnsi="Times New Roman"/>
          <w:sz w:val="24"/>
        </w:rPr>
        <w:t xml:space="preserve">sécurisée) en prévoyant d’une part </w:t>
      </w:r>
      <w:r w:rsidR="00BF265C" w:rsidRPr="00F13253">
        <w:rPr>
          <w:rFonts w:ascii="Times New Roman" w:hAnsi="Times New Roman"/>
          <w:sz w:val="24"/>
        </w:rPr>
        <w:t>le «</w:t>
      </w:r>
      <w:r w:rsidRPr="00F13253">
        <w:rPr>
          <w:rFonts w:ascii="Times New Roman" w:hAnsi="Times New Roman"/>
          <w:sz w:val="24"/>
        </w:rPr>
        <w:t> </w:t>
      </w:r>
      <w:r w:rsidRPr="00BF265C">
        <w:rPr>
          <w:rFonts w:ascii="Times New Roman" w:hAnsi="Times New Roman"/>
          <w:i/>
          <w:sz w:val="24"/>
        </w:rPr>
        <w:t>paiement des intérêts qui leur sont conventionnellement ou légalement dus sur leurs créance</w:t>
      </w:r>
      <w:r w:rsidRPr="00F13253">
        <w:rPr>
          <w:rFonts w:ascii="Times New Roman" w:hAnsi="Times New Roman"/>
          <w:sz w:val="24"/>
        </w:rPr>
        <w:t> </w:t>
      </w:r>
      <w:r w:rsidR="00CA65EA" w:rsidRPr="00F13253">
        <w:rPr>
          <w:rFonts w:ascii="Times New Roman" w:hAnsi="Times New Roman"/>
          <w:sz w:val="24"/>
        </w:rPr>
        <w:t>», et</w:t>
      </w:r>
      <w:r w:rsidRPr="00F13253">
        <w:rPr>
          <w:rFonts w:ascii="Times New Roman" w:hAnsi="Times New Roman"/>
          <w:sz w:val="24"/>
        </w:rPr>
        <w:t xml:space="preserve"> d’autre </w:t>
      </w:r>
      <w:r w:rsidR="00BF265C">
        <w:rPr>
          <w:rFonts w:ascii="Times New Roman" w:hAnsi="Times New Roman"/>
          <w:sz w:val="24"/>
        </w:rPr>
        <w:t>part, « </w:t>
      </w:r>
      <w:r w:rsidRPr="00BF265C">
        <w:rPr>
          <w:rFonts w:ascii="Times New Roman" w:hAnsi="Times New Roman"/>
          <w:i/>
          <w:sz w:val="24"/>
        </w:rPr>
        <w:t>que le sursis que l’on peut imposer porte sur l'exercice des droits existants des créanciers sursitaires extraordinaires pour une durée n'excédant pas vingt-quatre mois à dater du jugement d'homologation </w:t>
      </w:r>
      <w:r w:rsidRPr="00F13253">
        <w:rPr>
          <w:rFonts w:ascii="Times New Roman" w:hAnsi="Times New Roman"/>
          <w:sz w:val="24"/>
        </w:rPr>
        <w:t>»</w:t>
      </w:r>
      <w:r>
        <w:rPr>
          <w:rFonts w:ascii="Times New Roman" w:hAnsi="Times New Roman"/>
          <w:sz w:val="24"/>
        </w:rPr>
        <w:t>.</w:t>
      </w:r>
      <w:r w:rsidRPr="00F13253">
        <w:rPr>
          <w:rFonts w:ascii="Times New Roman" w:hAnsi="Times New Roman"/>
          <w:sz w:val="24"/>
        </w:rPr>
        <w:t xml:space="preserve"> Le texte permet une prorogation extraordinaire de ce sursis pour une durée ne dépassant pas douze mois. Dans ce cas, le plan prévoit </w:t>
      </w:r>
      <w:r w:rsidR="00BF265C">
        <w:rPr>
          <w:rFonts w:ascii="Times New Roman" w:hAnsi="Times New Roman"/>
          <w:sz w:val="24"/>
        </w:rPr>
        <w:t>« </w:t>
      </w:r>
      <w:r w:rsidRPr="00BF265C">
        <w:rPr>
          <w:rFonts w:ascii="Times New Roman" w:hAnsi="Times New Roman"/>
          <w:i/>
          <w:sz w:val="24"/>
        </w:rPr>
        <w:t>qu'à l'échéance du premier délai de sursis, le débiteur soumettra au tribunal, son créancier entendu, la preuve que la situation financière et les recettes prévisibles de l'entreprise la mettront, selon les prévisions raisonnables, à même, à l'expiration de cette période supplémentaire, de rembourser intégralement les créanciers sursitaires extraordinaires concernés, et qu'à défaut d'apporter cette preuve, le tribunal entendra ordonner la fin de ce sursis</w:t>
      </w:r>
      <w:r>
        <w:rPr>
          <w:rFonts w:ascii="Times New Roman" w:hAnsi="Times New Roman"/>
          <w:sz w:val="24"/>
        </w:rPr>
        <w:t> »</w:t>
      </w:r>
      <w:r w:rsidR="00BF265C">
        <w:rPr>
          <w:rFonts w:ascii="Times New Roman" w:hAnsi="Times New Roman"/>
          <w:sz w:val="24"/>
        </w:rPr>
        <w:t xml:space="preserve">. </w:t>
      </w:r>
      <w:r w:rsidRPr="00BF265C">
        <w:rPr>
          <w:rFonts w:ascii="Times New Roman" w:hAnsi="Times New Roman"/>
          <w:sz w:val="24"/>
        </w:rPr>
        <w:t xml:space="preserve">Cette protection est adéquate dans la mesure ou le créancier impayé des intérêts ou des échéances pourra demander la révocation du sursis et partant procéder soit à l’exécution soit à la faillite. Certains créanciers pour certains droits ne seront même pas affectés par le sursis. </w:t>
      </w:r>
    </w:p>
    <w:p w:rsidR="008064D7" w:rsidRPr="008E36C0" w:rsidRDefault="008064D7" w:rsidP="008E36C0">
      <w:pPr>
        <w:pStyle w:val="Paragraphedeliste"/>
        <w:spacing w:line="240" w:lineRule="auto"/>
        <w:ind w:left="786"/>
        <w:jc w:val="left"/>
        <w:rPr>
          <w:rFonts w:ascii="Times New Roman" w:hAnsi="Times New Roman"/>
          <w:sz w:val="24"/>
        </w:rPr>
      </w:pPr>
    </w:p>
    <w:p w:rsidR="008064D7" w:rsidRDefault="008064D7" w:rsidP="00CA65EA">
      <w:pPr>
        <w:pStyle w:val="Paragraphedeliste"/>
        <w:spacing w:line="240" w:lineRule="auto"/>
        <w:ind w:left="788"/>
        <w:jc w:val="left"/>
        <w:rPr>
          <w:rFonts w:ascii="Times New Roman" w:hAnsi="Times New Roman"/>
          <w:sz w:val="24"/>
        </w:rPr>
      </w:pPr>
      <w:r>
        <w:rPr>
          <w:rFonts w:ascii="Times New Roman" w:hAnsi="Times New Roman"/>
          <w:sz w:val="24"/>
          <w:u w:val="single"/>
        </w:rPr>
        <w:t xml:space="preserve"> </w:t>
      </w:r>
    </w:p>
    <w:p w:rsidR="008064D7" w:rsidRPr="00A51A45" w:rsidRDefault="008064D7" w:rsidP="00AB6DD0">
      <w:pPr>
        <w:pStyle w:val="Titre2"/>
        <w:numPr>
          <w:ilvl w:val="0"/>
          <w:numId w:val="18"/>
        </w:numPr>
        <w:rPr>
          <w:rFonts w:ascii="Times New Roman" w:hAnsi="Times New Roman" w:cs="Times New Roman"/>
        </w:rPr>
      </w:pPr>
      <w:bookmarkStart w:id="27" w:name="_Toc55407473"/>
      <w:r>
        <w:rPr>
          <w:rFonts w:ascii="Times New Roman" w:hAnsi="Times New Roman" w:cs="Times New Roman"/>
        </w:rPr>
        <w:t>Solutions de la directive</w:t>
      </w:r>
      <w:bookmarkEnd w:id="27"/>
    </w:p>
    <w:p w:rsidR="008064D7" w:rsidRPr="00C14E91" w:rsidRDefault="008064D7" w:rsidP="00AB6DD0">
      <w:pPr>
        <w:pStyle w:val="Paragraphedeliste"/>
        <w:numPr>
          <w:ilvl w:val="0"/>
          <w:numId w:val="2"/>
        </w:numPr>
        <w:spacing w:line="240" w:lineRule="auto"/>
        <w:rPr>
          <w:rFonts w:ascii="Times New Roman" w:hAnsi="Times New Roman"/>
          <w:sz w:val="24"/>
          <w:u w:val="single"/>
        </w:rPr>
      </w:pPr>
      <w:r>
        <w:rPr>
          <w:rFonts w:ascii="Times New Roman" w:hAnsi="Times New Roman"/>
          <w:sz w:val="24"/>
          <w:u w:val="single"/>
        </w:rPr>
        <w:t>Encourager les financements de l’entreprise en difficulté.</w:t>
      </w:r>
      <w:r>
        <w:rPr>
          <w:rFonts w:ascii="Times New Roman" w:hAnsi="Times New Roman"/>
          <w:sz w:val="24"/>
        </w:rPr>
        <w:t xml:space="preserve"> </w:t>
      </w:r>
      <w:r w:rsidR="00BF265C">
        <w:rPr>
          <w:rFonts w:ascii="Times New Roman" w:hAnsi="Times New Roman"/>
          <w:sz w:val="24"/>
        </w:rPr>
        <w:t>Face à si peu de solutions dans de nombreux pays, l</w:t>
      </w:r>
      <w:r>
        <w:rPr>
          <w:rFonts w:ascii="Times New Roman" w:hAnsi="Times New Roman"/>
          <w:sz w:val="24"/>
        </w:rPr>
        <w:t>es articles 16 et 17 de la directive</w:t>
      </w:r>
      <w:r w:rsidRPr="000F515F">
        <w:rPr>
          <w:rFonts w:ascii="Times New Roman" w:hAnsi="Times New Roman"/>
          <w:sz w:val="24"/>
        </w:rPr>
        <w:t xml:space="preserve"> </w:t>
      </w:r>
      <w:r>
        <w:rPr>
          <w:rFonts w:ascii="Times New Roman" w:hAnsi="Times New Roman"/>
          <w:sz w:val="24"/>
        </w:rPr>
        <w:t xml:space="preserve">incitent les Etats à protéger la valeur de leurs entreprises et les droits des créanciers pour développer leur économie </w:t>
      </w:r>
      <w:r w:rsidRPr="000F515F">
        <w:rPr>
          <w:rFonts w:ascii="Times New Roman" w:hAnsi="Times New Roman"/>
          <w:sz w:val="24"/>
        </w:rPr>
        <w:t>en donnant au juge le pouvoir de valider, durant la période de sursis, les nouveaux financements et ainsi de valider la prise des garanties spéciales qui peuvent être accordées.</w:t>
      </w:r>
    </w:p>
    <w:p w:rsidR="008064D7" w:rsidRDefault="008064D7" w:rsidP="00AB6DD0">
      <w:pPr>
        <w:pStyle w:val="Paragraphedeliste"/>
        <w:spacing w:line="240" w:lineRule="auto"/>
        <w:ind w:left="786"/>
        <w:rPr>
          <w:rFonts w:ascii="Times New Roman" w:hAnsi="Times New Roman"/>
          <w:sz w:val="24"/>
          <w:u w:val="single"/>
        </w:rPr>
      </w:pPr>
    </w:p>
    <w:p w:rsidR="008064D7" w:rsidRDefault="008064D7" w:rsidP="00AB6DD0">
      <w:pPr>
        <w:pStyle w:val="Paragraphedeliste"/>
        <w:spacing w:line="240" w:lineRule="auto"/>
        <w:ind w:left="786"/>
        <w:rPr>
          <w:rFonts w:ascii="Times New Roman" w:hAnsi="Times New Roman"/>
          <w:sz w:val="24"/>
        </w:rPr>
      </w:pPr>
      <w:r w:rsidRPr="00C14E91">
        <w:rPr>
          <w:rFonts w:ascii="Times New Roman" w:hAnsi="Times New Roman"/>
          <w:sz w:val="24"/>
        </w:rPr>
        <w:lastRenderedPageBreak/>
        <w:t>Les Etats</w:t>
      </w:r>
      <w:r>
        <w:rPr>
          <w:rFonts w:ascii="Times New Roman" w:hAnsi="Times New Roman"/>
          <w:sz w:val="24"/>
        </w:rPr>
        <w:t xml:space="preserve"> doivent au moins encourager ces financements. </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 xml:space="preserve">Ils doivent aussi les protéger contre le risque de la période suspecte sauf s’ils ont été réalisés de manière frauduleuse et de mauvaise foi. </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 xml:space="preserve">Les créanciers qui leurs apporteraient ces financements devraient échapper, sauf dans les mêmes cas, à des actions de responsabilité pénale ou civile. Il en est de même pour les transactions réalisées pour favoriser la négociation d’un plan si elles sont étroitement liées à cette négociation (comme les honoraires des intervenants, les salaires pour des travaux exécutés, des paiements nécessaires et raisonnables dans le cadre de l’activité). </w:t>
      </w:r>
    </w:p>
    <w:p w:rsidR="008064D7" w:rsidRDefault="008064D7" w:rsidP="00AB6DD0">
      <w:pPr>
        <w:pStyle w:val="Paragraphedeliste"/>
        <w:spacing w:line="240" w:lineRule="auto"/>
        <w:ind w:left="786"/>
        <w:rPr>
          <w:rFonts w:ascii="Times New Roman" w:hAnsi="Times New Roman"/>
          <w:sz w:val="24"/>
        </w:rPr>
      </w:pPr>
    </w:p>
    <w:p w:rsidR="008064D7" w:rsidRPr="00C14E91" w:rsidRDefault="008064D7" w:rsidP="00AB6DD0">
      <w:pPr>
        <w:pStyle w:val="Paragraphedeliste"/>
        <w:spacing w:line="240" w:lineRule="auto"/>
        <w:ind w:left="786"/>
        <w:rPr>
          <w:rFonts w:ascii="Times New Roman" w:hAnsi="Times New Roman"/>
          <w:sz w:val="24"/>
        </w:rPr>
      </w:pPr>
      <w:r>
        <w:rPr>
          <w:rFonts w:ascii="Times New Roman" w:hAnsi="Times New Roman"/>
          <w:sz w:val="24"/>
        </w:rPr>
        <w:t xml:space="preserve">Les Etats peuvent imposer que les transactions visées soient approuvées par un praticien de l’insolvabilité. </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 xml:space="preserve">En permettant aux Etats d’accorder un privilège spécial ou un gage à ces crédits, la directive incite les Etats à permettre le sauvetage des entreprises par leur refinancement, y compris pendant la période d’observation. </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Ces crédits peuvent ne pas porter que sur la trésorerie mais également sur des investissements susceptibles de créer de la valeur future.</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sidRPr="000F515F">
        <w:rPr>
          <w:rFonts w:ascii="Times New Roman" w:hAnsi="Times New Roman"/>
          <w:sz w:val="24"/>
        </w:rPr>
        <w:t>La valeur des actifs gagés devient ainsi l’assiette de crédit qui peut permettre de mieux valoriser l’entreprise et donc de payer mieux les créanciers par application de la règle de la priorité absolue.</w:t>
      </w:r>
      <w:r>
        <w:rPr>
          <w:rFonts w:ascii="Times New Roman" w:hAnsi="Times New Roman"/>
          <w:sz w:val="24"/>
        </w:rPr>
        <w:t xml:space="preserve"> </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Le 68</w:t>
      </w:r>
      <w:r w:rsidRPr="00991C1E">
        <w:rPr>
          <w:rFonts w:ascii="Times New Roman" w:hAnsi="Times New Roman"/>
          <w:sz w:val="24"/>
          <w:vertAlign w:val="superscript"/>
        </w:rPr>
        <w:t>ème</w:t>
      </w:r>
      <w:r>
        <w:rPr>
          <w:rFonts w:ascii="Times New Roman" w:hAnsi="Times New Roman"/>
          <w:sz w:val="24"/>
        </w:rPr>
        <w:t xml:space="preserve"> motif admet que les abus puissent survenir dans le cadre de ce refinancement ce qui explique le contrôle du juge. Il limite donc les financements à ceux qui permettent la poursuite ou la survie des activités </w:t>
      </w:r>
      <w:r>
        <w:rPr>
          <w:rFonts w:ascii="Times New Roman" w:hAnsi="Times New Roman"/>
          <w:sz w:val="24"/>
          <w:u w:val="single"/>
        </w:rPr>
        <w:t>ou</w:t>
      </w:r>
      <w:r>
        <w:rPr>
          <w:rFonts w:ascii="Times New Roman" w:hAnsi="Times New Roman"/>
          <w:sz w:val="24"/>
        </w:rPr>
        <w:t xml:space="preserve"> qui préservent ou </w:t>
      </w:r>
      <w:r w:rsidRPr="00D37D90">
        <w:rPr>
          <w:rFonts w:ascii="Times New Roman" w:hAnsi="Times New Roman"/>
          <w:sz w:val="24"/>
          <w:u w:val="single"/>
        </w:rPr>
        <w:t>accroissent la valeur</w:t>
      </w:r>
      <w:r>
        <w:rPr>
          <w:rFonts w:ascii="Times New Roman" w:hAnsi="Times New Roman"/>
          <w:sz w:val="24"/>
        </w:rPr>
        <w:t xml:space="preserve"> de ces activités dans l’attente de la valorisation du plan. </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 xml:space="preserve">La directive permet au juge d’effectuer sur ce critère un contrôle </w:t>
      </w:r>
      <w:r w:rsidRPr="004352DF">
        <w:rPr>
          <w:rFonts w:ascii="Times New Roman" w:hAnsi="Times New Roman"/>
          <w:i/>
          <w:sz w:val="24"/>
        </w:rPr>
        <w:t>ex ante</w:t>
      </w:r>
      <w:r>
        <w:rPr>
          <w:rFonts w:ascii="Times New Roman" w:hAnsi="Times New Roman"/>
          <w:sz w:val="24"/>
        </w:rPr>
        <w:t xml:space="preserve"> (avant la validation).</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 xml:space="preserve">C’est donc encore une fois l’approche de valeur qui va déterminer le contrôle du juge qui devra apprécier si le financement augmente ou non la valeur nette du débiteur au moment où il devrait appliquer la règle de priorité absolue </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 xml:space="preserve">N’oublions pas que le même juge est celui qui a pu ordonner une suspension des poursuites à l’encontre des créanciers en se basant sur la protection de la viabilité du débiteur et sur la capacité de conclure un accord avec eux pour assurer cette viabilité, celui qui a pu valider les classes de créanciers dont le vote va déterminer de manière presque mécanique la règle de priorité absolue ou relative et permettre le </w:t>
      </w:r>
      <w:r w:rsidRPr="007C17D3">
        <w:rPr>
          <w:rFonts w:ascii="Times New Roman" w:hAnsi="Times New Roman"/>
          <w:i/>
          <w:sz w:val="24"/>
        </w:rPr>
        <w:t>Cram-down</w:t>
      </w:r>
      <w:r w:rsidRPr="004352DF">
        <w:rPr>
          <w:rFonts w:ascii="Times New Roman" w:hAnsi="Times New Roman"/>
          <w:i/>
          <w:sz w:val="24"/>
        </w:rPr>
        <w:t>.</w:t>
      </w:r>
      <w:r>
        <w:rPr>
          <w:rFonts w:ascii="Times New Roman" w:hAnsi="Times New Roman"/>
          <w:sz w:val="24"/>
        </w:rPr>
        <w:t xml:space="preserve"> C’est dire que depuis sa première intervention jusqu’à sa décision, la question de la valeur de l’entreprise est au cœur de son intervention. On y revient.</w:t>
      </w:r>
    </w:p>
    <w:p w:rsidR="008064D7" w:rsidRDefault="008064D7" w:rsidP="00AB6DD0">
      <w:pPr>
        <w:pStyle w:val="Paragraphedeliste"/>
        <w:spacing w:line="240" w:lineRule="auto"/>
        <w:ind w:left="786"/>
        <w:rPr>
          <w:rFonts w:ascii="Times New Roman" w:hAnsi="Times New Roman"/>
          <w:sz w:val="24"/>
        </w:rPr>
      </w:pPr>
    </w:p>
    <w:p w:rsidR="008064D7" w:rsidRPr="008C4EEB" w:rsidRDefault="008064D7" w:rsidP="00AB6DD0">
      <w:pPr>
        <w:pStyle w:val="Titre2"/>
        <w:numPr>
          <w:ilvl w:val="0"/>
          <w:numId w:val="18"/>
        </w:numPr>
        <w:rPr>
          <w:rFonts w:ascii="Times New Roman" w:hAnsi="Times New Roman" w:cs="Times New Roman"/>
        </w:rPr>
      </w:pPr>
      <w:bookmarkStart w:id="28" w:name="_Toc55407474"/>
      <w:r w:rsidRPr="008C4EEB">
        <w:rPr>
          <w:rFonts w:ascii="Times New Roman" w:hAnsi="Times New Roman" w:cs="Times New Roman"/>
        </w:rPr>
        <w:lastRenderedPageBreak/>
        <w:t>Solutions issues du droit Américain</w:t>
      </w:r>
      <w:bookmarkEnd w:id="28"/>
    </w:p>
    <w:p w:rsidR="008064D7" w:rsidRPr="00BF265C" w:rsidRDefault="008064D7" w:rsidP="004E3029">
      <w:pPr>
        <w:pStyle w:val="Paragraphedeliste"/>
        <w:numPr>
          <w:ilvl w:val="0"/>
          <w:numId w:val="2"/>
        </w:numPr>
        <w:spacing w:line="240" w:lineRule="auto"/>
        <w:rPr>
          <w:rFonts w:ascii="Times New Roman" w:hAnsi="Times New Roman"/>
          <w:sz w:val="24"/>
          <w:u w:val="single"/>
        </w:rPr>
      </w:pPr>
      <w:r w:rsidRPr="003830D3">
        <w:rPr>
          <w:rFonts w:ascii="Times New Roman" w:hAnsi="Times New Roman"/>
          <w:sz w:val="24"/>
          <w:u w:val="single"/>
        </w:rPr>
        <w:t xml:space="preserve">Le droit du débiteur de poursuivre ses </w:t>
      </w:r>
      <w:r w:rsidRPr="007C17D3">
        <w:rPr>
          <w:rFonts w:ascii="Times New Roman" w:hAnsi="Times New Roman"/>
          <w:sz w:val="24"/>
          <w:u w:val="single"/>
        </w:rPr>
        <w:t>affaire</w:t>
      </w:r>
      <w:r>
        <w:rPr>
          <w:rFonts w:ascii="Times New Roman" w:hAnsi="Times New Roman"/>
          <w:sz w:val="24"/>
          <w:u w:val="single"/>
        </w:rPr>
        <w:t xml:space="preserve">s implique qu’il se finance </w:t>
      </w:r>
      <w:r>
        <w:rPr>
          <w:rFonts w:ascii="Times New Roman" w:hAnsi="Times New Roman"/>
          <w:sz w:val="24"/>
        </w:rPr>
        <w:t xml:space="preserve">Le code envisage le </w:t>
      </w:r>
      <w:r w:rsidRPr="007C17D3">
        <w:rPr>
          <w:rFonts w:ascii="Times New Roman" w:hAnsi="Times New Roman"/>
          <w:i/>
          <w:sz w:val="24"/>
        </w:rPr>
        <w:t>Chapter 11</w:t>
      </w:r>
      <w:r>
        <w:rPr>
          <w:rFonts w:ascii="Times New Roman" w:hAnsi="Times New Roman"/>
          <w:sz w:val="24"/>
        </w:rPr>
        <w:t xml:space="preserve"> comme une procédure de </w:t>
      </w:r>
      <w:r w:rsidR="00BF265C">
        <w:rPr>
          <w:rFonts w:ascii="Times New Roman" w:hAnsi="Times New Roman"/>
          <w:sz w:val="24"/>
        </w:rPr>
        <w:t>Pre-</w:t>
      </w:r>
      <w:r w:rsidR="00BF265C" w:rsidRPr="00242A1C">
        <w:rPr>
          <w:rFonts w:ascii="Times New Roman" w:hAnsi="Times New Roman"/>
          <w:i/>
          <w:sz w:val="24"/>
        </w:rPr>
        <w:t>Insolvency</w:t>
      </w:r>
      <w:r>
        <w:rPr>
          <w:rFonts w:ascii="Times New Roman" w:hAnsi="Times New Roman"/>
          <w:sz w:val="24"/>
        </w:rPr>
        <w:t xml:space="preserve"> ou le débiteur poursuit son exploitation</w:t>
      </w:r>
      <w:r>
        <w:rPr>
          <w:rStyle w:val="Appelnotedebasdep"/>
          <w:rFonts w:ascii="Times New Roman" w:hAnsi="Times New Roman"/>
          <w:sz w:val="24"/>
        </w:rPr>
        <w:footnoteReference w:id="221"/>
      </w:r>
      <w:r>
        <w:rPr>
          <w:rFonts w:ascii="Times New Roman" w:hAnsi="Times New Roman"/>
          <w:sz w:val="24"/>
        </w:rPr>
        <w:t xml:space="preserve">. </w:t>
      </w:r>
      <w:r w:rsidR="00BF265C">
        <w:rPr>
          <w:rFonts w:ascii="Times New Roman" w:hAnsi="Times New Roman"/>
          <w:sz w:val="24"/>
        </w:rPr>
        <w:t>Le Code prend donc en compte le fait qu’il doit</w:t>
      </w:r>
      <w:r>
        <w:rPr>
          <w:rFonts w:ascii="Times New Roman" w:hAnsi="Times New Roman"/>
          <w:sz w:val="24"/>
        </w:rPr>
        <w:t xml:space="preserve"> nécessaire</w:t>
      </w:r>
      <w:r w:rsidR="00BF265C">
        <w:rPr>
          <w:rFonts w:ascii="Times New Roman" w:hAnsi="Times New Roman"/>
          <w:sz w:val="24"/>
        </w:rPr>
        <w:t>ment</w:t>
      </w:r>
      <w:r>
        <w:rPr>
          <w:rFonts w:ascii="Times New Roman" w:hAnsi="Times New Roman"/>
          <w:sz w:val="24"/>
        </w:rPr>
        <w:t xml:space="preserve"> pouvoir se financer (</w:t>
      </w:r>
      <w:r w:rsidRPr="004E3029">
        <w:rPr>
          <w:rFonts w:ascii="Times New Roman" w:hAnsi="Times New Roman"/>
          <w:i/>
          <w:sz w:val="24"/>
        </w:rPr>
        <w:t>Debtor in possession</w:t>
      </w:r>
      <w:r>
        <w:rPr>
          <w:rFonts w:ascii="Times New Roman" w:hAnsi="Times New Roman"/>
          <w:sz w:val="24"/>
        </w:rPr>
        <w:t xml:space="preserve"> </w:t>
      </w:r>
      <w:r w:rsidRPr="007C17D3">
        <w:rPr>
          <w:rFonts w:ascii="Times New Roman" w:hAnsi="Times New Roman"/>
          <w:i/>
          <w:sz w:val="24"/>
        </w:rPr>
        <w:t>financing</w:t>
      </w:r>
      <w:r>
        <w:rPr>
          <w:rFonts w:ascii="Times New Roman" w:hAnsi="Times New Roman"/>
          <w:sz w:val="24"/>
        </w:rPr>
        <w:t xml:space="preserve"> ou </w:t>
      </w:r>
      <w:r w:rsidRPr="007C17D3">
        <w:rPr>
          <w:rFonts w:ascii="Times New Roman" w:hAnsi="Times New Roman"/>
          <w:i/>
          <w:sz w:val="24"/>
        </w:rPr>
        <w:t>DIP</w:t>
      </w:r>
      <w:r>
        <w:rPr>
          <w:rFonts w:ascii="Times New Roman" w:hAnsi="Times New Roman"/>
          <w:sz w:val="24"/>
        </w:rPr>
        <w:t xml:space="preserve"> </w:t>
      </w:r>
      <w:r w:rsidRPr="007C17D3">
        <w:rPr>
          <w:rFonts w:ascii="Times New Roman" w:hAnsi="Times New Roman"/>
          <w:i/>
          <w:sz w:val="24"/>
        </w:rPr>
        <w:t>financing</w:t>
      </w:r>
      <w:r>
        <w:rPr>
          <w:rFonts w:ascii="Times New Roman" w:hAnsi="Times New Roman"/>
          <w:sz w:val="24"/>
        </w:rPr>
        <w:t>)</w:t>
      </w:r>
      <w:r w:rsidR="00BF265C">
        <w:rPr>
          <w:rFonts w:ascii="Times New Roman" w:hAnsi="Times New Roman"/>
          <w:sz w:val="24"/>
        </w:rPr>
        <w:t>.</w:t>
      </w:r>
      <w:r>
        <w:rPr>
          <w:rFonts w:ascii="Times New Roman" w:hAnsi="Times New Roman"/>
          <w:sz w:val="24"/>
        </w:rPr>
        <w:t xml:space="preserve"> Ce financement est « </w:t>
      </w:r>
      <w:r w:rsidRPr="00BF265C">
        <w:rPr>
          <w:rFonts w:ascii="Times New Roman" w:hAnsi="Times New Roman"/>
          <w:i/>
          <w:sz w:val="24"/>
        </w:rPr>
        <w:t>normal</w:t>
      </w:r>
      <w:r>
        <w:rPr>
          <w:rFonts w:ascii="Times New Roman" w:hAnsi="Times New Roman"/>
          <w:sz w:val="24"/>
        </w:rPr>
        <w:t xml:space="preserve"> » et est négocié auprès des banques, du monde financier ou des investisseurs à </w:t>
      </w:r>
      <w:r w:rsidR="00BF265C">
        <w:rPr>
          <w:rFonts w:ascii="Times New Roman" w:hAnsi="Times New Roman"/>
          <w:sz w:val="24"/>
        </w:rPr>
        <w:t>des conditions propres</w:t>
      </w:r>
      <w:r>
        <w:rPr>
          <w:rFonts w:ascii="Times New Roman" w:hAnsi="Times New Roman"/>
          <w:sz w:val="24"/>
        </w:rPr>
        <w:t xml:space="preserve"> à chaque cas. Son statut particulier lorsque pend une procédure de </w:t>
      </w:r>
      <w:r w:rsidRPr="007C17D3">
        <w:rPr>
          <w:rFonts w:ascii="Times New Roman" w:hAnsi="Times New Roman"/>
          <w:i/>
          <w:sz w:val="24"/>
        </w:rPr>
        <w:t>Chapter 11</w:t>
      </w:r>
      <w:r>
        <w:rPr>
          <w:rFonts w:ascii="Times New Roman" w:hAnsi="Times New Roman"/>
          <w:sz w:val="24"/>
        </w:rPr>
        <w:t xml:space="preserve"> est même souvent la raison pour laquelle on dépose un </w:t>
      </w:r>
      <w:r w:rsidRPr="007C17D3">
        <w:rPr>
          <w:rFonts w:ascii="Times New Roman" w:hAnsi="Times New Roman"/>
          <w:i/>
          <w:sz w:val="24"/>
        </w:rPr>
        <w:t>Chapter 11</w:t>
      </w:r>
      <w:r>
        <w:rPr>
          <w:rFonts w:ascii="Times New Roman" w:hAnsi="Times New Roman"/>
          <w:sz w:val="24"/>
        </w:rPr>
        <w:t xml:space="preserve"> puisque ce statut va aider à financer</w:t>
      </w:r>
      <w:r>
        <w:rPr>
          <w:rStyle w:val="Appelnotedebasdep"/>
          <w:rFonts w:ascii="Times New Roman" w:hAnsi="Times New Roman"/>
          <w:sz w:val="24"/>
        </w:rPr>
        <w:footnoteReference w:id="222"/>
      </w:r>
      <w:r>
        <w:rPr>
          <w:rFonts w:ascii="Times New Roman" w:hAnsi="Times New Roman"/>
          <w:sz w:val="24"/>
        </w:rPr>
        <w:t xml:space="preserve"> notamment en raison du contrôle par le juge</w:t>
      </w:r>
      <w:r w:rsidRPr="004E3029">
        <w:rPr>
          <w:rFonts w:ascii="Times New Roman" w:hAnsi="Times New Roman"/>
          <w:sz w:val="24"/>
        </w:rPr>
        <w:t xml:space="preserve">. Une étude du </w:t>
      </w:r>
      <w:r w:rsidRPr="004E3029">
        <w:rPr>
          <w:rFonts w:ascii="Times New Roman" w:hAnsi="Times New Roman"/>
          <w:i/>
          <w:sz w:val="24"/>
        </w:rPr>
        <w:t>DIP</w:t>
      </w:r>
      <w:r w:rsidRPr="004E3029">
        <w:rPr>
          <w:rFonts w:ascii="Times New Roman" w:hAnsi="Times New Roman"/>
          <w:sz w:val="24"/>
        </w:rPr>
        <w:t xml:space="preserve"> </w:t>
      </w:r>
      <w:r w:rsidRPr="004E3029">
        <w:rPr>
          <w:rFonts w:ascii="Times New Roman" w:hAnsi="Times New Roman"/>
          <w:i/>
          <w:sz w:val="24"/>
        </w:rPr>
        <w:t>financing</w:t>
      </w:r>
      <w:r w:rsidRPr="004E3029">
        <w:rPr>
          <w:rFonts w:ascii="Times New Roman" w:hAnsi="Times New Roman"/>
          <w:sz w:val="24"/>
        </w:rPr>
        <w:t xml:space="preserve"> montre des cas dans lesquels </w:t>
      </w:r>
      <w:r w:rsidR="00BF265C">
        <w:rPr>
          <w:rFonts w:ascii="Times New Roman" w:hAnsi="Times New Roman"/>
          <w:sz w:val="24"/>
        </w:rPr>
        <w:t>ces financements</w:t>
      </w:r>
      <w:r w:rsidRPr="004E3029">
        <w:rPr>
          <w:rFonts w:ascii="Times New Roman" w:hAnsi="Times New Roman"/>
          <w:sz w:val="24"/>
        </w:rPr>
        <w:t xml:space="preserve"> </w:t>
      </w:r>
      <w:r w:rsidR="00BF265C">
        <w:rPr>
          <w:rFonts w:ascii="Times New Roman" w:hAnsi="Times New Roman"/>
          <w:sz w:val="24"/>
        </w:rPr>
        <w:t xml:space="preserve"> ont été </w:t>
      </w:r>
      <w:r w:rsidRPr="004E3029">
        <w:rPr>
          <w:rFonts w:ascii="Times New Roman" w:hAnsi="Times New Roman"/>
          <w:sz w:val="24"/>
        </w:rPr>
        <w:t xml:space="preserve">très favorables et ceux qui </w:t>
      </w:r>
      <w:r w:rsidR="00BF265C">
        <w:rPr>
          <w:rFonts w:ascii="Times New Roman" w:hAnsi="Times New Roman"/>
          <w:sz w:val="24"/>
        </w:rPr>
        <w:t>ont été</w:t>
      </w:r>
      <w:r w:rsidRPr="004E3029">
        <w:rPr>
          <w:rFonts w:ascii="Times New Roman" w:hAnsi="Times New Roman"/>
          <w:sz w:val="24"/>
        </w:rPr>
        <w:t xml:space="preserve"> défavorables aux </w:t>
      </w:r>
      <w:r w:rsidRPr="004E3029">
        <w:rPr>
          <w:rFonts w:ascii="Times New Roman" w:hAnsi="Times New Roman"/>
          <w:i/>
          <w:sz w:val="24"/>
        </w:rPr>
        <w:t>stakeholders</w:t>
      </w:r>
      <w:r>
        <w:rPr>
          <w:rStyle w:val="Appelnotedebasdep"/>
          <w:rFonts w:ascii="Times New Roman" w:hAnsi="Times New Roman"/>
          <w:sz w:val="24"/>
        </w:rPr>
        <w:footnoteReference w:id="223"/>
      </w:r>
      <w:r w:rsidR="00BF265C">
        <w:rPr>
          <w:rFonts w:ascii="Times New Roman" w:hAnsi="Times New Roman"/>
          <w:i/>
          <w:sz w:val="24"/>
        </w:rPr>
        <w:t>.</w:t>
      </w:r>
    </w:p>
    <w:p w:rsidR="00BF265C" w:rsidRPr="004E3029" w:rsidRDefault="00BF265C" w:rsidP="00BF265C">
      <w:pPr>
        <w:pStyle w:val="Paragraphedeliste"/>
        <w:spacing w:line="240" w:lineRule="auto"/>
        <w:ind w:left="786"/>
        <w:rPr>
          <w:rFonts w:ascii="Times New Roman" w:hAnsi="Times New Roman"/>
          <w:sz w:val="24"/>
          <w:u w:val="single"/>
        </w:rPr>
      </w:pPr>
    </w:p>
    <w:p w:rsidR="008064D7" w:rsidRPr="00093F28" w:rsidRDefault="008064D7" w:rsidP="003830D3">
      <w:pPr>
        <w:pStyle w:val="Paragraphedeliste"/>
        <w:numPr>
          <w:ilvl w:val="0"/>
          <w:numId w:val="2"/>
        </w:numPr>
        <w:spacing w:line="240" w:lineRule="auto"/>
        <w:rPr>
          <w:rFonts w:ascii="Times New Roman" w:hAnsi="Times New Roman"/>
          <w:sz w:val="24"/>
          <w:u w:val="single"/>
        </w:rPr>
      </w:pPr>
      <w:r>
        <w:rPr>
          <w:rFonts w:ascii="Times New Roman" w:hAnsi="Times New Roman"/>
          <w:sz w:val="24"/>
          <w:u w:val="single"/>
        </w:rPr>
        <w:t>Le droit américain protège mais pas de manière absolue le créancier sécurisé.</w:t>
      </w:r>
      <w:r>
        <w:rPr>
          <w:rFonts w:ascii="Times New Roman" w:hAnsi="Times New Roman"/>
          <w:sz w:val="24"/>
        </w:rPr>
        <w:t xml:space="preserve"> L’article 1129(b)(2)(A) ne protège pas de manière absolue le créancier sécurisé puisque même sans son accord, dans certains cas jugés « </w:t>
      </w:r>
      <w:r w:rsidRPr="007C17D3">
        <w:rPr>
          <w:rFonts w:ascii="Times New Roman" w:hAnsi="Times New Roman"/>
          <w:i/>
          <w:sz w:val="24"/>
        </w:rPr>
        <w:t>Fair</w:t>
      </w:r>
      <w:r>
        <w:rPr>
          <w:rFonts w:ascii="Times New Roman" w:hAnsi="Times New Roman"/>
          <w:sz w:val="24"/>
        </w:rPr>
        <w:t xml:space="preserve"> </w:t>
      </w:r>
      <w:r w:rsidRPr="00BF265C">
        <w:rPr>
          <w:rFonts w:ascii="Times New Roman" w:hAnsi="Times New Roman"/>
          <w:i/>
          <w:sz w:val="24"/>
        </w:rPr>
        <w:t>&amp; équitable</w:t>
      </w:r>
      <w:r>
        <w:rPr>
          <w:rFonts w:ascii="Times New Roman" w:hAnsi="Times New Roman"/>
          <w:sz w:val="24"/>
        </w:rPr>
        <w:t> »</w:t>
      </w:r>
      <w:r w:rsidR="00BF265C">
        <w:rPr>
          <w:rFonts w:ascii="Times New Roman" w:hAnsi="Times New Roman"/>
          <w:sz w:val="24"/>
        </w:rPr>
        <w:t>,</w:t>
      </w:r>
      <w:r>
        <w:rPr>
          <w:rFonts w:ascii="Times New Roman" w:hAnsi="Times New Roman"/>
          <w:sz w:val="24"/>
        </w:rPr>
        <w:t xml:space="preserve"> il pourra subir un plan qui ne lui convient pas</w:t>
      </w:r>
      <w:r>
        <w:rPr>
          <w:rStyle w:val="Appelnotedebasdep"/>
          <w:rFonts w:ascii="Times New Roman" w:hAnsi="Times New Roman"/>
          <w:sz w:val="24"/>
        </w:rPr>
        <w:footnoteReference w:id="224"/>
      </w:r>
      <w:r>
        <w:rPr>
          <w:rFonts w:ascii="Times New Roman" w:hAnsi="Times New Roman"/>
          <w:sz w:val="24"/>
        </w:rPr>
        <w:t>. Les arrêts récents de la Cour suprême ont libéralisé encore cette pratique</w:t>
      </w:r>
      <w:r>
        <w:rPr>
          <w:rStyle w:val="Appelnotedebasdep"/>
          <w:rFonts w:ascii="Times New Roman" w:hAnsi="Times New Roman"/>
          <w:sz w:val="24"/>
        </w:rPr>
        <w:footnoteReference w:id="225"/>
      </w:r>
      <w:r>
        <w:rPr>
          <w:rFonts w:ascii="Times New Roman" w:hAnsi="Times New Roman"/>
          <w:sz w:val="24"/>
        </w:rPr>
        <w:t xml:space="preserve"> en estimant que le droit de la faillite visait à « </w:t>
      </w:r>
      <w:r w:rsidRPr="00BF265C">
        <w:rPr>
          <w:rFonts w:ascii="Times New Roman" w:hAnsi="Times New Roman"/>
          <w:i/>
          <w:sz w:val="24"/>
        </w:rPr>
        <w:t>maximaliser le remboursement des créanciers</w:t>
      </w:r>
      <w:r>
        <w:rPr>
          <w:rFonts w:ascii="Times New Roman" w:hAnsi="Times New Roman"/>
          <w:sz w:val="24"/>
        </w:rPr>
        <w:t> » plus qu’à payer totalement des créanciers sécurisé</w:t>
      </w:r>
      <w:r w:rsidR="00BF265C">
        <w:rPr>
          <w:rFonts w:ascii="Times New Roman" w:hAnsi="Times New Roman"/>
          <w:sz w:val="24"/>
        </w:rPr>
        <w:t>s</w:t>
      </w:r>
      <w:r>
        <w:rPr>
          <w:rFonts w:ascii="Times New Roman" w:hAnsi="Times New Roman"/>
          <w:sz w:val="24"/>
        </w:rPr>
        <w:t xml:space="preserve"> puisque le droit de la faillite doit prendre en compte </w:t>
      </w:r>
      <w:r w:rsidR="00BF265C">
        <w:rPr>
          <w:rFonts w:ascii="Times New Roman" w:hAnsi="Times New Roman"/>
          <w:sz w:val="24"/>
        </w:rPr>
        <w:t>aussi les employés, les clients et</w:t>
      </w:r>
      <w:r>
        <w:rPr>
          <w:rFonts w:ascii="Times New Roman" w:hAnsi="Times New Roman"/>
          <w:sz w:val="24"/>
        </w:rPr>
        <w:t xml:space="preserve"> les fournisseurs </w:t>
      </w:r>
      <w:r>
        <w:rPr>
          <w:rStyle w:val="Appelnotedebasdep"/>
          <w:rFonts w:ascii="Times New Roman" w:hAnsi="Times New Roman"/>
          <w:sz w:val="24"/>
        </w:rPr>
        <w:footnoteReference w:id="226"/>
      </w:r>
      <w:r w:rsidR="00BF265C">
        <w:rPr>
          <w:rFonts w:ascii="Times New Roman" w:hAnsi="Times New Roman"/>
          <w:sz w:val="24"/>
        </w:rPr>
        <w:t>. L</w:t>
      </w:r>
      <w:r>
        <w:rPr>
          <w:rFonts w:ascii="Times New Roman" w:hAnsi="Times New Roman"/>
          <w:sz w:val="24"/>
        </w:rPr>
        <w:t xml:space="preserve">eur opposition au </w:t>
      </w:r>
      <w:r w:rsidRPr="007C17D3">
        <w:rPr>
          <w:rFonts w:ascii="Times New Roman" w:hAnsi="Times New Roman"/>
          <w:i/>
          <w:sz w:val="24"/>
        </w:rPr>
        <w:t>DIP</w:t>
      </w:r>
      <w:r>
        <w:rPr>
          <w:rFonts w:ascii="Times New Roman" w:hAnsi="Times New Roman"/>
          <w:sz w:val="24"/>
        </w:rPr>
        <w:t xml:space="preserve"> </w:t>
      </w:r>
      <w:r w:rsidRPr="007C17D3">
        <w:rPr>
          <w:rFonts w:ascii="Times New Roman" w:hAnsi="Times New Roman"/>
          <w:i/>
          <w:sz w:val="24"/>
        </w:rPr>
        <w:t>financing</w:t>
      </w:r>
      <w:r>
        <w:rPr>
          <w:rFonts w:ascii="Times New Roman" w:hAnsi="Times New Roman"/>
          <w:sz w:val="24"/>
        </w:rPr>
        <w:t xml:space="preserve"> peut donc être</w:t>
      </w:r>
      <w:r w:rsidR="00BF265C">
        <w:rPr>
          <w:rFonts w:ascii="Times New Roman" w:hAnsi="Times New Roman"/>
          <w:sz w:val="24"/>
        </w:rPr>
        <w:t>, en droit Américain,</w:t>
      </w:r>
      <w:r>
        <w:rPr>
          <w:rFonts w:ascii="Times New Roman" w:hAnsi="Times New Roman"/>
          <w:sz w:val="24"/>
        </w:rPr>
        <w:t xml:space="preserve"> dangereuse car un plan plus défavorable peut leur être imposé</w:t>
      </w:r>
      <w:r w:rsidR="00BF265C">
        <w:rPr>
          <w:rFonts w:ascii="Times New Roman" w:hAnsi="Times New Roman"/>
          <w:sz w:val="24"/>
        </w:rPr>
        <w:t>.</w:t>
      </w:r>
    </w:p>
    <w:p w:rsidR="008064D7" w:rsidRPr="003830D3" w:rsidRDefault="008064D7" w:rsidP="003830D3">
      <w:pPr>
        <w:pStyle w:val="Paragraphedeliste"/>
        <w:spacing w:line="240" w:lineRule="auto"/>
        <w:ind w:left="786"/>
        <w:rPr>
          <w:rFonts w:ascii="Times New Roman" w:hAnsi="Times New Roman"/>
          <w:sz w:val="24"/>
        </w:rPr>
      </w:pPr>
      <w:r>
        <w:rPr>
          <w:rFonts w:ascii="Times New Roman" w:hAnsi="Times New Roman"/>
          <w:sz w:val="24"/>
          <w:u w:val="single"/>
        </w:rPr>
        <w:t xml:space="preserve"> </w:t>
      </w:r>
    </w:p>
    <w:p w:rsidR="008064D7" w:rsidRDefault="008064D7" w:rsidP="00E76FA2">
      <w:pPr>
        <w:pStyle w:val="Paragraphedeliste"/>
        <w:numPr>
          <w:ilvl w:val="0"/>
          <w:numId w:val="2"/>
        </w:numPr>
        <w:spacing w:line="240" w:lineRule="auto"/>
        <w:rPr>
          <w:rFonts w:ascii="Times New Roman" w:hAnsi="Times New Roman"/>
          <w:sz w:val="24"/>
        </w:rPr>
      </w:pPr>
      <w:r w:rsidRPr="00CA65EA">
        <w:rPr>
          <w:rFonts w:ascii="Times New Roman" w:hAnsi="Times New Roman"/>
          <w:sz w:val="24"/>
          <w:u w:val="single"/>
        </w:rPr>
        <w:t xml:space="preserve">La demande de </w:t>
      </w:r>
      <w:r w:rsidRPr="00CA65EA">
        <w:rPr>
          <w:rFonts w:ascii="Times New Roman" w:hAnsi="Times New Roman"/>
          <w:i/>
          <w:sz w:val="24"/>
          <w:u w:val="single"/>
        </w:rPr>
        <w:t>DIP</w:t>
      </w:r>
      <w:r w:rsidRPr="00CA65EA">
        <w:rPr>
          <w:rFonts w:ascii="Times New Roman" w:hAnsi="Times New Roman"/>
          <w:sz w:val="24"/>
          <w:u w:val="single"/>
        </w:rPr>
        <w:t xml:space="preserve"> </w:t>
      </w:r>
      <w:r w:rsidRPr="00CA65EA">
        <w:rPr>
          <w:rFonts w:ascii="Times New Roman" w:hAnsi="Times New Roman"/>
          <w:i/>
          <w:sz w:val="24"/>
          <w:u w:val="single"/>
        </w:rPr>
        <w:t>financing</w:t>
      </w:r>
      <w:r w:rsidRPr="00CA65EA">
        <w:rPr>
          <w:rFonts w:ascii="Times New Roman" w:hAnsi="Times New Roman"/>
          <w:sz w:val="24"/>
          <w:u w:val="single"/>
        </w:rPr>
        <w:t xml:space="preserve"> est </w:t>
      </w:r>
      <w:r w:rsidR="00BF265C" w:rsidRPr="00CA65EA">
        <w:rPr>
          <w:rFonts w:ascii="Times New Roman" w:hAnsi="Times New Roman"/>
          <w:sz w:val="24"/>
          <w:u w:val="single"/>
        </w:rPr>
        <w:t xml:space="preserve">souvent </w:t>
      </w:r>
      <w:r w:rsidRPr="00CA65EA">
        <w:rPr>
          <w:rFonts w:ascii="Times New Roman" w:hAnsi="Times New Roman"/>
          <w:sz w:val="24"/>
          <w:u w:val="single"/>
        </w:rPr>
        <w:t>faite en même temps que la dema</w:t>
      </w:r>
      <w:r w:rsidR="00BF265C" w:rsidRPr="00CA65EA">
        <w:rPr>
          <w:rFonts w:ascii="Times New Roman" w:hAnsi="Times New Roman"/>
          <w:sz w:val="24"/>
          <w:u w:val="single"/>
        </w:rPr>
        <w:t xml:space="preserve">nde d’ouverture de la </w:t>
      </w:r>
      <w:r w:rsidR="00BF265C" w:rsidRPr="00CA65EA">
        <w:rPr>
          <w:rFonts w:ascii="Times New Roman" w:hAnsi="Times New Roman"/>
          <w:sz w:val="24"/>
        </w:rPr>
        <w:t xml:space="preserve">procédure, </w:t>
      </w:r>
      <w:r w:rsidRPr="00CA65EA">
        <w:rPr>
          <w:rFonts w:ascii="Times New Roman" w:hAnsi="Times New Roman"/>
          <w:sz w:val="24"/>
        </w:rPr>
        <w:t xml:space="preserve">de telle sorte que la documentation que le juge examine </w:t>
      </w:r>
      <w:r w:rsidR="00BF265C" w:rsidRPr="00CA65EA">
        <w:rPr>
          <w:rFonts w:ascii="Times New Roman" w:hAnsi="Times New Roman"/>
          <w:sz w:val="24"/>
        </w:rPr>
        <w:t>au moment de la 1</w:t>
      </w:r>
      <w:r w:rsidR="00BF265C" w:rsidRPr="00CA65EA">
        <w:rPr>
          <w:rFonts w:ascii="Times New Roman" w:hAnsi="Times New Roman"/>
          <w:sz w:val="24"/>
          <w:vertAlign w:val="superscript"/>
        </w:rPr>
        <w:t>ère</w:t>
      </w:r>
      <w:r w:rsidR="00BF265C" w:rsidRPr="00CA65EA">
        <w:rPr>
          <w:rFonts w:ascii="Times New Roman" w:hAnsi="Times New Roman"/>
          <w:sz w:val="24"/>
        </w:rPr>
        <w:t xml:space="preserve"> comparution </w:t>
      </w:r>
      <w:r w:rsidRPr="00CA65EA">
        <w:rPr>
          <w:rFonts w:ascii="Times New Roman" w:hAnsi="Times New Roman"/>
          <w:sz w:val="24"/>
        </w:rPr>
        <w:t>contient tous les é</w:t>
      </w:r>
      <w:r w:rsidR="00BF265C" w:rsidRPr="00CA65EA">
        <w:rPr>
          <w:rFonts w:ascii="Times New Roman" w:hAnsi="Times New Roman"/>
          <w:sz w:val="24"/>
        </w:rPr>
        <w:t xml:space="preserve">léments sur les flux financiers et </w:t>
      </w:r>
      <w:r w:rsidRPr="00CA65EA">
        <w:rPr>
          <w:rFonts w:ascii="Times New Roman" w:hAnsi="Times New Roman"/>
          <w:sz w:val="24"/>
        </w:rPr>
        <w:t xml:space="preserve">sur la valeur </w:t>
      </w:r>
      <w:r w:rsidR="00BF265C" w:rsidRPr="00CA65EA">
        <w:rPr>
          <w:rFonts w:ascii="Times New Roman" w:hAnsi="Times New Roman"/>
          <w:sz w:val="24"/>
        </w:rPr>
        <w:t xml:space="preserve">de l’entreprise qui se déduit des flux et </w:t>
      </w:r>
      <w:r w:rsidRPr="00CA65EA">
        <w:rPr>
          <w:rFonts w:ascii="Times New Roman" w:hAnsi="Times New Roman"/>
          <w:sz w:val="24"/>
        </w:rPr>
        <w:t xml:space="preserve">qui justifie l’octroi de ce financement. Le débiteur fait la démonstration des valeurs </w:t>
      </w:r>
      <w:r>
        <w:rPr>
          <w:rStyle w:val="Appelnotedebasdep"/>
          <w:rFonts w:ascii="Times New Roman" w:hAnsi="Times New Roman"/>
          <w:sz w:val="24"/>
        </w:rPr>
        <w:footnoteReference w:id="227"/>
      </w:r>
      <w:r w:rsidRPr="00CA65EA">
        <w:rPr>
          <w:rFonts w:ascii="Times New Roman" w:hAnsi="Times New Roman"/>
          <w:sz w:val="24"/>
        </w:rPr>
        <w:t xml:space="preserve">. Ces financements sont obtenus dans les 30 jours du dépôt de la demande. Après le dépôt de la demande et un délai de15 jours </w:t>
      </w:r>
      <w:r w:rsidR="00BF265C" w:rsidRPr="00CA65EA">
        <w:rPr>
          <w:rFonts w:ascii="Times New Roman" w:hAnsi="Times New Roman"/>
          <w:sz w:val="24"/>
        </w:rPr>
        <w:t>laissé aux</w:t>
      </w:r>
      <w:r w:rsidRPr="00CA65EA">
        <w:rPr>
          <w:rFonts w:ascii="Times New Roman" w:hAnsi="Times New Roman"/>
          <w:sz w:val="24"/>
        </w:rPr>
        <w:t xml:space="preserve"> créanciers pour contester de manière pertinente la demande, des </w:t>
      </w:r>
      <w:r w:rsidRPr="00CA65EA">
        <w:rPr>
          <w:rFonts w:ascii="Times New Roman" w:hAnsi="Times New Roman"/>
          <w:i/>
          <w:sz w:val="24"/>
        </w:rPr>
        <w:t>hearings</w:t>
      </w:r>
      <w:r w:rsidRPr="00CA65EA">
        <w:rPr>
          <w:rFonts w:ascii="Times New Roman" w:hAnsi="Times New Roman"/>
          <w:sz w:val="24"/>
        </w:rPr>
        <w:t xml:space="preserve"> </w:t>
      </w:r>
      <w:r w:rsidR="00BF265C" w:rsidRPr="00CA65EA">
        <w:rPr>
          <w:rFonts w:ascii="Times New Roman" w:hAnsi="Times New Roman"/>
          <w:sz w:val="24"/>
        </w:rPr>
        <w:t xml:space="preserve">sur le financement </w:t>
      </w:r>
      <w:r w:rsidRPr="00CA65EA">
        <w:rPr>
          <w:rFonts w:ascii="Times New Roman" w:hAnsi="Times New Roman"/>
          <w:sz w:val="24"/>
        </w:rPr>
        <w:t>ont lieu.</w:t>
      </w:r>
      <w:r w:rsidR="00BF265C" w:rsidRPr="00CA65EA">
        <w:rPr>
          <w:rFonts w:ascii="Times New Roman" w:hAnsi="Times New Roman"/>
          <w:sz w:val="24"/>
        </w:rPr>
        <w:t xml:space="preserve"> </w:t>
      </w:r>
      <w:r w:rsidRPr="00CA65EA">
        <w:rPr>
          <w:rFonts w:ascii="Times New Roman" w:hAnsi="Times New Roman"/>
          <w:sz w:val="24"/>
        </w:rPr>
        <w:t xml:space="preserve">Le </w:t>
      </w:r>
      <w:r w:rsidRPr="00CA65EA">
        <w:rPr>
          <w:rFonts w:ascii="Times New Roman" w:hAnsi="Times New Roman"/>
          <w:i/>
          <w:sz w:val="24"/>
        </w:rPr>
        <w:t>Chapter 11</w:t>
      </w:r>
      <w:r w:rsidRPr="00CA65EA">
        <w:rPr>
          <w:rFonts w:ascii="Times New Roman" w:hAnsi="Times New Roman"/>
          <w:sz w:val="24"/>
        </w:rPr>
        <w:t xml:space="preserve"> est propice aux nouveaux financements puisque la demande crée un sursis </w:t>
      </w:r>
      <w:r>
        <w:rPr>
          <w:rStyle w:val="Appelnotedebasdep"/>
          <w:rFonts w:ascii="Times New Roman" w:hAnsi="Times New Roman"/>
          <w:sz w:val="24"/>
        </w:rPr>
        <w:footnoteReference w:id="228"/>
      </w:r>
      <w:r w:rsidRPr="00CA65EA">
        <w:rPr>
          <w:rFonts w:ascii="Times New Roman" w:hAnsi="Times New Roman"/>
          <w:sz w:val="24"/>
        </w:rPr>
        <w:t xml:space="preserve"> qui autorise le débiteur à suspendre les paiements en principal et intérêts et par contre à utiliser ses actifs</w:t>
      </w:r>
      <w:r>
        <w:rPr>
          <w:rStyle w:val="Appelnotedebasdep"/>
          <w:rFonts w:ascii="Times New Roman" w:hAnsi="Times New Roman"/>
          <w:sz w:val="24"/>
        </w:rPr>
        <w:footnoteReference w:id="229"/>
      </w:r>
      <w:r w:rsidRPr="00CA65EA">
        <w:rPr>
          <w:rFonts w:ascii="Times New Roman" w:hAnsi="Times New Roman"/>
          <w:sz w:val="24"/>
        </w:rPr>
        <w:t xml:space="preserve">, ce qui renforce sa capacité de remboursement d’un nouveau crédit postérieur au sursis et non affecté par ce dernier . </w:t>
      </w:r>
    </w:p>
    <w:p w:rsidR="00CA65EA" w:rsidRPr="00CA65EA" w:rsidRDefault="00CA65EA" w:rsidP="00CA65EA">
      <w:pPr>
        <w:pStyle w:val="Paragraphedeliste"/>
        <w:spacing w:line="240" w:lineRule="auto"/>
        <w:ind w:left="786"/>
        <w:rPr>
          <w:rFonts w:ascii="Times New Roman" w:hAnsi="Times New Roman"/>
          <w:sz w:val="24"/>
        </w:rPr>
      </w:pPr>
    </w:p>
    <w:p w:rsidR="00BE06A4" w:rsidRDefault="008064D7" w:rsidP="002701D0">
      <w:pPr>
        <w:pStyle w:val="Paragraphedeliste"/>
        <w:numPr>
          <w:ilvl w:val="0"/>
          <w:numId w:val="2"/>
        </w:numPr>
        <w:spacing w:line="240" w:lineRule="auto"/>
        <w:rPr>
          <w:rFonts w:ascii="Times New Roman" w:hAnsi="Times New Roman"/>
          <w:sz w:val="24"/>
        </w:rPr>
      </w:pPr>
      <w:r>
        <w:rPr>
          <w:rFonts w:ascii="Times New Roman" w:hAnsi="Times New Roman"/>
          <w:sz w:val="24"/>
          <w:u w:val="single"/>
        </w:rPr>
        <w:lastRenderedPageBreak/>
        <w:t xml:space="preserve">La protection adéquate </w:t>
      </w:r>
      <w:r w:rsidRPr="00B96F5D">
        <w:rPr>
          <w:rStyle w:val="Appelnotedebasdep"/>
          <w:rFonts w:ascii="Times New Roman" w:hAnsi="Times New Roman"/>
          <w:sz w:val="24"/>
        </w:rPr>
        <w:footnoteReference w:id="230"/>
      </w:r>
      <w:r w:rsidRPr="00B96F5D">
        <w:rPr>
          <w:rFonts w:ascii="Times New Roman" w:hAnsi="Times New Roman"/>
          <w:sz w:val="24"/>
        </w:rPr>
        <w:t xml:space="preserve">. </w:t>
      </w:r>
      <w:r>
        <w:rPr>
          <w:rFonts w:ascii="Times New Roman" w:hAnsi="Times New Roman"/>
          <w:sz w:val="24"/>
        </w:rPr>
        <w:t>L</w:t>
      </w:r>
      <w:r w:rsidR="00BE06A4">
        <w:rPr>
          <w:rFonts w:ascii="Times New Roman" w:hAnsi="Times New Roman"/>
          <w:sz w:val="24"/>
        </w:rPr>
        <w:t xml:space="preserve">e refinancement se heurte, en droit Américain, </w:t>
      </w:r>
      <w:r>
        <w:rPr>
          <w:rFonts w:ascii="Times New Roman" w:hAnsi="Times New Roman"/>
          <w:sz w:val="24"/>
        </w:rPr>
        <w:t>au risque que l’utilisation des actifs et l’octroi de ce nouveau financement affecte la valeur des droits des créanciers sécurisés antérieurs</w:t>
      </w:r>
      <w:r w:rsidR="00BE06A4">
        <w:rPr>
          <w:rFonts w:ascii="Times New Roman" w:hAnsi="Times New Roman"/>
          <w:sz w:val="24"/>
        </w:rPr>
        <w:t xml:space="preserve"> puisque leur sûreté peut diminuer de valeur</w:t>
      </w:r>
      <w:r>
        <w:rPr>
          <w:rFonts w:ascii="Times New Roman" w:hAnsi="Times New Roman"/>
          <w:sz w:val="24"/>
        </w:rPr>
        <w:t xml:space="preserve">. </w:t>
      </w:r>
    </w:p>
    <w:p w:rsidR="00BE06A4" w:rsidRDefault="00BE06A4" w:rsidP="00BE06A4">
      <w:pPr>
        <w:pStyle w:val="Paragraphedeliste"/>
        <w:spacing w:line="240" w:lineRule="auto"/>
        <w:ind w:left="786"/>
        <w:rPr>
          <w:rFonts w:ascii="Times New Roman" w:hAnsi="Times New Roman"/>
          <w:sz w:val="24"/>
          <w:u w:val="single"/>
        </w:rPr>
      </w:pPr>
    </w:p>
    <w:p w:rsidR="008064D7" w:rsidRPr="002701D0" w:rsidRDefault="008064D7" w:rsidP="00BE06A4">
      <w:pPr>
        <w:pStyle w:val="Paragraphedeliste"/>
        <w:spacing w:line="240" w:lineRule="auto"/>
        <w:ind w:left="786"/>
        <w:rPr>
          <w:rFonts w:ascii="Times New Roman" w:hAnsi="Times New Roman"/>
          <w:sz w:val="24"/>
        </w:rPr>
      </w:pPr>
      <w:r>
        <w:rPr>
          <w:rFonts w:ascii="Times New Roman" w:hAnsi="Times New Roman"/>
          <w:sz w:val="24"/>
        </w:rPr>
        <w:t xml:space="preserve">Le droit américain cherche l’équilibre entre les créanciers en leur accordant une </w:t>
      </w:r>
      <w:r w:rsidRPr="00BE06A4">
        <w:rPr>
          <w:rFonts w:ascii="Times New Roman" w:hAnsi="Times New Roman"/>
          <w:sz w:val="24"/>
          <w:u w:val="single"/>
        </w:rPr>
        <w:t>adéquate protection</w:t>
      </w:r>
      <w:r w:rsidR="00BE06A4">
        <w:rPr>
          <w:rFonts w:ascii="Times New Roman" w:hAnsi="Times New Roman"/>
          <w:sz w:val="24"/>
        </w:rPr>
        <w:t xml:space="preserve"> par la </w:t>
      </w:r>
      <w:r w:rsidRPr="002701D0">
        <w:rPr>
          <w:rFonts w:ascii="Times New Roman" w:hAnsi="Times New Roman"/>
          <w:sz w:val="24"/>
        </w:rPr>
        <w:t xml:space="preserve">section 361 </w:t>
      </w:r>
      <w:r w:rsidR="00BE06A4">
        <w:rPr>
          <w:rFonts w:ascii="Times New Roman" w:hAnsi="Times New Roman"/>
          <w:sz w:val="24"/>
        </w:rPr>
        <w:t xml:space="preserve">qui </w:t>
      </w:r>
      <w:r w:rsidRPr="002701D0">
        <w:rPr>
          <w:rFonts w:ascii="Times New Roman" w:hAnsi="Times New Roman"/>
          <w:sz w:val="24"/>
        </w:rPr>
        <w:t xml:space="preserve">accorde le droit au créancier sécurisé de demander cette protection. </w:t>
      </w:r>
    </w:p>
    <w:p w:rsidR="008064D7" w:rsidRDefault="008064D7" w:rsidP="00061743">
      <w:pPr>
        <w:spacing w:line="240" w:lineRule="auto"/>
        <w:ind w:left="786"/>
        <w:rPr>
          <w:rFonts w:ascii="Times New Roman" w:hAnsi="Times New Roman"/>
          <w:sz w:val="24"/>
        </w:rPr>
      </w:pPr>
    </w:p>
    <w:p w:rsidR="008064D7" w:rsidRDefault="00BE06A4" w:rsidP="00061743">
      <w:pPr>
        <w:spacing w:line="240" w:lineRule="auto"/>
        <w:ind w:left="786"/>
        <w:rPr>
          <w:rFonts w:ascii="Times New Roman" w:hAnsi="Times New Roman"/>
          <w:sz w:val="24"/>
        </w:rPr>
      </w:pPr>
      <w:r>
        <w:rPr>
          <w:rFonts w:ascii="Times New Roman" w:hAnsi="Times New Roman"/>
          <w:sz w:val="24"/>
        </w:rPr>
        <w:t xml:space="preserve">Le créancier doit </w:t>
      </w:r>
      <w:r w:rsidR="008064D7">
        <w:rPr>
          <w:rFonts w:ascii="Times New Roman" w:hAnsi="Times New Roman"/>
          <w:sz w:val="24"/>
        </w:rPr>
        <w:t xml:space="preserve">d’abord déterminer la valeur de </w:t>
      </w:r>
      <w:r>
        <w:rPr>
          <w:rFonts w:ascii="Times New Roman" w:hAnsi="Times New Roman"/>
          <w:sz w:val="24"/>
        </w:rPr>
        <w:t>la</w:t>
      </w:r>
      <w:r w:rsidR="008064D7">
        <w:rPr>
          <w:rFonts w:ascii="Times New Roman" w:hAnsi="Times New Roman"/>
          <w:sz w:val="24"/>
        </w:rPr>
        <w:t xml:space="preserve"> sûreté à la date de la demande. </w:t>
      </w:r>
      <w:r>
        <w:rPr>
          <w:rFonts w:ascii="Times New Roman" w:hAnsi="Times New Roman"/>
          <w:sz w:val="24"/>
        </w:rPr>
        <w:t>La Cour S</w:t>
      </w:r>
      <w:r w:rsidR="008064D7">
        <w:rPr>
          <w:rFonts w:ascii="Times New Roman" w:hAnsi="Times New Roman"/>
          <w:sz w:val="24"/>
        </w:rPr>
        <w:t>uprême</w:t>
      </w:r>
      <w:r w:rsidR="008064D7">
        <w:rPr>
          <w:rStyle w:val="Appelnotedebasdep"/>
          <w:rFonts w:ascii="Times New Roman" w:hAnsi="Times New Roman"/>
          <w:sz w:val="24"/>
        </w:rPr>
        <w:footnoteReference w:id="231"/>
      </w:r>
      <w:r w:rsidR="008064D7">
        <w:rPr>
          <w:rFonts w:ascii="Times New Roman" w:hAnsi="Times New Roman"/>
          <w:sz w:val="24"/>
        </w:rPr>
        <w:t xml:space="preserve"> a indiqué que cette valeur était la même que celle à retenir </w:t>
      </w:r>
      <w:r>
        <w:rPr>
          <w:rFonts w:ascii="Times New Roman" w:hAnsi="Times New Roman"/>
          <w:sz w:val="24"/>
        </w:rPr>
        <w:t>sous</w:t>
      </w:r>
      <w:r w:rsidR="008064D7">
        <w:rPr>
          <w:rFonts w:ascii="Times New Roman" w:hAnsi="Times New Roman"/>
          <w:sz w:val="24"/>
        </w:rPr>
        <w:t xml:space="preserve"> la section 506</w:t>
      </w:r>
      <w:r>
        <w:rPr>
          <w:rFonts w:ascii="Times New Roman" w:hAnsi="Times New Roman"/>
          <w:sz w:val="24"/>
        </w:rPr>
        <w:t>,</w:t>
      </w:r>
      <w:r w:rsidR="008064D7">
        <w:rPr>
          <w:rFonts w:ascii="Times New Roman" w:hAnsi="Times New Roman"/>
          <w:sz w:val="24"/>
        </w:rPr>
        <w:t xml:space="preserve"> c’est-à-dire</w:t>
      </w:r>
      <w:r>
        <w:rPr>
          <w:rFonts w:ascii="Times New Roman" w:hAnsi="Times New Roman"/>
          <w:sz w:val="24"/>
        </w:rPr>
        <w:t>,</w:t>
      </w:r>
      <w:r w:rsidR="008064D7">
        <w:rPr>
          <w:rFonts w:ascii="Times New Roman" w:hAnsi="Times New Roman"/>
          <w:sz w:val="24"/>
        </w:rPr>
        <w:t xml:space="preserve"> la valeur dans la perspective de la réalisation, de la cession ou de l’usage du collatéral. De ce fait, 3 méthodes sont utilisées </w:t>
      </w:r>
      <w:r>
        <w:rPr>
          <w:rFonts w:ascii="Times New Roman" w:hAnsi="Times New Roman"/>
          <w:sz w:val="24"/>
        </w:rPr>
        <w:t>pour fixer cette valeur : la valeur de remplacement</w:t>
      </w:r>
      <w:r w:rsidR="008064D7">
        <w:rPr>
          <w:rFonts w:ascii="Times New Roman" w:hAnsi="Times New Roman"/>
          <w:sz w:val="24"/>
        </w:rPr>
        <w:t>, la valeur de « </w:t>
      </w:r>
      <w:r w:rsidR="008064D7" w:rsidRPr="00BE06A4">
        <w:rPr>
          <w:rFonts w:ascii="Times New Roman" w:hAnsi="Times New Roman"/>
          <w:i/>
          <w:sz w:val="24"/>
        </w:rPr>
        <w:t>fermeture</w:t>
      </w:r>
      <w:r w:rsidR="008064D7">
        <w:rPr>
          <w:rFonts w:ascii="Times New Roman" w:hAnsi="Times New Roman"/>
          <w:sz w:val="24"/>
        </w:rPr>
        <w:t> » qui est assimilable à la valeur de liquidation</w:t>
      </w:r>
      <w:r w:rsidR="008064D7">
        <w:rPr>
          <w:rStyle w:val="Appelnotedebasdep"/>
          <w:rFonts w:ascii="Times New Roman" w:hAnsi="Times New Roman"/>
          <w:sz w:val="24"/>
        </w:rPr>
        <w:footnoteReference w:id="232"/>
      </w:r>
      <w:r w:rsidR="008064D7">
        <w:rPr>
          <w:rFonts w:ascii="Times New Roman" w:hAnsi="Times New Roman"/>
          <w:sz w:val="24"/>
        </w:rPr>
        <w:t xml:space="preserve"> et la moyenne entre les deux. La valeur de remplacement est celle sur un marché « </w:t>
      </w:r>
      <w:r w:rsidR="008064D7" w:rsidRPr="007C17D3">
        <w:rPr>
          <w:rFonts w:ascii="Times New Roman" w:hAnsi="Times New Roman"/>
          <w:i/>
          <w:sz w:val="24"/>
        </w:rPr>
        <w:t>Fair</w:t>
      </w:r>
      <w:r w:rsidR="008064D7">
        <w:rPr>
          <w:rFonts w:ascii="Times New Roman" w:hAnsi="Times New Roman"/>
          <w:sz w:val="24"/>
        </w:rPr>
        <w:t> »</w:t>
      </w:r>
      <w:r>
        <w:rPr>
          <w:rFonts w:ascii="Times New Roman" w:hAnsi="Times New Roman"/>
          <w:sz w:val="24"/>
        </w:rPr>
        <w:t>,</w:t>
      </w:r>
      <w:r w:rsidR="008064D7">
        <w:rPr>
          <w:rFonts w:ascii="Times New Roman" w:hAnsi="Times New Roman"/>
          <w:sz w:val="24"/>
        </w:rPr>
        <w:t xml:space="preserve"> c’est-à-dire</w:t>
      </w:r>
      <w:r>
        <w:rPr>
          <w:rFonts w:ascii="Times New Roman" w:hAnsi="Times New Roman"/>
          <w:sz w:val="24"/>
        </w:rPr>
        <w:t>,</w:t>
      </w:r>
      <w:r w:rsidR="008064D7">
        <w:rPr>
          <w:rFonts w:ascii="Times New Roman" w:hAnsi="Times New Roman"/>
          <w:sz w:val="24"/>
        </w:rPr>
        <w:t xml:space="preserve"> sur le marché du débiteur, pour des conditions et un temps de réalisation normal</w:t>
      </w:r>
      <w:r w:rsidR="008064D7">
        <w:rPr>
          <w:rStyle w:val="Appelnotedebasdep"/>
          <w:rFonts w:ascii="Times New Roman" w:hAnsi="Times New Roman"/>
          <w:sz w:val="24"/>
        </w:rPr>
        <w:footnoteReference w:id="233"/>
      </w:r>
      <w:r>
        <w:rPr>
          <w:rFonts w:ascii="Times New Roman" w:hAnsi="Times New Roman"/>
          <w:sz w:val="24"/>
        </w:rPr>
        <w:t>.</w:t>
      </w:r>
      <w:r w:rsidR="008064D7">
        <w:rPr>
          <w:rFonts w:ascii="Times New Roman" w:hAnsi="Times New Roman"/>
          <w:sz w:val="24"/>
        </w:rPr>
        <w:t xml:space="preserve"> Comme dans les autres cas où le juge procède à une évaluation, </w:t>
      </w:r>
      <w:r>
        <w:rPr>
          <w:rFonts w:ascii="Times New Roman" w:hAnsi="Times New Roman"/>
          <w:sz w:val="24"/>
        </w:rPr>
        <w:t>il</w:t>
      </w:r>
      <w:r w:rsidR="008064D7">
        <w:rPr>
          <w:rFonts w:ascii="Times New Roman" w:hAnsi="Times New Roman"/>
          <w:sz w:val="24"/>
        </w:rPr>
        <w:t xml:space="preserve"> dispose d’un pouvoir assez large pour tenir compte des circonstances concrètes.</w:t>
      </w:r>
    </w:p>
    <w:p w:rsidR="008064D7" w:rsidRDefault="008064D7" w:rsidP="00061743">
      <w:pPr>
        <w:spacing w:line="240" w:lineRule="auto"/>
        <w:ind w:left="786"/>
        <w:rPr>
          <w:rFonts w:ascii="Times New Roman" w:hAnsi="Times New Roman"/>
          <w:sz w:val="24"/>
        </w:rPr>
      </w:pPr>
    </w:p>
    <w:p w:rsidR="008064D7" w:rsidRDefault="008064D7" w:rsidP="00061743">
      <w:pPr>
        <w:spacing w:line="240" w:lineRule="auto"/>
        <w:ind w:left="786"/>
        <w:rPr>
          <w:rFonts w:ascii="Times New Roman" w:hAnsi="Times New Roman"/>
          <w:sz w:val="24"/>
        </w:rPr>
      </w:pPr>
      <w:r>
        <w:rPr>
          <w:rFonts w:ascii="Times New Roman" w:hAnsi="Times New Roman"/>
          <w:sz w:val="24"/>
        </w:rPr>
        <w:t>Il faut ensuite é</w:t>
      </w:r>
      <w:r w:rsidRPr="007C17D3">
        <w:rPr>
          <w:rFonts w:ascii="Times New Roman" w:hAnsi="Times New Roman"/>
          <w:i/>
          <w:sz w:val="24"/>
        </w:rPr>
        <w:t>value</w:t>
      </w:r>
      <w:r>
        <w:rPr>
          <w:rFonts w:ascii="Times New Roman" w:hAnsi="Times New Roman"/>
          <w:sz w:val="24"/>
        </w:rPr>
        <w:t>r la valeur de la sureté au moment où la protection est demandée c’est-à-dire au moment où sa valeur aurait diminué</w:t>
      </w:r>
      <w:r w:rsidR="00BE06A4">
        <w:rPr>
          <w:rFonts w:ascii="Times New Roman" w:hAnsi="Times New Roman"/>
          <w:sz w:val="24"/>
        </w:rPr>
        <w:t xml:space="preserve"> ou pourrait diminuer</w:t>
      </w:r>
      <w:r>
        <w:rPr>
          <w:rFonts w:ascii="Times New Roman" w:hAnsi="Times New Roman"/>
          <w:sz w:val="24"/>
        </w:rPr>
        <w:t>. Le débiteur opposera qu’il ne faut pas retenir ici la valeur de liquidation mais bien la « </w:t>
      </w:r>
      <w:r w:rsidRPr="007C17D3">
        <w:rPr>
          <w:rFonts w:ascii="Times New Roman" w:hAnsi="Times New Roman"/>
          <w:i/>
          <w:sz w:val="24"/>
        </w:rPr>
        <w:t>Fair</w:t>
      </w:r>
      <w:r>
        <w:rPr>
          <w:rFonts w:ascii="Times New Roman" w:hAnsi="Times New Roman"/>
          <w:sz w:val="24"/>
        </w:rPr>
        <w:t xml:space="preserve"> </w:t>
      </w:r>
      <w:r w:rsidRPr="007C17D3">
        <w:rPr>
          <w:rFonts w:ascii="Times New Roman" w:hAnsi="Times New Roman"/>
          <w:i/>
          <w:sz w:val="24"/>
        </w:rPr>
        <w:t>value</w:t>
      </w:r>
      <w:r>
        <w:rPr>
          <w:rFonts w:ascii="Times New Roman" w:hAnsi="Times New Roman"/>
          <w:sz w:val="24"/>
        </w:rPr>
        <w:t xml:space="preserve"> » </w:t>
      </w:r>
      <w:r>
        <w:rPr>
          <w:rStyle w:val="Appelnotedebasdep"/>
          <w:rFonts w:ascii="Times New Roman" w:hAnsi="Times New Roman"/>
          <w:sz w:val="24"/>
        </w:rPr>
        <w:footnoteReference w:id="234"/>
      </w:r>
      <w:r w:rsidRPr="00061743">
        <w:rPr>
          <w:rFonts w:ascii="Times New Roman" w:hAnsi="Times New Roman"/>
          <w:sz w:val="24"/>
        </w:rPr>
        <w:t>,</w:t>
      </w:r>
      <w:r>
        <w:rPr>
          <w:rFonts w:ascii="Times New Roman" w:hAnsi="Times New Roman"/>
          <w:sz w:val="24"/>
        </w:rPr>
        <w:t xml:space="preserve">puisque le bien est toujours utilisé en </w:t>
      </w:r>
      <w:r w:rsidRPr="007C17D3">
        <w:rPr>
          <w:rFonts w:ascii="Times New Roman" w:hAnsi="Times New Roman"/>
          <w:i/>
          <w:sz w:val="24"/>
        </w:rPr>
        <w:t>going-concern</w:t>
      </w:r>
      <w:r>
        <w:rPr>
          <w:rFonts w:ascii="Times New Roman" w:hAnsi="Times New Roman"/>
          <w:sz w:val="24"/>
        </w:rPr>
        <w:t xml:space="preserve"> dans le cadre d’une exploitation pouvant encore conduire à un plan approuvé s’il prouve que les évidences ne sont pas qu’il va devoir convertir la procédure en </w:t>
      </w:r>
      <w:r w:rsidRPr="007C17D3">
        <w:rPr>
          <w:rFonts w:ascii="Times New Roman" w:hAnsi="Times New Roman"/>
          <w:i/>
          <w:sz w:val="24"/>
        </w:rPr>
        <w:t>Chapter 7</w:t>
      </w:r>
      <w:r>
        <w:rPr>
          <w:rFonts w:ascii="Times New Roman" w:hAnsi="Times New Roman"/>
          <w:sz w:val="24"/>
        </w:rPr>
        <w:t xml:space="preserve"> rapidement. C’est ainsi une valeur de « </w:t>
      </w:r>
      <w:r w:rsidRPr="00BE06A4">
        <w:rPr>
          <w:rFonts w:ascii="Times New Roman" w:hAnsi="Times New Roman"/>
          <w:i/>
          <w:sz w:val="24"/>
        </w:rPr>
        <w:t>réorganisation</w:t>
      </w:r>
      <w:r>
        <w:rPr>
          <w:rFonts w:ascii="Times New Roman" w:hAnsi="Times New Roman"/>
          <w:sz w:val="24"/>
        </w:rPr>
        <w:t> »</w:t>
      </w:r>
      <w:r>
        <w:rPr>
          <w:rStyle w:val="Appelnotedebasdep"/>
          <w:rFonts w:ascii="Times New Roman" w:hAnsi="Times New Roman"/>
          <w:sz w:val="24"/>
        </w:rPr>
        <w:footnoteReference w:id="235"/>
      </w:r>
      <w:r w:rsidR="00BE06A4">
        <w:rPr>
          <w:rFonts w:ascii="Times New Roman" w:hAnsi="Times New Roman"/>
          <w:sz w:val="24"/>
        </w:rPr>
        <w:t>.</w:t>
      </w:r>
      <w:r>
        <w:rPr>
          <w:rFonts w:ascii="Times New Roman" w:hAnsi="Times New Roman"/>
          <w:sz w:val="24"/>
        </w:rPr>
        <w:t xml:space="preserve"> Les cours, sur base du précédent ResCap, retiennent</w:t>
      </w:r>
      <w:r w:rsidR="00BE06A4">
        <w:rPr>
          <w:rFonts w:ascii="Times New Roman" w:hAnsi="Times New Roman"/>
          <w:sz w:val="24"/>
        </w:rPr>
        <w:t>,</w:t>
      </w:r>
      <w:r>
        <w:rPr>
          <w:rFonts w:ascii="Times New Roman" w:hAnsi="Times New Roman"/>
          <w:sz w:val="24"/>
        </w:rPr>
        <w:t xml:space="preserve"> lorsque cette démonstration est faite</w:t>
      </w:r>
      <w:r w:rsidR="00BE06A4">
        <w:rPr>
          <w:rFonts w:ascii="Times New Roman" w:hAnsi="Times New Roman"/>
          <w:sz w:val="24"/>
        </w:rPr>
        <w:t>,</w:t>
      </w:r>
      <w:r>
        <w:rPr>
          <w:rFonts w:ascii="Times New Roman" w:hAnsi="Times New Roman"/>
          <w:sz w:val="24"/>
        </w:rPr>
        <w:t xml:space="preserve"> une valeur </w:t>
      </w:r>
      <w:r w:rsidRPr="007C17D3">
        <w:rPr>
          <w:rFonts w:ascii="Times New Roman" w:hAnsi="Times New Roman"/>
          <w:i/>
          <w:sz w:val="24"/>
        </w:rPr>
        <w:t>going-concern</w:t>
      </w:r>
      <w:r>
        <w:rPr>
          <w:rStyle w:val="Appelnotedebasdep"/>
          <w:rFonts w:ascii="Times New Roman" w:hAnsi="Times New Roman"/>
          <w:sz w:val="24"/>
        </w:rPr>
        <w:footnoteReference w:id="236"/>
      </w:r>
      <w:r>
        <w:rPr>
          <w:rFonts w:ascii="Times New Roman" w:hAnsi="Times New Roman"/>
          <w:sz w:val="24"/>
        </w:rPr>
        <w:t xml:space="preserve"> o</w:t>
      </w:r>
      <w:r w:rsidR="00BE06A4">
        <w:rPr>
          <w:rFonts w:ascii="Times New Roman" w:hAnsi="Times New Roman"/>
          <w:sz w:val="24"/>
        </w:rPr>
        <w:t>ù</w:t>
      </w:r>
      <w:r>
        <w:rPr>
          <w:rFonts w:ascii="Times New Roman" w:hAnsi="Times New Roman"/>
          <w:sz w:val="24"/>
        </w:rPr>
        <w:t xml:space="preserve"> la valeur de remplacement </w:t>
      </w:r>
      <w:r>
        <w:rPr>
          <w:rStyle w:val="Appelnotedebasdep"/>
          <w:rFonts w:ascii="Times New Roman" w:hAnsi="Times New Roman"/>
          <w:sz w:val="24"/>
        </w:rPr>
        <w:footnoteReference w:id="237"/>
      </w:r>
      <w:r w:rsidR="00BE06A4">
        <w:rPr>
          <w:rFonts w:ascii="Times New Roman" w:hAnsi="Times New Roman"/>
          <w:sz w:val="24"/>
        </w:rPr>
        <w:t xml:space="preserve"> peut être retenue</w:t>
      </w:r>
      <w:r>
        <w:rPr>
          <w:rFonts w:ascii="Times New Roman" w:hAnsi="Times New Roman"/>
          <w:sz w:val="24"/>
        </w:rPr>
        <w:t>.</w:t>
      </w:r>
    </w:p>
    <w:p w:rsidR="008064D7" w:rsidRDefault="008064D7" w:rsidP="00061743">
      <w:pPr>
        <w:spacing w:line="240" w:lineRule="auto"/>
        <w:ind w:left="786"/>
        <w:rPr>
          <w:rFonts w:ascii="Times New Roman" w:hAnsi="Times New Roman"/>
          <w:sz w:val="24"/>
        </w:rPr>
      </w:pPr>
    </w:p>
    <w:p w:rsidR="008064D7" w:rsidRPr="00061743" w:rsidRDefault="008064D7" w:rsidP="00061743">
      <w:pPr>
        <w:spacing w:line="240" w:lineRule="auto"/>
        <w:ind w:left="786"/>
        <w:rPr>
          <w:rFonts w:ascii="Times New Roman" w:hAnsi="Times New Roman"/>
          <w:sz w:val="24"/>
        </w:rPr>
      </w:pPr>
      <w:r w:rsidRPr="00061743">
        <w:rPr>
          <w:rFonts w:ascii="Times New Roman" w:hAnsi="Times New Roman"/>
          <w:sz w:val="24"/>
        </w:rPr>
        <w:t>La section 363 autorise le créancier à obtenir une indemnisation de la perte de valeur pendant la procédure</w:t>
      </w:r>
      <w:r>
        <w:rPr>
          <w:rStyle w:val="Appelnotedebasdep"/>
          <w:rFonts w:ascii="Times New Roman" w:hAnsi="Times New Roman"/>
          <w:sz w:val="24"/>
        </w:rPr>
        <w:footnoteReference w:id="238"/>
      </w:r>
      <w:r>
        <w:rPr>
          <w:rStyle w:val="Appelnotedebasdep"/>
          <w:rFonts w:ascii="Times New Roman" w:hAnsi="Times New Roman"/>
          <w:sz w:val="24"/>
        </w:rPr>
        <w:footnoteReference w:id="239"/>
      </w:r>
      <w:r>
        <w:rPr>
          <w:rFonts w:ascii="Times New Roman" w:hAnsi="Times New Roman"/>
          <w:sz w:val="24"/>
        </w:rPr>
        <w:t xml:space="preserve"> qui est une créance supplémentaire à régler dans le cadre du plan. Le cas de l’</w:t>
      </w:r>
      <w:r w:rsidRPr="007C17D3">
        <w:rPr>
          <w:rFonts w:ascii="Times New Roman" w:hAnsi="Times New Roman"/>
          <w:sz w:val="24"/>
        </w:rPr>
        <w:t>affaire</w:t>
      </w:r>
      <w:r>
        <w:rPr>
          <w:rFonts w:ascii="Times New Roman" w:hAnsi="Times New Roman"/>
          <w:sz w:val="24"/>
        </w:rPr>
        <w:t xml:space="preserve"> Sears</w:t>
      </w:r>
      <w:r>
        <w:rPr>
          <w:rStyle w:val="Appelnotedebasdep"/>
          <w:rFonts w:ascii="Times New Roman" w:hAnsi="Times New Roman"/>
          <w:sz w:val="24"/>
        </w:rPr>
        <w:footnoteReference w:id="240"/>
      </w:r>
      <w:r>
        <w:rPr>
          <w:rFonts w:ascii="Times New Roman" w:hAnsi="Times New Roman"/>
          <w:sz w:val="24"/>
        </w:rPr>
        <w:t xml:space="preserve"> est illustratif</w:t>
      </w:r>
      <w:r>
        <w:rPr>
          <w:rStyle w:val="Appelnotedebasdep"/>
          <w:rFonts w:ascii="Times New Roman" w:hAnsi="Times New Roman"/>
          <w:sz w:val="24"/>
        </w:rPr>
        <w:footnoteReference w:id="241"/>
      </w:r>
      <w:r>
        <w:rPr>
          <w:rFonts w:ascii="Times New Roman" w:hAnsi="Times New Roman"/>
          <w:sz w:val="24"/>
        </w:rPr>
        <w:t xml:space="preserve"> : la dette avant la demande est de 1.6 milliard de dette </w:t>
      </w:r>
      <w:r w:rsidR="00BE06A4">
        <w:rPr>
          <w:rFonts w:ascii="Times New Roman" w:hAnsi="Times New Roman"/>
          <w:sz w:val="24"/>
        </w:rPr>
        <w:t>sécurisée</w:t>
      </w:r>
      <w:r>
        <w:rPr>
          <w:rFonts w:ascii="Times New Roman" w:hAnsi="Times New Roman"/>
          <w:sz w:val="24"/>
        </w:rPr>
        <w:t xml:space="preserve"> de 1</w:t>
      </w:r>
      <w:r w:rsidRPr="00F81758">
        <w:rPr>
          <w:rFonts w:ascii="Times New Roman" w:hAnsi="Times New Roman"/>
          <w:sz w:val="24"/>
          <w:vertAlign w:val="superscript"/>
        </w:rPr>
        <w:t>er</w:t>
      </w:r>
      <w:r>
        <w:rPr>
          <w:rFonts w:ascii="Times New Roman" w:hAnsi="Times New Roman"/>
          <w:sz w:val="24"/>
        </w:rPr>
        <w:t xml:space="preserve"> rang et 1.15 milliards de dette sécurisée de second rang . Elle obtient du </w:t>
      </w:r>
      <w:r w:rsidRPr="007C17D3">
        <w:rPr>
          <w:rFonts w:ascii="Times New Roman" w:hAnsi="Times New Roman"/>
          <w:i/>
          <w:sz w:val="24"/>
        </w:rPr>
        <w:t>DIP</w:t>
      </w:r>
      <w:r>
        <w:rPr>
          <w:rFonts w:ascii="Times New Roman" w:hAnsi="Times New Roman"/>
          <w:sz w:val="24"/>
        </w:rPr>
        <w:t xml:space="preserve"> </w:t>
      </w:r>
      <w:r w:rsidRPr="007C17D3">
        <w:rPr>
          <w:rFonts w:ascii="Times New Roman" w:hAnsi="Times New Roman"/>
          <w:i/>
          <w:sz w:val="24"/>
        </w:rPr>
        <w:t>financing</w:t>
      </w:r>
      <w:r>
        <w:rPr>
          <w:rFonts w:ascii="Times New Roman" w:hAnsi="Times New Roman"/>
          <w:sz w:val="24"/>
        </w:rPr>
        <w:t xml:space="preserve"> qui prime ces deux rangs de sa société mère. Le plan consiste à vendre les magasins qui ne sont plus rentables et de relancer les autres par </w:t>
      </w:r>
      <w:r w:rsidR="00BE06A4">
        <w:rPr>
          <w:rFonts w:ascii="Times New Roman" w:hAnsi="Times New Roman"/>
          <w:sz w:val="24"/>
        </w:rPr>
        <w:t>des investissements</w:t>
      </w:r>
      <w:r>
        <w:rPr>
          <w:rFonts w:ascii="Times New Roman" w:hAnsi="Times New Roman"/>
          <w:sz w:val="24"/>
        </w:rPr>
        <w:t xml:space="preserve"> en </w:t>
      </w:r>
      <w:r w:rsidRPr="007C17D3">
        <w:rPr>
          <w:rFonts w:ascii="Times New Roman" w:hAnsi="Times New Roman"/>
          <w:i/>
          <w:sz w:val="24"/>
        </w:rPr>
        <w:t>ma</w:t>
      </w:r>
      <w:r w:rsidRPr="00B96F5D">
        <w:rPr>
          <w:rFonts w:ascii="Times New Roman" w:hAnsi="Times New Roman"/>
          <w:i/>
          <w:sz w:val="24"/>
        </w:rPr>
        <w:t>rketing</w:t>
      </w:r>
      <w:r>
        <w:rPr>
          <w:rFonts w:ascii="Times New Roman" w:hAnsi="Times New Roman"/>
          <w:sz w:val="24"/>
        </w:rPr>
        <w:t>. Le contentieux sur l’adéquate protection – sur la valeur de la diminution de valeur des magasins- fut tranché en référence à la décision Rash de la Cour suprême pour rejeter la perte de valeur.</w:t>
      </w:r>
    </w:p>
    <w:p w:rsidR="008064D7" w:rsidRPr="00AE3545" w:rsidRDefault="008064D7" w:rsidP="00AE3545">
      <w:pPr>
        <w:pStyle w:val="Paragraphedeliste"/>
        <w:rPr>
          <w:rFonts w:ascii="Times New Roman" w:hAnsi="Times New Roman"/>
          <w:sz w:val="24"/>
        </w:rPr>
      </w:pPr>
    </w:p>
    <w:p w:rsidR="008064D7" w:rsidRDefault="008064D7" w:rsidP="00AE3545">
      <w:pPr>
        <w:pStyle w:val="Paragraphedeliste"/>
        <w:numPr>
          <w:ilvl w:val="0"/>
          <w:numId w:val="2"/>
        </w:numPr>
        <w:spacing w:line="240" w:lineRule="auto"/>
        <w:rPr>
          <w:rFonts w:ascii="Times New Roman" w:hAnsi="Times New Roman"/>
          <w:sz w:val="24"/>
        </w:rPr>
      </w:pPr>
      <w:r w:rsidRPr="00AE3545">
        <w:rPr>
          <w:rFonts w:ascii="Times New Roman" w:hAnsi="Times New Roman"/>
          <w:sz w:val="24"/>
          <w:u w:val="single"/>
        </w:rPr>
        <w:t xml:space="preserve">L’autorisation </w:t>
      </w:r>
      <w:r w:rsidR="00BE06A4">
        <w:rPr>
          <w:rFonts w:ascii="Times New Roman" w:hAnsi="Times New Roman"/>
          <w:sz w:val="24"/>
          <w:u w:val="single"/>
        </w:rPr>
        <w:t>du juge.</w:t>
      </w:r>
      <w:r w:rsidR="00BE06A4">
        <w:rPr>
          <w:rFonts w:ascii="Times New Roman" w:hAnsi="Times New Roman"/>
          <w:sz w:val="24"/>
        </w:rPr>
        <w:t xml:space="preserve"> Souvent, les juges admettent</w:t>
      </w:r>
      <w:r>
        <w:rPr>
          <w:rFonts w:ascii="Times New Roman" w:hAnsi="Times New Roman"/>
          <w:sz w:val="24"/>
        </w:rPr>
        <w:t xml:space="preserve"> des crédit couvrant des besoins opérationnels normaux dans le cours des </w:t>
      </w:r>
      <w:r w:rsidRPr="007C17D3">
        <w:rPr>
          <w:rFonts w:ascii="Times New Roman" w:hAnsi="Times New Roman"/>
          <w:sz w:val="24"/>
        </w:rPr>
        <w:t>affaire</w:t>
      </w:r>
      <w:r>
        <w:rPr>
          <w:rFonts w:ascii="Times New Roman" w:hAnsi="Times New Roman"/>
          <w:sz w:val="24"/>
        </w:rPr>
        <w:t>s</w:t>
      </w:r>
      <w:r>
        <w:rPr>
          <w:rStyle w:val="Appelnotedebasdep"/>
          <w:rFonts w:ascii="Times New Roman" w:hAnsi="Times New Roman"/>
          <w:sz w:val="24"/>
        </w:rPr>
        <w:footnoteReference w:id="242"/>
      </w:r>
      <w:r w:rsidR="00BE06A4">
        <w:rPr>
          <w:rFonts w:ascii="Times New Roman" w:hAnsi="Times New Roman"/>
          <w:sz w:val="24"/>
        </w:rPr>
        <w:t xml:space="preserve">, par exemple, </w:t>
      </w:r>
      <w:r>
        <w:rPr>
          <w:rFonts w:ascii="Times New Roman" w:hAnsi="Times New Roman"/>
          <w:sz w:val="24"/>
        </w:rPr>
        <w:t xml:space="preserve"> pour couvrir les frais généraux et les achats nécessaire, souvent après un </w:t>
      </w:r>
      <w:r w:rsidRPr="007C17D3">
        <w:rPr>
          <w:rFonts w:ascii="Times New Roman" w:hAnsi="Times New Roman"/>
          <w:i/>
          <w:sz w:val="24"/>
        </w:rPr>
        <w:t>hearing</w:t>
      </w:r>
      <w:r>
        <w:rPr>
          <w:rFonts w:ascii="Times New Roman" w:hAnsi="Times New Roman"/>
          <w:sz w:val="24"/>
        </w:rPr>
        <w:t xml:space="preserve"> assez précis et documenté </w:t>
      </w:r>
      <w:r>
        <w:rPr>
          <w:rStyle w:val="Appelnotedebasdep"/>
          <w:rFonts w:ascii="Times New Roman" w:hAnsi="Times New Roman"/>
          <w:sz w:val="24"/>
        </w:rPr>
        <w:footnoteReference w:id="243"/>
      </w:r>
      <w:r w:rsidR="00BE06A4">
        <w:rPr>
          <w:rFonts w:ascii="Times New Roman" w:hAnsi="Times New Roman"/>
          <w:sz w:val="24"/>
        </w:rPr>
        <w:t>.</w:t>
      </w:r>
    </w:p>
    <w:p w:rsidR="00BE06A4" w:rsidRDefault="00BE06A4" w:rsidP="00BE06A4">
      <w:pPr>
        <w:pStyle w:val="Paragraphedeliste"/>
        <w:spacing w:line="240" w:lineRule="auto"/>
        <w:ind w:left="786"/>
        <w:rPr>
          <w:rFonts w:ascii="Times New Roman" w:hAnsi="Times New Roman"/>
          <w:sz w:val="24"/>
        </w:rPr>
      </w:pPr>
    </w:p>
    <w:p w:rsidR="008064D7" w:rsidRPr="00AE3545" w:rsidRDefault="00BE06A4" w:rsidP="00AE3545">
      <w:pPr>
        <w:pStyle w:val="Paragraphedeliste"/>
        <w:spacing w:line="240" w:lineRule="auto"/>
        <w:ind w:left="786"/>
        <w:rPr>
          <w:rFonts w:ascii="Times New Roman" w:hAnsi="Times New Roman"/>
          <w:sz w:val="24"/>
        </w:rPr>
      </w:pPr>
      <w:r>
        <w:rPr>
          <w:rFonts w:ascii="Times New Roman" w:hAnsi="Times New Roman"/>
          <w:sz w:val="24"/>
        </w:rPr>
        <w:t>Mais d’autres types de crédits peuvent être autorisés : d</w:t>
      </w:r>
      <w:r w:rsidR="008064D7">
        <w:rPr>
          <w:rFonts w:ascii="Times New Roman" w:hAnsi="Times New Roman"/>
          <w:sz w:val="24"/>
        </w:rPr>
        <w:t>a</w:t>
      </w:r>
      <w:r w:rsidR="008064D7" w:rsidRPr="00AE3545">
        <w:rPr>
          <w:rFonts w:ascii="Times New Roman" w:hAnsi="Times New Roman"/>
          <w:sz w:val="24"/>
        </w:rPr>
        <w:t>ns l’</w:t>
      </w:r>
      <w:r w:rsidR="008064D7" w:rsidRPr="007C17D3">
        <w:rPr>
          <w:rFonts w:ascii="Times New Roman" w:hAnsi="Times New Roman"/>
          <w:sz w:val="24"/>
        </w:rPr>
        <w:t>affaire</w:t>
      </w:r>
      <w:r w:rsidR="008064D7" w:rsidRPr="00AE3545">
        <w:rPr>
          <w:rFonts w:ascii="Times New Roman" w:hAnsi="Times New Roman"/>
          <w:sz w:val="24"/>
        </w:rPr>
        <w:t xml:space="preserve"> HERTZ , le juge </w:t>
      </w:r>
      <w:r>
        <w:rPr>
          <w:rFonts w:ascii="Times New Roman" w:hAnsi="Times New Roman"/>
          <w:sz w:val="24"/>
        </w:rPr>
        <w:t>a même autorisé</w:t>
      </w:r>
      <w:r w:rsidR="008064D7" w:rsidRPr="00AE3545">
        <w:rPr>
          <w:rFonts w:ascii="Times New Roman" w:hAnsi="Times New Roman"/>
          <w:sz w:val="24"/>
        </w:rPr>
        <w:t xml:space="preserve"> un </w:t>
      </w:r>
      <w:r w:rsidR="008064D7" w:rsidRPr="007C17D3">
        <w:rPr>
          <w:rFonts w:ascii="Times New Roman" w:hAnsi="Times New Roman"/>
          <w:i/>
          <w:sz w:val="24"/>
        </w:rPr>
        <w:t>DIP</w:t>
      </w:r>
      <w:r w:rsidR="008064D7" w:rsidRPr="00AE3545">
        <w:rPr>
          <w:rFonts w:ascii="Times New Roman" w:hAnsi="Times New Roman"/>
          <w:sz w:val="24"/>
        </w:rPr>
        <w:t xml:space="preserve"> </w:t>
      </w:r>
      <w:r w:rsidR="008064D7" w:rsidRPr="007C17D3">
        <w:rPr>
          <w:rFonts w:ascii="Times New Roman" w:hAnsi="Times New Roman"/>
          <w:i/>
          <w:sz w:val="24"/>
        </w:rPr>
        <w:t>financing</w:t>
      </w:r>
      <w:r w:rsidR="008064D7" w:rsidRPr="00AE3545">
        <w:rPr>
          <w:rFonts w:ascii="Times New Roman" w:hAnsi="Times New Roman"/>
          <w:sz w:val="24"/>
        </w:rPr>
        <w:t xml:space="preserve"> via une augmentation de capital ou une cession d’actions propre</w:t>
      </w:r>
      <w:r w:rsidR="008064D7">
        <w:rPr>
          <w:rStyle w:val="Appelnotedebasdep"/>
          <w:rFonts w:ascii="Times New Roman" w:hAnsi="Times New Roman"/>
          <w:sz w:val="24"/>
        </w:rPr>
        <w:footnoteReference w:id="244"/>
      </w:r>
      <w:r>
        <w:rPr>
          <w:rFonts w:ascii="Times New Roman" w:hAnsi="Times New Roman"/>
          <w:sz w:val="24"/>
        </w:rPr>
        <w:t xml:space="preserve"> et via un prêt servant à financer des investissements.</w:t>
      </w:r>
    </w:p>
    <w:p w:rsidR="008064D7" w:rsidRPr="00AE3545" w:rsidRDefault="008064D7" w:rsidP="00AE3545">
      <w:pPr>
        <w:pStyle w:val="Paragraphedeliste"/>
        <w:spacing w:line="240" w:lineRule="auto"/>
        <w:ind w:left="786"/>
        <w:rPr>
          <w:rFonts w:ascii="Times New Roman" w:hAnsi="Times New Roman"/>
          <w:sz w:val="24"/>
        </w:rPr>
      </w:pPr>
    </w:p>
    <w:p w:rsidR="008064D7" w:rsidRDefault="008064D7" w:rsidP="00AE3545">
      <w:pPr>
        <w:pStyle w:val="Paragraphedeliste"/>
        <w:spacing w:line="240" w:lineRule="auto"/>
        <w:ind w:left="786"/>
        <w:rPr>
          <w:rFonts w:ascii="Times New Roman" w:hAnsi="Times New Roman"/>
          <w:sz w:val="24"/>
        </w:rPr>
      </w:pPr>
      <w:r>
        <w:rPr>
          <w:rFonts w:ascii="Times New Roman" w:hAnsi="Times New Roman"/>
          <w:sz w:val="24"/>
        </w:rPr>
        <w:t xml:space="preserve">Le financement peut être </w:t>
      </w:r>
      <w:r w:rsidRPr="00B96F5D">
        <w:rPr>
          <w:rFonts w:ascii="Times New Roman" w:hAnsi="Times New Roman"/>
          <w:i/>
          <w:sz w:val="24"/>
        </w:rPr>
        <w:t>pari passu</w:t>
      </w:r>
      <w:r w:rsidRPr="00AE3545">
        <w:rPr>
          <w:rFonts w:ascii="Times New Roman" w:hAnsi="Times New Roman"/>
          <w:sz w:val="24"/>
        </w:rPr>
        <w:t xml:space="preserve"> avec les créanciers séniors</w:t>
      </w:r>
      <w:r w:rsidR="00BE06A4">
        <w:rPr>
          <w:rFonts w:ascii="Times New Roman" w:hAnsi="Times New Roman"/>
          <w:sz w:val="24"/>
        </w:rPr>
        <w:t>, si bien que dans ce cas, l</w:t>
      </w:r>
      <w:r w:rsidRPr="00AE3545">
        <w:rPr>
          <w:rFonts w:ascii="Times New Roman" w:hAnsi="Times New Roman"/>
          <w:sz w:val="24"/>
        </w:rPr>
        <w:t>a sûreté a la même position que les autres sûretés</w:t>
      </w:r>
      <w:r w:rsidR="00BE06A4">
        <w:rPr>
          <w:rFonts w:ascii="Times New Roman" w:hAnsi="Times New Roman"/>
          <w:sz w:val="24"/>
        </w:rPr>
        <w:t xml:space="preserve"> antérieures sur une assiette présumée plus grande</w:t>
      </w:r>
      <w:r w:rsidRPr="00AE3545">
        <w:rPr>
          <w:rFonts w:ascii="Times New Roman" w:hAnsi="Times New Roman"/>
          <w:sz w:val="24"/>
        </w:rPr>
        <w:t xml:space="preserve">. </w:t>
      </w:r>
    </w:p>
    <w:p w:rsidR="008064D7" w:rsidRDefault="008064D7" w:rsidP="00AE3545">
      <w:pPr>
        <w:pStyle w:val="Paragraphedeliste"/>
        <w:spacing w:line="240" w:lineRule="auto"/>
        <w:ind w:left="786"/>
        <w:rPr>
          <w:rFonts w:ascii="Times New Roman" w:hAnsi="Times New Roman"/>
          <w:sz w:val="24"/>
        </w:rPr>
      </w:pPr>
    </w:p>
    <w:p w:rsidR="002927C2" w:rsidRDefault="002927C2" w:rsidP="00AE3545">
      <w:pPr>
        <w:pStyle w:val="Paragraphedeliste"/>
        <w:spacing w:line="240" w:lineRule="auto"/>
        <w:ind w:left="786"/>
        <w:rPr>
          <w:rFonts w:ascii="Times New Roman" w:hAnsi="Times New Roman"/>
          <w:sz w:val="24"/>
        </w:rPr>
      </w:pPr>
      <w:r>
        <w:rPr>
          <w:rFonts w:ascii="Times New Roman" w:hAnsi="Times New Roman"/>
          <w:sz w:val="24"/>
        </w:rPr>
        <w:t>Mais il est possible d’obtenir une sûreté préférentielle : un</w:t>
      </w:r>
      <w:r w:rsidR="008064D7" w:rsidRPr="00AE3545">
        <w:rPr>
          <w:rFonts w:ascii="Times New Roman" w:hAnsi="Times New Roman"/>
          <w:sz w:val="24"/>
        </w:rPr>
        <w:t xml:space="preserve"> « </w:t>
      </w:r>
      <w:r w:rsidR="008064D7" w:rsidRPr="007C17D3">
        <w:rPr>
          <w:rFonts w:ascii="Times New Roman" w:hAnsi="Times New Roman"/>
          <w:i/>
          <w:sz w:val="24"/>
        </w:rPr>
        <w:t>priming</w:t>
      </w:r>
      <w:r w:rsidR="008064D7" w:rsidRPr="00AE3545">
        <w:rPr>
          <w:rFonts w:ascii="Times New Roman" w:hAnsi="Times New Roman"/>
          <w:sz w:val="24"/>
        </w:rPr>
        <w:t> »</w:t>
      </w:r>
      <w:r w:rsidR="008064D7">
        <w:rPr>
          <w:rStyle w:val="Appelnotedebasdep"/>
          <w:rFonts w:ascii="Times New Roman" w:hAnsi="Times New Roman"/>
          <w:sz w:val="24"/>
        </w:rPr>
        <w:footnoteReference w:id="245"/>
      </w:r>
      <w:r w:rsidR="008064D7">
        <w:rPr>
          <w:rFonts w:ascii="Times New Roman" w:hAnsi="Times New Roman"/>
          <w:sz w:val="24"/>
        </w:rPr>
        <w:t xml:space="preserve"> ou </w:t>
      </w:r>
      <w:r>
        <w:rPr>
          <w:rFonts w:ascii="Times New Roman" w:hAnsi="Times New Roman"/>
          <w:sz w:val="24"/>
        </w:rPr>
        <w:t xml:space="preserve">un </w:t>
      </w:r>
      <w:r w:rsidR="008064D7">
        <w:rPr>
          <w:rFonts w:ascii="Times New Roman" w:hAnsi="Times New Roman"/>
          <w:sz w:val="24"/>
        </w:rPr>
        <w:t>« </w:t>
      </w:r>
      <w:r w:rsidR="008064D7" w:rsidRPr="00B96F5D">
        <w:rPr>
          <w:rFonts w:ascii="Times New Roman" w:hAnsi="Times New Roman"/>
          <w:i/>
          <w:sz w:val="24"/>
        </w:rPr>
        <w:t>super priority</w:t>
      </w:r>
      <w:r w:rsidR="008064D7">
        <w:rPr>
          <w:rFonts w:ascii="Times New Roman" w:hAnsi="Times New Roman"/>
          <w:sz w:val="24"/>
        </w:rPr>
        <w:t> »</w:t>
      </w:r>
      <w:r w:rsidR="008064D7">
        <w:rPr>
          <w:rStyle w:val="Appelnotedebasdep"/>
          <w:rFonts w:ascii="Times New Roman" w:hAnsi="Times New Roman"/>
          <w:sz w:val="24"/>
        </w:rPr>
        <w:footnoteReference w:id="246"/>
      </w:r>
      <w:r w:rsidR="008064D7" w:rsidRPr="00AE3545">
        <w:rPr>
          <w:rFonts w:ascii="Times New Roman" w:hAnsi="Times New Roman"/>
          <w:sz w:val="24"/>
        </w:rPr>
        <w:t xml:space="preserve"> </w:t>
      </w:r>
      <w:r>
        <w:rPr>
          <w:rFonts w:ascii="Times New Roman" w:hAnsi="Times New Roman"/>
          <w:sz w:val="24"/>
        </w:rPr>
        <w:t>qui aurait un</w:t>
      </w:r>
      <w:r w:rsidR="008064D7" w:rsidRPr="00AE3545">
        <w:rPr>
          <w:rFonts w:ascii="Times New Roman" w:hAnsi="Times New Roman"/>
          <w:sz w:val="24"/>
        </w:rPr>
        <w:t xml:space="preserve"> 1</w:t>
      </w:r>
      <w:r w:rsidR="008064D7" w:rsidRPr="00AE3545">
        <w:rPr>
          <w:rFonts w:ascii="Times New Roman" w:hAnsi="Times New Roman"/>
          <w:sz w:val="24"/>
          <w:vertAlign w:val="superscript"/>
        </w:rPr>
        <w:t>er</w:t>
      </w:r>
      <w:r w:rsidR="008064D7" w:rsidRPr="00AE3545">
        <w:rPr>
          <w:rFonts w:ascii="Times New Roman" w:hAnsi="Times New Roman"/>
          <w:sz w:val="24"/>
        </w:rPr>
        <w:t xml:space="preserve"> rang sur les créanciers, y compris les sécurisés</w:t>
      </w:r>
      <w:r>
        <w:rPr>
          <w:rFonts w:ascii="Times New Roman" w:hAnsi="Times New Roman"/>
          <w:sz w:val="24"/>
        </w:rPr>
        <w:t>,</w:t>
      </w:r>
      <w:r w:rsidR="008064D7">
        <w:rPr>
          <w:rFonts w:ascii="Times New Roman" w:hAnsi="Times New Roman"/>
          <w:sz w:val="24"/>
        </w:rPr>
        <w:t xml:space="preserve"> si un autre financement est impossible et que ce crédit est vraiment nécessaire pour préserver la valeur et ne crée pas de préjudice </w:t>
      </w:r>
      <w:r w:rsidR="008064D7" w:rsidRPr="002927C2">
        <w:rPr>
          <w:rFonts w:ascii="Times New Roman" w:hAnsi="Times New Roman"/>
          <w:sz w:val="24"/>
          <w:u w:val="single"/>
        </w:rPr>
        <w:t>excessif</w:t>
      </w:r>
      <w:r w:rsidR="008064D7">
        <w:rPr>
          <w:rFonts w:ascii="Times New Roman" w:hAnsi="Times New Roman"/>
          <w:sz w:val="24"/>
        </w:rPr>
        <w:t xml:space="preserve"> aux créanciers antérieurs</w:t>
      </w:r>
      <w:r w:rsidR="008064D7">
        <w:rPr>
          <w:rStyle w:val="Appelnotedebasdep"/>
          <w:rFonts w:ascii="Times New Roman" w:hAnsi="Times New Roman"/>
          <w:sz w:val="24"/>
        </w:rPr>
        <w:footnoteReference w:id="247"/>
      </w:r>
      <w:r>
        <w:rPr>
          <w:rFonts w:ascii="Times New Roman" w:hAnsi="Times New Roman"/>
          <w:sz w:val="24"/>
        </w:rPr>
        <w:t>.</w:t>
      </w:r>
      <w:r w:rsidR="008064D7" w:rsidRPr="00AE3545">
        <w:rPr>
          <w:rFonts w:ascii="Times New Roman" w:hAnsi="Times New Roman"/>
          <w:sz w:val="24"/>
        </w:rPr>
        <w:t xml:space="preserve"> </w:t>
      </w:r>
      <w:r>
        <w:rPr>
          <w:rFonts w:ascii="Times New Roman" w:hAnsi="Times New Roman"/>
          <w:sz w:val="24"/>
        </w:rPr>
        <w:t>P</w:t>
      </w:r>
      <w:r w:rsidR="008064D7" w:rsidRPr="00AE3545">
        <w:rPr>
          <w:rFonts w:ascii="Times New Roman" w:hAnsi="Times New Roman"/>
          <w:sz w:val="24"/>
        </w:rPr>
        <w:t>our obtenir cette autorisation, une évaluation est nécessaire car le débiteur doit prouver que ce crédit ne créera pas de dommage aux créanciers</w:t>
      </w:r>
      <w:r w:rsidR="008064D7">
        <w:rPr>
          <w:rStyle w:val="Appelnotedebasdep"/>
          <w:rFonts w:ascii="Times New Roman" w:hAnsi="Times New Roman"/>
          <w:sz w:val="24"/>
        </w:rPr>
        <w:footnoteReference w:id="248"/>
      </w:r>
      <w:r w:rsidR="008064D7" w:rsidRPr="00AE3545">
        <w:rPr>
          <w:rFonts w:ascii="Times New Roman" w:hAnsi="Times New Roman"/>
          <w:sz w:val="24"/>
        </w:rPr>
        <w:t xml:space="preserve">. La </w:t>
      </w:r>
      <w:r>
        <w:rPr>
          <w:rFonts w:ascii="Times New Roman" w:hAnsi="Times New Roman"/>
          <w:sz w:val="24"/>
        </w:rPr>
        <w:t xml:space="preserve">section 364 impose de vérifier </w:t>
      </w:r>
      <w:r w:rsidR="008064D7" w:rsidRPr="00AE3545">
        <w:rPr>
          <w:rFonts w:ascii="Times New Roman" w:hAnsi="Times New Roman"/>
          <w:sz w:val="24"/>
        </w:rPr>
        <w:t>que cela n’affecte pas les créanciers.</w:t>
      </w:r>
      <w:r w:rsidR="008064D7">
        <w:rPr>
          <w:rFonts w:ascii="Times New Roman" w:hAnsi="Times New Roman"/>
          <w:sz w:val="24"/>
        </w:rPr>
        <w:t xml:space="preserve"> </w:t>
      </w:r>
    </w:p>
    <w:p w:rsidR="002927C2" w:rsidRDefault="002927C2" w:rsidP="00AE3545">
      <w:pPr>
        <w:pStyle w:val="Paragraphedeliste"/>
        <w:spacing w:line="240" w:lineRule="auto"/>
        <w:ind w:left="786"/>
        <w:rPr>
          <w:rFonts w:ascii="Times New Roman" w:hAnsi="Times New Roman"/>
          <w:sz w:val="24"/>
        </w:rPr>
      </w:pPr>
    </w:p>
    <w:p w:rsidR="008064D7" w:rsidRPr="00AE3545" w:rsidRDefault="002927C2" w:rsidP="00AE3545">
      <w:pPr>
        <w:pStyle w:val="Paragraphedeliste"/>
        <w:spacing w:line="240" w:lineRule="auto"/>
        <w:ind w:left="786"/>
        <w:rPr>
          <w:rFonts w:ascii="Times New Roman" w:hAnsi="Times New Roman"/>
          <w:sz w:val="24"/>
        </w:rPr>
      </w:pPr>
      <w:r>
        <w:rPr>
          <w:rFonts w:ascii="Times New Roman" w:hAnsi="Times New Roman"/>
          <w:sz w:val="24"/>
        </w:rPr>
        <w:t>O</w:t>
      </w:r>
      <w:r w:rsidR="008064D7">
        <w:rPr>
          <w:rFonts w:ascii="Times New Roman" w:hAnsi="Times New Roman"/>
          <w:sz w:val="24"/>
        </w:rPr>
        <w:t xml:space="preserve">btenir une telle sûreté qui prime sur les autres </w:t>
      </w:r>
      <w:r w:rsidR="00BE06A4">
        <w:rPr>
          <w:rFonts w:ascii="Times New Roman" w:hAnsi="Times New Roman"/>
          <w:sz w:val="24"/>
        </w:rPr>
        <w:t>modifie</w:t>
      </w:r>
      <w:r w:rsidR="008064D7">
        <w:rPr>
          <w:rFonts w:ascii="Times New Roman" w:hAnsi="Times New Roman"/>
          <w:sz w:val="24"/>
        </w:rPr>
        <w:t xml:space="preserve"> radicalement le pouvoir de ce créancier dans l’approbation du plan. Il sera la classe dont le consentement sera nécessaire et souvent le bénéficiaire de la reprise ou de la </w:t>
      </w:r>
      <w:r w:rsidR="00CA65EA">
        <w:rPr>
          <w:rFonts w:ascii="Times New Roman" w:hAnsi="Times New Roman"/>
          <w:sz w:val="24"/>
        </w:rPr>
        <w:t>cession,</w:t>
      </w:r>
      <w:r w:rsidR="008064D7">
        <w:rPr>
          <w:rFonts w:ascii="Times New Roman" w:hAnsi="Times New Roman"/>
          <w:sz w:val="24"/>
        </w:rPr>
        <w:t xml:space="preserve"> comme cela a été le cas</w:t>
      </w:r>
      <w:r>
        <w:rPr>
          <w:rFonts w:ascii="Times New Roman" w:hAnsi="Times New Roman"/>
          <w:sz w:val="24"/>
        </w:rPr>
        <w:t>,</w:t>
      </w:r>
      <w:r w:rsidR="008064D7">
        <w:rPr>
          <w:rFonts w:ascii="Times New Roman" w:hAnsi="Times New Roman"/>
          <w:sz w:val="24"/>
        </w:rPr>
        <w:t xml:space="preserve"> par exemple</w:t>
      </w:r>
      <w:r>
        <w:rPr>
          <w:rFonts w:ascii="Times New Roman" w:hAnsi="Times New Roman"/>
          <w:sz w:val="24"/>
        </w:rPr>
        <w:t>,</w:t>
      </w:r>
      <w:r w:rsidR="008064D7">
        <w:rPr>
          <w:rFonts w:ascii="Times New Roman" w:hAnsi="Times New Roman"/>
          <w:sz w:val="24"/>
        </w:rPr>
        <w:t xml:space="preserve"> </w:t>
      </w:r>
      <w:r>
        <w:rPr>
          <w:rFonts w:ascii="Times New Roman" w:hAnsi="Times New Roman"/>
          <w:sz w:val="24"/>
        </w:rPr>
        <w:t>pour le repreneur américain de P</w:t>
      </w:r>
      <w:r w:rsidR="008064D7">
        <w:rPr>
          <w:rFonts w:ascii="Times New Roman" w:hAnsi="Times New Roman"/>
          <w:sz w:val="24"/>
        </w:rPr>
        <w:t>ain Quotidien qui a financé l</w:t>
      </w:r>
      <w:r>
        <w:rPr>
          <w:rFonts w:ascii="Times New Roman" w:hAnsi="Times New Roman"/>
          <w:sz w:val="24"/>
        </w:rPr>
        <w:t>a poursuite d’activité et le coû</w:t>
      </w:r>
      <w:r w:rsidR="008064D7">
        <w:rPr>
          <w:rFonts w:ascii="Times New Roman" w:hAnsi="Times New Roman"/>
          <w:sz w:val="24"/>
        </w:rPr>
        <w:t xml:space="preserve">t du </w:t>
      </w:r>
      <w:r w:rsidR="008064D7" w:rsidRPr="00B96F5D">
        <w:rPr>
          <w:rFonts w:ascii="Times New Roman" w:hAnsi="Times New Roman"/>
          <w:i/>
          <w:sz w:val="24"/>
        </w:rPr>
        <w:t>Chapter 11</w:t>
      </w:r>
      <w:r>
        <w:rPr>
          <w:rFonts w:ascii="Times New Roman" w:hAnsi="Times New Roman"/>
          <w:i/>
          <w:sz w:val="24"/>
        </w:rPr>
        <w:t>.</w:t>
      </w:r>
      <w:r w:rsidR="008064D7">
        <w:rPr>
          <w:rFonts w:ascii="Times New Roman" w:hAnsi="Times New Roman"/>
          <w:sz w:val="24"/>
        </w:rPr>
        <w:t xml:space="preserve"> A l’occasion de ce débat</w:t>
      </w:r>
      <w:r>
        <w:rPr>
          <w:rFonts w:ascii="Times New Roman" w:hAnsi="Times New Roman"/>
          <w:sz w:val="24"/>
        </w:rPr>
        <w:t>,</w:t>
      </w:r>
      <w:r w:rsidR="008064D7">
        <w:rPr>
          <w:rFonts w:ascii="Times New Roman" w:hAnsi="Times New Roman"/>
          <w:sz w:val="24"/>
        </w:rPr>
        <w:t xml:space="preserve"> un débat sur la valeur actuelle et la valeur future sera engagé</w:t>
      </w:r>
      <w:r w:rsidR="008064D7">
        <w:rPr>
          <w:rStyle w:val="Appelnotedebasdep"/>
          <w:rFonts w:ascii="Times New Roman" w:hAnsi="Times New Roman"/>
          <w:sz w:val="24"/>
        </w:rPr>
        <w:footnoteReference w:id="249"/>
      </w:r>
      <w:r w:rsidR="008064D7">
        <w:rPr>
          <w:rFonts w:ascii="Times New Roman" w:hAnsi="Times New Roman"/>
          <w:sz w:val="24"/>
        </w:rPr>
        <w:t>.</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Les créanciers peuvent s’opposer à cette autorisation</w:t>
      </w:r>
      <w:r>
        <w:rPr>
          <w:rStyle w:val="Appelnotedebasdep"/>
          <w:rFonts w:ascii="Times New Roman" w:hAnsi="Times New Roman"/>
          <w:sz w:val="24"/>
        </w:rPr>
        <w:footnoteReference w:id="250"/>
      </w:r>
      <w:r>
        <w:rPr>
          <w:rFonts w:ascii="Times New Roman" w:hAnsi="Times New Roman"/>
          <w:sz w:val="24"/>
        </w:rPr>
        <w:t xml:space="preserve"> en rapportant la preuve que ce crédit va affecter leurs intérêts</w:t>
      </w:r>
      <w:r w:rsidR="002927C2">
        <w:rPr>
          <w:rFonts w:ascii="Times New Roman" w:hAnsi="Times New Roman"/>
          <w:sz w:val="24"/>
        </w:rPr>
        <w:t>,</w:t>
      </w:r>
      <w:r>
        <w:rPr>
          <w:rFonts w:ascii="Times New Roman" w:hAnsi="Times New Roman"/>
          <w:sz w:val="24"/>
        </w:rPr>
        <w:t xml:space="preserve"> c’est-à-dire</w:t>
      </w:r>
      <w:r w:rsidR="002927C2">
        <w:rPr>
          <w:rFonts w:ascii="Times New Roman" w:hAnsi="Times New Roman"/>
          <w:sz w:val="24"/>
        </w:rPr>
        <w:t>,</w:t>
      </w:r>
      <w:r>
        <w:rPr>
          <w:rFonts w:ascii="Times New Roman" w:hAnsi="Times New Roman"/>
          <w:sz w:val="24"/>
        </w:rPr>
        <w:t xml:space="preserve"> la valeur du sous-jacent.</w:t>
      </w:r>
    </w:p>
    <w:p w:rsidR="008064D7" w:rsidRDefault="008064D7" w:rsidP="00AB6DD0">
      <w:pPr>
        <w:pStyle w:val="Paragraphedeliste"/>
        <w:spacing w:line="240" w:lineRule="auto"/>
        <w:ind w:left="786"/>
        <w:rPr>
          <w:rFonts w:ascii="Times New Roman" w:hAnsi="Times New Roman"/>
          <w:sz w:val="24"/>
        </w:rPr>
      </w:pPr>
    </w:p>
    <w:p w:rsidR="008064D7" w:rsidRDefault="008064D7" w:rsidP="00AB6DD0">
      <w:pPr>
        <w:pStyle w:val="Paragraphedeliste"/>
        <w:spacing w:line="240" w:lineRule="auto"/>
        <w:ind w:left="786"/>
        <w:rPr>
          <w:rFonts w:ascii="Times New Roman" w:hAnsi="Times New Roman"/>
          <w:sz w:val="24"/>
        </w:rPr>
      </w:pPr>
      <w:r>
        <w:rPr>
          <w:rFonts w:ascii="Times New Roman" w:hAnsi="Times New Roman"/>
          <w:sz w:val="24"/>
        </w:rPr>
        <w:t>Le contrôle du juge est assez large. Il peut prendre en compte l’intérêt du débiteur</w:t>
      </w:r>
      <w:r w:rsidR="002927C2">
        <w:rPr>
          <w:rFonts w:ascii="Times New Roman" w:hAnsi="Times New Roman"/>
          <w:sz w:val="24"/>
        </w:rPr>
        <w:t>,</w:t>
      </w:r>
      <w:r>
        <w:rPr>
          <w:rFonts w:ascii="Times New Roman" w:hAnsi="Times New Roman"/>
          <w:sz w:val="24"/>
        </w:rPr>
        <w:t xml:space="preserve">  ou des créanciers</w:t>
      </w:r>
      <w:r>
        <w:rPr>
          <w:rStyle w:val="Appelnotedebasdep"/>
          <w:rFonts w:ascii="Times New Roman" w:hAnsi="Times New Roman"/>
          <w:sz w:val="24"/>
        </w:rPr>
        <w:footnoteReference w:id="251"/>
      </w:r>
      <w:r w:rsidR="002927C2">
        <w:rPr>
          <w:rFonts w:ascii="Times New Roman" w:hAnsi="Times New Roman"/>
          <w:sz w:val="24"/>
        </w:rPr>
        <w:t>,</w:t>
      </w:r>
      <w:r>
        <w:rPr>
          <w:rFonts w:ascii="Times New Roman" w:hAnsi="Times New Roman"/>
          <w:sz w:val="24"/>
        </w:rPr>
        <w:t xml:space="preserve"> ou la probable augmentation de valeur du débiteur </w:t>
      </w:r>
      <w:r>
        <w:rPr>
          <w:rStyle w:val="Appelnotedebasdep"/>
          <w:rFonts w:ascii="Times New Roman" w:hAnsi="Times New Roman"/>
          <w:sz w:val="24"/>
        </w:rPr>
        <w:footnoteReference w:id="252"/>
      </w:r>
      <w:r>
        <w:rPr>
          <w:rFonts w:ascii="Times New Roman" w:hAnsi="Times New Roman"/>
          <w:sz w:val="24"/>
        </w:rPr>
        <w:t>. Il faut aussi rapporter la preuve qu’un autre crédit normal ne peut être trouvé</w:t>
      </w:r>
      <w:r>
        <w:rPr>
          <w:rStyle w:val="Appelnotedebasdep"/>
          <w:rFonts w:ascii="Times New Roman" w:hAnsi="Times New Roman"/>
          <w:sz w:val="24"/>
        </w:rPr>
        <w:footnoteReference w:id="253"/>
      </w:r>
      <w:r>
        <w:rPr>
          <w:rFonts w:ascii="Times New Roman" w:hAnsi="Times New Roman"/>
          <w:sz w:val="24"/>
        </w:rPr>
        <w:t>.</w:t>
      </w:r>
    </w:p>
    <w:p w:rsidR="008064D7" w:rsidRDefault="008064D7" w:rsidP="00AB6DD0">
      <w:pPr>
        <w:pStyle w:val="Paragraphedeliste"/>
        <w:spacing w:line="240" w:lineRule="auto"/>
        <w:ind w:left="786"/>
        <w:rPr>
          <w:rFonts w:ascii="Times New Roman" w:hAnsi="Times New Roman"/>
          <w:sz w:val="24"/>
        </w:rPr>
      </w:pPr>
    </w:p>
    <w:p w:rsidR="002927C2" w:rsidRDefault="008064D7" w:rsidP="00AB6DD0">
      <w:pPr>
        <w:pStyle w:val="Paragraphedeliste"/>
        <w:spacing w:line="240" w:lineRule="auto"/>
        <w:ind w:left="786"/>
        <w:rPr>
          <w:rFonts w:ascii="Times New Roman" w:hAnsi="Times New Roman"/>
          <w:sz w:val="24"/>
        </w:rPr>
      </w:pPr>
      <w:r>
        <w:rPr>
          <w:rFonts w:ascii="Times New Roman" w:hAnsi="Times New Roman"/>
          <w:sz w:val="24"/>
        </w:rPr>
        <w:t xml:space="preserve">Le contrôle du juge, après l’avis du comité </w:t>
      </w:r>
      <w:r w:rsidR="00CA65EA">
        <w:rPr>
          <w:rFonts w:ascii="Times New Roman" w:hAnsi="Times New Roman"/>
          <w:sz w:val="24"/>
        </w:rPr>
        <w:t>des créanciers</w:t>
      </w:r>
      <w:r>
        <w:rPr>
          <w:rFonts w:ascii="Times New Roman" w:hAnsi="Times New Roman"/>
          <w:sz w:val="24"/>
        </w:rPr>
        <w:t>, peut porter sur toutes les conditions contractuelles qui</w:t>
      </w:r>
      <w:r w:rsidR="002927C2">
        <w:rPr>
          <w:rFonts w:ascii="Times New Roman" w:hAnsi="Times New Roman"/>
          <w:sz w:val="24"/>
        </w:rPr>
        <w:t>,</w:t>
      </w:r>
      <w:r>
        <w:rPr>
          <w:rFonts w:ascii="Times New Roman" w:hAnsi="Times New Roman"/>
          <w:sz w:val="24"/>
        </w:rPr>
        <w:t xml:space="preserve"> souvent</w:t>
      </w:r>
      <w:r w:rsidR="002927C2">
        <w:rPr>
          <w:rFonts w:ascii="Times New Roman" w:hAnsi="Times New Roman"/>
          <w:sz w:val="24"/>
        </w:rPr>
        <w:t>,</w:t>
      </w:r>
      <w:r>
        <w:rPr>
          <w:rFonts w:ascii="Times New Roman" w:hAnsi="Times New Roman"/>
          <w:sz w:val="24"/>
        </w:rPr>
        <w:t xml:space="preserve"> recèle</w:t>
      </w:r>
      <w:r w:rsidR="002927C2">
        <w:rPr>
          <w:rFonts w:ascii="Times New Roman" w:hAnsi="Times New Roman"/>
          <w:sz w:val="24"/>
        </w:rPr>
        <w:t>nt</w:t>
      </w:r>
      <w:r>
        <w:rPr>
          <w:rFonts w:ascii="Times New Roman" w:hAnsi="Times New Roman"/>
          <w:sz w:val="24"/>
        </w:rPr>
        <w:t xml:space="preserve"> des clauses exorbitante</w:t>
      </w:r>
      <w:r w:rsidR="002927C2">
        <w:rPr>
          <w:rFonts w:ascii="Times New Roman" w:hAnsi="Times New Roman"/>
          <w:sz w:val="24"/>
        </w:rPr>
        <w:t>s</w:t>
      </w:r>
      <w:r>
        <w:rPr>
          <w:rFonts w:ascii="Times New Roman" w:hAnsi="Times New Roman"/>
          <w:sz w:val="24"/>
        </w:rPr>
        <w:t xml:space="preserve"> comme la </w:t>
      </w:r>
      <w:r>
        <w:rPr>
          <w:rFonts w:ascii="Times New Roman" w:hAnsi="Times New Roman"/>
          <w:sz w:val="24"/>
        </w:rPr>
        <w:lastRenderedPageBreak/>
        <w:t>nécessité d’obtenir l’accord du prêteur sur les proposition du plan</w:t>
      </w:r>
      <w:r w:rsidR="002927C2">
        <w:rPr>
          <w:rFonts w:ascii="Times New Roman" w:hAnsi="Times New Roman"/>
          <w:sz w:val="24"/>
        </w:rPr>
        <w:t>,</w:t>
      </w:r>
      <w:r>
        <w:rPr>
          <w:rFonts w:ascii="Times New Roman" w:hAnsi="Times New Roman"/>
          <w:sz w:val="24"/>
        </w:rPr>
        <w:t xml:space="preserve"> ou des clauses d’intérêts</w:t>
      </w:r>
      <w:r w:rsidR="002927C2">
        <w:rPr>
          <w:rFonts w:ascii="Times New Roman" w:hAnsi="Times New Roman"/>
          <w:sz w:val="24"/>
        </w:rPr>
        <w:t>,</w:t>
      </w:r>
      <w:r>
        <w:rPr>
          <w:rFonts w:ascii="Times New Roman" w:hAnsi="Times New Roman"/>
          <w:sz w:val="24"/>
        </w:rPr>
        <w:t xml:space="preserve"> ou de frais et </w:t>
      </w:r>
      <w:r w:rsidRPr="00B96F5D">
        <w:rPr>
          <w:rFonts w:ascii="Times New Roman" w:hAnsi="Times New Roman"/>
          <w:i/>
          <w:sz w:val="24"/>
        </w:rPr>
        <w:t xml:space="preserve">fees </w:t>
      </w:r>
      <w:r>
        <w:rPr>
          <w:rFonts w:ascii="Times New Roman" w:hAnsi="Times New Roman"/>
          <w:sz w:val="24"/>
        </w:rPr>
        <w:t xml:space="preserve">importants, le choix des dirigeants, les prix de cession de certains </w:t>
      </w:r>
      <w:r w:rsidR="002927C2">
        <w:rPr>
          <w:rFonts w:ascii="Times New Roman" w:hAnsi="Times New Roman"/>
          <w:sz w:val="24"/>
        </w:rPr>
        <w:t>actifs.</w:t>
      </w:r>
      <w:r>
        <w:rPr>
          <w:rFonts w:ascii="Times New Roman" w:hAnsi="Times New Roman"/>
          <w:sz w:val="24"/>
        </w:rPr>
        <w:t xml:space="preserve"> </w:t>
      </w:r>
    </w:p>
    <w:p w:rsidR="002927C2" w:rsidRDefault="002927C2" w:rsidP="00AB6DD0">
      <w:pPr>
        <w:pStyle w:val="Paragraphedeliste"/>
        <w:spacing w:line="240" w:lineRule="auto"/>
        <w:ind w:left="786"/>
        <w:rPr>
          <w:rFonts w:ascii="Times New Roman" w:hAnsi="Times New Roman"/>
          <w:sz w:val="24"/>
        </w:rPr>
      </w:pPr>
    </w:p>
    <w:p w:rsidR="008064D7" w:rsidRDefault="002927C2" w:rsidP="00AB6DD0">
      <w:pPr>
        <w:pStyle w:val="Paragraphedeliste"/>
        <w:spacing w:line="240" w:lineRule="auto"/>
        <w:ind w:left="786"/>
        <w:rPr>
          <w:rFonts w:ascii="Times New Roman" w:hAnsi="Times New Roman"/>
          <w:sz w:val="24"/>
        </w:rPr>
      </w:pPr>
      <w:r>
        <w:rPr>
          <w:rFonts w:ascii="Times New Roman" w:hAnsi="Times New Roman"/>
          <w:sz w:val="24"/>
        </w:rPr>
        <w:t>D</w:t>
      </w:r>
      <w:r w:rsidR="008064D7">
        <w:rPr>
          <w:rFonts w:ascii="Times New Roman" w:hAnsi="Times New Roman"/>
          <w:sz w:val="24"/>
        </w:rPr>
        <w:t xml:space="preserve">ans un cas </w:t>
      </w:r>
      <w:r w:rsidR="008064D7">
        <w:rPr>
          <w:rStyle w:val="Appelnotedebasdep"/>
          <w:rFonts w:ascii="Times New Roman" w:hAnsi="Times New Roman"/>
          <w:sz w:val="24"/>
        </w:rPr>
        <w:footnoteReference w:id="254"/>
      </w:r>
      <w:r>
        <w:rPr>
          <w:rFonts w:ascii="Times New Roman" w:hAnsi="Times New Roman"/>
          <w:sz w:val="24"/>
        </w:rPr>
        <w:t>, la C</w:t>
      </w:r>
      <w:r w:rsidR="008064D7">
        <w:rPr>
          <w:rFonts w:ascii="Times New Roman" w:hAnsi="Times New Roman"/>
          <w:sz w:val="24"/>
        </w:rPr>
        <w:t>our considéra que ces conditions donnait au financeur un contrôle trop grand sur l’entité. Dans d’autres, les taux élevé</w:t>
      </w:r>
      <w:r>
        <w:rPr>
          <w:rFonts w:ascii="Times New Roman" w:hAnsi="Times New Roman"/>
          <w:sz w:val="24"/>
        </w:rPr>
        <w:t>s</w:t>
      </w:r>
      <w:r w:rsidR="008064D7">
        <w:rPr>
          <w:rFonts w:ascii="Times New Roman" w:hAnsi="Times New Roman"/>
          <w:sz w:val="24"/>
        </w:rPr>
        <w:t xml:space="preserve"> (15 %), les dates de re</w:t>
      </w:r>
      <w:r>
        <w:rPr>
          <w:rFonts w:ascii="Times New Roman" w:hAnsi="Times New Roman"/>
          <w:sz w:val="24"/>
        </w:rPr>
        <w:t>mboursement et les effets des sû</w:t>
      </w:r>
      <w:r w:rsidR="008064D7">
        <w:rPr>
          <w:rFonts w:ascii="Times New Roman" w:hAnsi="Times New Roman"/>
          <w:sz w:val="24"/>
        </w:rPr>
        <w:t>reté</w:t>
      </w:r>
      <w:r>
        <w:rPr>
          <w:rFonts w:ascii="Times New Roman" w:hAnsi="Times New Roman"/>
          <w:sz w:val="24"/>
        </w:rPr>
        <w:t>s</w:t>
      </w:r>
      <w:r w:rsidR="008064D7">
        <w:rPr>
          <w:rFonts w:ascii="Times New Roman" w:hAnsi="Times New Roman"/>
          <w:sz w:val="24"/>
        </w:rPr>
        <w:t xml:space="preserve"> qui </w:t>
      </w:r>
      <w:r>
        <w:rPr>
          <w:rFonts w:ascii="Times New Roman" w:hAnsi="Times New Roman"/>
          <w:sz w:val="24"/>
        </w:rPr>
        <w:t>donnaient</w:t>
      </w:r>
      <w:r w:rsidR="008064D7">
        <w:rPr>
          <w:rFonts w:ascii="Times New Roman" w:hAnsi="Times New Roman"/>
          <w:sz w:val="24"/>
        </w:rPr>
        <w:t xml:space="preserve"> un vrai droit n’ont pas été jugé</w:t>
      </w:r>
      <w:r>
        <w:rPr>
          <w:rFonts w:ascii="Times New Roman" w:hAnsi="Times New Roman"/>
          <w:sz w:val="24"/>
        </w:rPr>
        <w:t>s</w:t>
      </w:r>
      <w:r w:rsidR="008064D7">
        <w:rPr>
          <w:rFonts w:ascii="Times New Roman" w:hAnsi="Times New Roman"/>
          <w:sz w:val="24"/>
        </w:rPr>
        <w:t xml:space="preserve"> problématique</w:t>
      </w:r>
      <w:r>
        <w:rPr>
          <w:rFonts w:ascii="Times New Roman" w:hAnsi="Times New Roman"/>
          <w:sz w:val="24"/>
        </w:rPr>
        <w:t>s</w:t>
      </w:r>
      <w:r w:rsidR="008064D7">
        <w:rPr>
          <w:rStyle w:val="Appelnotedebasdep"/>
          <w:rFonts w:ascii="Times New Roman" w:hAnsi="Times New Roman"/>
          <w:sz w:val="24"/>
        </w:rPr>
        <w:footnoteReference w:id="255"/>
      </w:r>
      <w:r>
        <w:rPr>
          <w:rFonts w:ascii="Times New Roman" w:hAnsi="Times New Roman"/>
          <w:sz w:val="24"/>
        </w:rPr>
        <w:t>.</w:t>
      </w:r>
      <w:r w:rsidR="008064D7">
        <w:rPr>
          <w:rFonts w:ascii="Times New Roman" w:hAnsi="Times New Roman"/>
          <w:sz w:val="24"/>
        </w:rPr>
        <w:t xml:space="preserve"> Le cas Lyonnel est pertinent : des taux de 20 % et un vrai contrôle </w:t>
      </w:r>
      <w:r>
        <w:rPr>
          <w:rFonts w:ascii="Times New Roman" w:hAnsi="Times New Roman"/>
          <w:sz w:val="24"/>
        </w:rPr>
        <w:t xml:space="preserve">du prêteur sur les affaires du débiteur </w:t>
      </w:r>
      <w:r w:rsidR="008064D7">
        <w:rPr>
          <w:rFonts w:ascii="Times New Roman" w:hAnsi="Times New Roman"/>
          <w:sz w:val="24"/>
        </w:rPr>
        <w:t>fut approuvé</w:t>
      </w:r>
      <w:r w:rsidR="008064D7">
        <w:rPr>
          <w:rStyle w:val="Appelnotedebasdep"/>
          <w:rFonts w:ascii="Times New Roman" w:hAnsi="Times New Roman"/>
          <w:sz w:val="24"/>
        </w:rPr>
        <w:footnoteReference w:id="256"/>
      </w:r>
      <w:r>
        <w:rPr>
          <w:rFonts w:ascii="Times New Roman" w:hAnsi="Times New Roman"/>
          <w:sz w:val="24"/>
        </w:rPr>
        <w:t>.</w:t>
      </w:r>
      <w:r w:rsidR="008064D7">
        <w:rPr>
          <w:rFonts w:ascii="Times New Roman" w:hAnsi="Times New Roman"/>
          <w:sz w:val="24"/>
        </w:rPr>
        <w:t xml:space="preserve"> Dans d’autres cas, le contrôle trop grand du créancier conduisit au rejet de l’autorisation.</w:t>
      </w:r>
    </w:p>
    <w:p w:rsidR="002927C2" w:rsidRDefault="002927C2" w:rsidP="00AB6DD0">
      <w:pPr>
        <w:pStyle w:val="Paragraphedeliste"/>
        <w:spacing w:line="240" w:lineRule="auto"/>
        <w:ind w:left="786"/>
        <w:rPr>
          <w:rFonts w:ascii="Times New Roman" w:hAnsi="Times New Roman"/>
          <w:sz w:val="24"/>
        </w:rPr>
      </w:pPr>
    </w:p>
    <w:p w:rsidR="008064D7" w:rsidRPr="002927C2" w:rsidRDefault="002927C2" w:rsidP="002927C2">
      <w:pPr>
        <w:pStyle w:val="Paragraphedeliste"/>
        <w:numPr>
          <w:ilvl w:val="0"/>
          <w:numId w:val="2"/>
        </w:numPr>
        <w:spacing w:line="240" w:lineRule="auto"/>
        <w:rPr>
          <w:rFonts w:ascii="Times New Roman" w:hAnsi="Times New Roman"/>
          <w:sz w:val="24"/>
        </w:rPr>
      </w:pPr>
      <w:r>
        <w:rPr>
          <w:rFonts w:ascii="Times New Roman" w:hAnsi="Times New Roman"/>
          <w:sz w:val="24"/>
          <w:u w:val="single"/>
        </w:rPr>
        <w:t>Le marché</w:t>
      </w:r>
      <w:r w:rsidR="008064D7" w:rsidRPr="00C76229">
        <w:rPr>
          <w:rFonts w:ascii="Times New Roman" w:hAnsi="Times New Roman"/>
          <w:sz w:val="24"/>
          <w:u w:val="single"/>
        </w:rPr>
        <w:t xml:space="preserve"> du </w:t>
      </w:r>
      <w:r w:rsidR="008064D7" w:rsidRPr="007C17D3">
        <w:rPr>
          <w:rFonts w:ascii="Times New Roman" w:hAnsi="Times New Roman"/>
          <w:i/>
          <w:sz w:val="24"/>
          <w:u w:val="single"/>
        </w:rPr>
        <w:t>DIP</w:t>
      </w:r>
      <w:r w:rsidR="008064D7" w:rsidRPr="00C76229">
        <w:rPr>
          <w:rFonts w:ascii="Times New Roman" w:hAnsi="Times New Roman"/>
          <w:sz w:val="24"/>
          <w:u w:val="single"/>
        </w:rPr>
        <w:t xml:space="preserve"> </w:t>
      </w:r>
      <w:r w:rsidR="008064D7" w:rsidRPr="007C17D3">
        <w:rPr>
          <w:rFonts w:ascii="Times New Roman" w:hAnsi="Times New Roman"/>
          <w:i/>
          <w:sz w:val="24"/>
          <w:u w:val="single"/>
        </w:rPr>
        <w:t>financing</w:t>
      </w:r>
      <w:r w:rsidR="008064D7" w:rsidRPr="00C76229">
        <w:rPr>
          <w:rFonts w:ascii="Times New Roman" w:hAnsi="Times New Roman"/>
          <w:sz w:val="24"/>
        </w:rPr>
        <w:t xml:space="preserve"> : </w:t>
      </w:r>
      <w:r w:rsidR="008064D7">
        <w:rPr>
          <w:rFonts w:ascii="Times New Roman" w:hAnsi="Times New Roman"/>
          <w:sz w:val="24"/>
        </w:rPr>
        <w:t>Une étude a été ré</w:t>
      </w:r>
      <w:r>
        <w:rPr>
          <w:rFonts w:ascii="Times New Roman" w:hAnsi="Times New Roman"/>
          <w:sz w:val="24"/>
        </w:rPr>
        <w:t>alisée sur base de 685 dossiers</w:t>
      </w:r>
      <w:r w:rsidR="008064D7">
        <w:rPr>
          <w:rStyle w:val="Appelnotedebasdep"/>
          <w:rFonts w:ascii="Times New Roman" w:hAnsi="Times New Roman"/>
          <w:sz w:val="24"/>
        </w:rPr>
        <w:footnoteReference w:id="257"/>
      </w:r>
      <w:r w:rsidR="008064D7">
        <w:rPr>
          <w:rFonts w:ascii="Times New Roman" w:hAnsi="Times New Roman"/>
          <w:sz w:val="24"/>
        </w:rPr>
        <w:t xml:space="preserve">, 30.67 % ont obtenu un </w:t>
      </w:r>
      <w:r w:rsidR="008064D7" w:rsidRPr="007C17D3">
        <w:rPr>
          <w:rFonts w:ascii="Times New Roman" w:hAnsi="Times New Roman"/>
          <w:i/>
          <w:sz w:val="24"/>
        </w:rPr>
        <w:t>DIP</w:t>
      </w:r>
      <w:r w:rsidR="008064D7">
        <w:rPr>
          <w:rFonts w:ascii="Times New Roman" w:hAnsi="Times New Roman"/>
          <w:sz w:val="24"/>
        </w:rPr>
        <w:t xml:space="preserve"> </w:t>
      </w:r>
      <w:r w:rsidR="008064D7" w:rsidRPr="007C17D3">
        <w:rPr>
          <w:rFonts w:ascii="Times New Roman" w:hAnsi="Times New Roman"/>
          <w:i/>
          <w:sz w:val="24"/>
        </w:rPr>
        <w:t>financing</w:t>
      </w:r>
      <w:r w:rsidR="008064D7">
        <w:rPr>
          <w:rFonts w:ascii="Times New Roman" w:hAnsi="Times New Roman"/>
          <w:sz w:val="24"/>
        </w:rPr>
        <w:t xml:space="preserve"> , sur </w:t>
      </w:r>
      <w:r>
        <w:rPr>
          <w:rFonts w:ascii="Times New Roman" w:hAnsi="Times New Roman"/>
          <w:sz w:val="24"/>
        </w:rPr>
        <w:t>ceux</w:t>
      </w:r>
      <w:r w:rsidR="008064D7">
        <w:rPr>
          <w:rFonts w:ascii="Times New Roman" w:hAnsi="Times New Roman"/>
          <w:sz w:val="24"/>
        </w:rPr>
        <w:t>-ci</w:t>
      </w:r>
      <w:r>
        <w:rPr>
          <w:rFonts w:ascii="Times New Roman" w:hAnsi="Times New Roman"/>
          <w:sz w:val="24"/>
        </w:rPr>
        <w:t>,</w:t>
      </w:r>
      <w:r w:rsidR="008064D7">
        <w:rPr>
          <w:rFonts w:ascii="Times New Roman" w:hAnsi="Times New Roman"/>
          <w:sz w:val="24"/>
        </w:rPr>
        <w:t xml:space="preserve"> 15% avai</w:t>
      </w:r>
      <w:r>
        <w:rPr>
          <w:rFonts w:ascii="Times New Roman" w:hAnsi="Times New Roman"/>
          <w:sz w:val="24"/>
        </w:rPr>
        <w:t>en</w:t>
      </w:r>
      <w:r w:rsidR="008064D7">
        <w:rPr>
          <w:rFonts w:ascii="Times New Roman" w:hAnsi="Times New Roman"/>
          <w:sz w:val="24"/>
        </w:rPr>
        <w:t xml:space="preserve">t réalisé un </w:t>
      </w:r>
      <w:r>
        <w:rPr>
          <w:rFonts w:ascii="Times New Roman" w:hAnsi="Times New Roman"/>
          <w:sz w:val="24"/>
        </w:rPr>
        <w:t>prépack</w:t>
      </w:r>
      <w:r w:rsidR="008064D7">
        <w:rPr>
          <w:rFonts w:ascii="Times New Roman" w:hAnsi="Times New Roman"/>
          <w:sz w:val="24"/>
        </w:rPr>
        <w:t>, alors que les actifs représentaient</w:t>
      </w:r>
      <w:r>
        <w:rPr>
          <w:rFonts w:ascii="Times New Roman" w:hAnsi="Times New Roman"/>
          <w:sz w:val="24"/>
        </w:rPr>
        <w:t>,</w:t>
      </w:r>
      <w:r w:rsidR="008064D7">
        <w:rPr>
          <w:rFonts w:ascii="Times New Roman" w:hAnsi="Times New Roman"/>
          <w:sz w:val="24"/>
        </w:rPr>
        <w:t xml:space="preserve"> dans les livres</w:t>
      </w:r>
      <w:r>
        <w:rPr>
          <w:rFonts w:ascii="Times New Roman" w:hAnsi="Times New Roman"/>
          <w:sz w:val="24"/>
        </w:rPr>
        <w:t>,</w:t>
      </w:r>
      <w:r w:rsidR="008064D7">
        <w:rPr>
          <w:rFonts w:ascii="Times New Roman" w:hAnsi="Times New Roman"/>
          <w:sz w:val="24"/>
        </w:rPr>
        <w:t xml:space="preserve"> 83% des dettes et</w:t>
      </w:r>
      <w:r>
        <w:rPr>
          <w:rFonts w:ascii="Times New Roman" w:hAnsi="Times New Roman"/>
          <w:sz w:val="24"/>
        </w:rPr>
        <w:t>,</w:t>
      </w:r>
      <w:r w:rsidR="008064D7">
        <w:rPr>
          <w:rFonts w:ascii="Times New Roman" w:hAnsi="Times New Roman"/>
          <w:sz w:val="24"/>
        </w:rPr>
        <w:t xml:space="preserve"> en valeur réelle</w:t>
      </w:r>
      <w:r>
        <w:rPr>
          <w:rFonts w:ascii="Times New Roman" w:hAnsi="Times New Roman"/>
          <w:sz w:val="24"/>
        </w:rPr>
        <w:t>,</w:t>
      </w:r>
      <w:r w:rsidR="008064D7">
        <w:rPr>
          <w:rFonts w:ascii="Times New Roman" w:hAnsi="Times New Roman"/>
          <w:sz w:val="24"/>
        </w:rPr>
        <w:t xml:space="preserve"> 51%</w:t>
      </w:r>
      <w:r>
        <w:rPr>
          <w:rFonts w:ascii="Times New Roman" w:hAnsi="Times New Roman"/>
          <w:sz w:val="24"/>
        </w:rPr>
        <w:t xml:space="preserve">. </w:t>
      </w:r>
      <w:r w:rsidR="008064D7">
        <w:rPr>
          <w:rFonts w:ascii="Times New Roman" w:hAnsi="Times New Roman"/>
          <w:sz w:val="24"/>
        </w:rPr>
        <w:t xml:space="preserve">L’étude </w:t>
      </w:r>
      <w:r>
        <w:rPr>
          <w:rFonts w:ascii="Times New Roman" w:hAnsi="Times New Roman"/>
          <w:sz w:val="24"/>
        </w:rPr>
        <w:t>mentionne</w:t>
      </w:r>
      <w:r w:rsidR="008064D7">
        <w:rPr>
          <w:rFonts w:ascii="Times New Roman" w:hAnsi="Times New Roman"/>
          <w:sz w:val="24"/>
        </w:rPr>
        <w:t xml:space="preserve"> le type</w:t>
      </w:r>
      <w:r>
        <w:rPr>
          <w:rFonts w:ascii="Times New Roman" w:hAnsi="Times New Roman"/>
          <w:sz w:val="24"/>
        </w:rPr>
        <w:t xml:space="preserve"> d’entreprises et leur taille</w:t>
      </w:r>
      <w:r w:rsidR="008064D7">
        <w:rPr>
          <w:rFonts w:ascii="Times New Roman" w:hAnsi="Times New Roman"/>
          <w:sz w:val="24"/>
        </w:rPr>
        <w:t xml:space="preserve">, l’influence que le </w:t>
      </w:r>
      <w:r w:rsidR="008064D7" w:rsidRPr="007C17D3">
        <w:rPr>
          <w:rFonts w:ascii="Times New Roman" w:hAnsi="Times New Roman"/>
          <w:i/>
          <w:sz w:val="24"/>
        </w:rPr>
        <w:t>DIP</w:t>
      </w:r>
      <w:r w:rsidR="008064D7">
        <w:rPr>
          <w:rFonts w:ascii="Times New Roman" w:hAnsi="Times New Roman"/>
          <w:sz w:val="24"/>
        </w:rPr>
        <w:t xml:space="preserve"> </w:t>
      </w:r>
      <w:r w:rsidR="008064D7" w:rsidRPr="007C17D3">
        <w:rPr>
          <w:rFonts w:ascii="Times New Roman" w:hAnsi="Times New Roman"/>
          <w:i/>
          <w:sz w:val="24"/>
        </w:rPr>
        <w:t>financing</w:t>
      </w:r>
      <w:r w:rsidR="008064D7">
        <w:rPr>
          <w:rFonts w:ascii="Times New Roman" w:hAnsi="Times New Roman"/>
          <w:sz w:val="24"/>
        </w:rPr>
        <w:t xml:space="preserve"> a sur la réussite de la </w:t>
      </w:r>
      <w:r>
        <w:rPr>
          <w:rFonts w:ascii="Times New Roman" w:hAnsi="Times New Roman"/>
          <w:sz w:val="24"/>
        </w:rPr>
        <w:t>procédure,</w:t>
      </w:r>
      <w:r w:rsidR="008064D7">
        <w:rPr>
          <w:rFonts w:ascii="Times New Roman" w:hAnsi="Times New Roman"/>
          <w:sz w:val="24"/>
        </w:rPr>
        <w:t xml:space="preserve"> les effets sur la rapidité de la procédure, les effets des prêts accor</w:t>
      </w:r>
      <w:r>
        <w:rPr>
          <w:rFonts w:ascii="Times New Roman" w:hAnsi="Times New Roman"/>
          <w:sz w:val="24"/>
        </w:rPr>
        <w:t xml:space="preserve">dés par des créanciers existants </w:t>
      </w:r>
      <w:r w:rsidR="008064D7">
        <w:rPr>
          <w:rFonts w:ascii="Times New Roman" w:hAnsi="Times New Roman"/>
          <w:sz w:val="24"/>
        </w:rPr>
        <w:t xml:space="preserve">ou par de nouveaux acteurs. L’étude avait ainsi pour objectif d’aider à trancher un </w:t>
      </w:r>
      <w:r>
        <w:rPr>
          <w:rFonts w:ascii="Times New Roman" w:hAnsi="Times New Roman"/>
          <w:sz w:val="24"/>
        </w:rPr>
        <w:t>antagonisme</w:t>
      </w:r>
      <w:r w:rsidR="008064D7">
        <w:rPr>
          <w:rFonts w:ascii="Times New Roman" w:hAnsi="Times New Roman"/>
          <w:sz w:val="24"/>
        </w:rPr>
        <w:t xml:space="preserve"> : pour certain, le </w:t>
      </w:r>
      <w:r w:rsidR="008064D7" w:rsidRPr="007C17D3">
        <w:rPr>
          <w:rFonts w:ascii="Times New Roman" w:hAnsi="Times New Roman"/>
          <w:i/>
          <w:sz w:val="24"/>
        </w:rPr>
        <w:t>DIP</w:t>
      </w:r>
      <w:r w:rsidR="008064D7">
        <w:rPr>
          <w:rFonts w:ascii="Times New Roman" w:hAnsi="Times New Roman"/>
          <w:sz w:val="24"/>
        </w:rPr>
        <w:t xml:space="preserve"> </w:t>
      </w:r>
      <w:r w:rsidR="008064D7" w:rsidRPr="007C17D3">
        <w:rPr>
          <w:rFonts w:ascii="Times New Roman" w:hAnsi="Times New Roman"/>
          <w:i/>
          <w:sz w:val="24"/>
        </w:rPr>
        <w:t>financing</w:t>
      </w:r>
      <w:r w:rsidR="008064D7">
        <w:rPr>
          <w:rFonts w:ascii="Times New Roman" w:hAnsi="Times New Roman"/>
          <w:sz w:val="24"/>
        </w:rPr>
        <w:t xml:space="preserve"> par la super priorité affecte le</w:t>
      </w:r>
      <w:r>
        <w:rPr>
          <w:rFonts w:ascii="Times New Roman" w:hAnsi="Times New Roman"/>
          <w:sz w:val="24"/>
        </w:rPr>
        <w:t xml:space="preserve"> droit des créanciers existants et</w:t>
      </w:r>
      <w:r w:rsidR="008064D7">
        <w:rPr>
          <w:rFonts w:ascii="Times New Roman" w:hAnsi="Times New Roman"/>
          <w:sz w:val="24"/>
        </w:rPr>
        <w:t xml:space="preserve"> favorise la spéculation </w:t>
      </w:r>
      <w:r w:rsidR="008064D7">
        <w:rPr>
          <w:rStyle w:val="Appelnotedebasdep"/>
          <w:rFonts w:ascii="Times New Roman" w:hAnsi="Times New Roman"/>
          <w:sz w:val="24"/>
        </w:rPr>
        <w:footnoteReference w:id="258"/>
      </w:r>
      <w:r w:rsidR="008064D7">
        <w:rPr>
          <w:rFonts w:ascii="Times New Roman" w:hAnsi="Times New Roman"/>
          <w:sz w:val="24"/>
        </w:rPr>
        <w:t xml:space="preserve">, pour d’autres, le </w:t>
      </w:r>
      <w:r w:rsidR="008064D7" w:rsidRPr="007C17D3">
        <w:rPr>
          <w:rFonts w:ascii="Times New Roman" w:hAnsi="Times New Roman"/>
          <w:i/>
          <w:sz w:val="24"/>
        </w:rPr>
        <w:t>DIP</w:t>
      </w:r>
      <w:r w:rsidR="008064D7">
        <w:rPr>
          <w:rFonts w:ascii="Times New Roman" w:hAnsi="Times New Roman"/>
          <w:sz w:val="24"/>
        </w:rPr>
        <w:t xml:space="preserve"> </w:t>
      </w:r>
      <w:r w:rsidR="008064D7" w:rsidRPr="007C17D3">
        <w:rPr>
          <w:rFonts w:ascii="Times New Roman" w:hAnsi="Times New Roman"/>
          <w:i/>
          <w:sz w:val="24"/>
        </w:rPr>
        <w:t>financing</w:t>
      </w:r>
      <w:r w:rsidR="008064D7">
        <w:rPr>
          <w:rFonts w:ascii="Times New Roman" w:hAnsi="Times New Roman"/>
          <w:sz w:val="24"/>
        </w:rPr>
        <w:t xml:space="preserve"> sauve des entreprises, crée de la valeur</w:t>
      </w:r>
      <w:r w:rsidR="008064D7">
        <w:rPr>
          <w:rStyle w:val="Appelnotedebasdep"/>
          <w:rFonts w:ascii="Times New Roman" w:hAnsi="Times New Roman"/>
          <w:sz w:val="24"/>
        </w:rPr>
        <w:footnoteReference w:id="259"/>
      </w:r>
      <w:r w:rsidR="008064D7">
        <w:rPr>
          <w:rFonts w:ascii="Times New Roman" w:hAnsi="Times New Roman"/>
          <w:sz w:val="24"/>
        </w:rPr>
        <w:t xml:space="preserve"> et participe à mieux payer les créanciers en n’affectant pas les créanciers</w:t>
      </w:r>
      <w:r w:rsidR="008064D7">
        <w:rPr>
          <w:rStyle w:val="Appelnotedebasdep"/>
          <w:rFonts w:ascii="Times New Roman" w:hAnsi="Times New Roman"/>
          <w:sz w:val="24"/>
        </w:rPr>
        <w:footnoteReference w:id="260"/>
      </w:r>
      <w:r w:rsidR="008064D7">
        <w:rPr>
          <w:rFonts w:ascii="Times New Roman" w:hAnsi="Times New Roman"/>
          <w:sz w:val="24"/>
        </w:rPr>
        <w:t xml:space="preserve">. </w:t>
      </w:r>
      <w:r w:rsidR="008064D7" w:rsidRPr="002927C2">
        <w:rPr>
          <w:rFonts w:ascii="Times New Roman" w:hAnsi="Times New Roman"/>
          <w:sz w:val="24"/>
        </w:rPr>
        <w:t xml:space="preserve">L’étude montre, statistiques à l’appui, qu’accordé à des entreprises viables, le </w:t>
      </w:r>
      <w:r w:rsidR="008064D7" w:rsidRPr="002927C2">
        <w:rPr>
          <w:rFonts w:ascii="Times New Roman" w:hAnsi="Times New Roman"/>
          <w:i/>
          <w:sz w:val="24"/>
        </w:rPr>
        <w:t>DIP</w:t>
      </w:r>
      <w:r w:rsidR="008064D7" w:rsidRPr="002927C2">
        <w:rPr>
          <w:rFonts w:ascii="Times New Roman" w:hAnsi="Times New Roman"/>
          <w:sz w:val="24"/>
        </w:rPr>
        <w:t xml:space="preserve"> </w:t>
      </w:r>
      <w:r w:rsidR="008064D7" w:rsidRPr="002927C2">
        <w:rPr>
          <w:rFonts w:ascii="Times New Roman" w:hAnsi="Times New Roman"/>
          <w:i/>
          <w:sz w:val="24"/>
        </w:rPr>
        <w:t>financing</w:t>
      </w:r>
      <w:r w:rsidR="008064D7" w:rsidRPr="002927C2">
        <w:rPr>
          <w:rFonts w:ascii="Times New Roman" w:hAnsi="Times New Roman"/>
          <w:sz w:val="24"/>
        </w:rPr>
        <w:t xml:space="preserve"> permet de sortir plus vite et mieux</w:t>
      </w:r>
      <w:r w:rsidR="00CA65EA">
        <w:rPr>
          <w:rFonts w:ascii="Times New Roman" w:hAnsi="Times New Roman"/>
          <w:sz w:val="24"/>
        </w:rPr>
        <w:t xml:space="preserve"> le débiteur</w:t>
      </w:r>
      <w:r w:rsidR="008064D7" w:rsidRPr="002927C2">
        <w:rPr>
          <w:rFonts w:ascii="Times New Roman" w:hAnsi="Times New Roman"/>
          <w:sz w:val="24"/>
        </w:rPr>
        <w:t xml:space="preserve">, y compris pour les créanciers, de la procédure. Il faut bien </w:t>
      </w:r>
      <w:r w:rsidR="00CA65EA" w:rsidRPr="002927C2">
        <w:rPr>
          <w:rFonts w:ascii="Times New Roman" w:hAnsi="Times New Roman"/>
          <w:sz w:val="24"/>
        </w:rPr>
        <w:t>sûr</w:t>
      </w:r>
      <w:r w:rsidR="008064D7" w:rsidRPr="002927C2">
        <w:rPr>
          <w:rFonts w:ascii="Times New Roman" w:hAnsi="Times New Roman"/>
          <w:sz w:val="24"/>
        </w:rPr>
        <w:t xml:space="preserve"> sélectionner les entreprises qui en </w:t>
      </w:r>
      <w:r w:rsidR="00CA65EA">
        <w:rPr>
          <w:rFonts w:ascii="Times New Roman" w:hAnsi="Times New Roman"/>
          <w:sz w:val="24"/>
        </w:rPr>
        <w:t>valent</w:t>
      </w:r>
      <w:r w:rsidR="008064D7" w:rsidRPr="002927C2">
        <w:rPr>
          <w:rFonts w:ascii="Times New Roman" w:hAnsi="Times New Roman"/>
          <w:sz w:val="24"/>
        </w:rPr>
        <w:t xml:space="preserve"> la peine</w:t>
      </w:r>
      <w:r w:rsidR="00CA65EA">
        <w:rPr>
          <w:rFonts w:ascii="Times New Roman" w:hAnsi="Times New Roman"/>
          <w:sz w:val="24"/>
        </w:rPr>
        <w:t>.</w:t>
      </w:r>
      <w:r w:rsidR="008064D7" w:rsidRPr="002927C2">
        <w:rPr>
          <w:rFonts w:ascii="Times New Roman" w:hAnsi="Times New Roman"/>
          <w:sz w:val="24"/>
        </w:rPr>
        <w:t xml:space="preserve"> Les petites entreprises trouve</w:t>
      </w:r>
      <w:r w:rsidR="00CA65EA">
        <w:rPr>
          <w:rFonts w:ascii="Times New Roman" w:hAnsi="Times New Roman"/>
          <w:sz w:val="24"/>
        </w:rPr>
        <w:t>nt</w:t>
      </w:r>
      <w:r w:rsidR="008064D7" w:rsidRPr="002927C2">
        <w:rPr>
          <w:rFonts w:ascii="Times New Roman" w:hAnsi="Times New Roman"/>
          <w:sz w:val="24"/>
        </w:rPr>
        <w:t xml:space="preserve"> ces financements chez leurs créanciers tandis que les grandes entreprises doivent recourir à des acteurs spécialisés du marché.</w:t>
      </w:r>
    </w:p>
    <w:p w:rsidR="008064D7" w:rsidRPr="00D220CE" w:rsidRDefault="008064D7" w:rsidP="00D220CE">
      <w:pPr>
        <w:pStyle w:val="Paragraphedeliste"/>
        <w:spacing w:line="240" w:lineRule="auto"/>
        <w:ind w:left="786"/>
        <w:rPr>
          <w:rFonts w:ascii="Times New Roman" w:hAnsi="Times New Roman"/>
          <w:sz w:val="24"/>
        </w:rPr>
      </w:pPr>
    </w:p>
    <w:p w:rsidR="008064D7" w:rsidRPr="008C4EEB" w:rsidRDefault="00CA65EA" w:rsidP="001461A2">
      <w:pPr>
        <w:pStyle w:val="Titre2"/>
        <w:numPr>
          <w:ilvl w:val="0"/>
          <w:numId w:val="18"/>
        </w:numPr>
        <w:rPr>
          <w:rFonts w:ascii="Times New Roman" w:hAnsi="Times New Roman" w:cs="Times New Roman"/>
        </w:rPr>
      </w:pPr>
      <w:bookmarkStart w:id="29" w:name="_Toc55407475"/>
      <w:r>
        <w:rPr>
          <w:rFonts w:ascii="Times New Roman" w:hAnsi="Times New Roman" w:cs="Times New Roman"/>
        </w:rPr>
        <w:t>Conclusions provisoires</w:t>
      </w:r>
      <w:bookmarkEnd w:id="29"/>
    </w:p>
    <w:p w:rsidR="008064D7" w:rsidRPr="00CA65EA" w:rsidRDefault="00CA65EA" w:rsidP="00CA65EA">
      <w:pPr>
        <w:pStyle w:val="Paragraphedeliste"/>
        <w:numPr>
          <w:ilvl w:val="0"/>
          <w:numId w:val="2"/>
        </w:numPr>
        <w:spacing w:line="240" w:lineRule="auto"/>
        <w:rPr>
          <w:rFonts w:ascii="Times New Roman" w:hAnsi="Times New Roman"/>
          <w:sz w:val="24"/>
          <w:u w:val="single"/>
        </w:rPr>
      </w:pPr>
      <w:r>
        <w:rPr>
          <w:rFonts w:ascii="Times New Roman" w:hAnsi="Times New Roman"/>
          <w:sz w:val="24"/>
          <w:u w:val="single"/>
        </w:rPr>
        <w:t>La relation à la règle de priorité absolue</w:t>
      </w:r>
      <w:r>
        <w:rPr>
          <w:rFonts w:ascii="Times New Roman" w:hAnsi="Times New Roman"/>
          <w:sz w:val="24"/>
        </w:rPr>
        <w:t xml:space="preserve">. Si la priorité absolue est définie comme l’obligation d’allouer la valeur going-concern de l’entreprise d’abord aux classes supérieures, en priorité absolue, à la gradation </w:t>
      </w:r>
      <w:r w:rsidR="00457C02">
        <w:rPr>
          <w:rFonts w:ascii="Times New Roman" w:hAnsi="Times New Roman"/>
          <w:sz w:val="24"/>
        </w:rPr>
        <w:t>des priorités</w:t>
      </w:r>
      <w:r>
        <w:rPr>
          <w:rFonts w:ascii="Times New Roman" w:hAnsi="Times New Roman"/>
          <w:sz w:val="24"/>
        </w:rPr>
        <w:t>, on doit admettre que tous les créanciers ont intérêt à laisser financer l’entreprise – tant durant le sursis qu’après – pour augmenter la valeur distribuable et ainsi assurer une distribution la plus grande à plus de classes.</w:t>
      </w:r>
    </w:p>
    <w:p w:rsidR="00CA65EA" w:rsidRDefault="00CA65EA" w:rsidP="00CA65EA">
      <w:pPr>
        <w:pStyle w:val="Paragraphedeliste"/>
        <w:spacing w:line="240" w:lineRule="auto"/>
        <w:ind w:left="786"/>
        <w:rPr>
          <w:rFonts w:ascii="Times New Roman" w:hAnsi="Times New Roman"/>
          <w:sz w:val="24"/>
          <w:u w:val="single"/>
        </w:rPr>
      </w:pPr>
    </w:p>
    <w:p w:rsidR="00CA65EA" w:rsidRDefault="00CA65EA" w:rsidP="00CA65EA">
      <w:pPr>
        <w:pStyle w:val="Paragraphedeliste"/>
        <w:spacing w:line="240" w:lineRule="auto"/>
        <w:ind w:left="786"/>
        <w:rPr>
          <w:rFonts w:ascii="Times New Roman" w:hAnsi="Times New Roman"/>
          <w:sz w:val="24"/>
        </w:rPr>
      </w:pPr>
      <w:r>
        <w:rPr>
          <w:rFonts w:ascii="Times New Roman" w:hAnsi="Times New Roman"/>
          <w:sz w:val="24"/>
        </w:rPr>
        <w:t>Si, inversement, le créancier garanti n’est pas assuré de garder une valeur à son assiette au moins aussi grande qu’il n’avait avant le financement, il n’a pas intérêt à laisser se réaliser un crédit.</w:t>
      </w:r>
    </w:p>
    <w:p w:rsidR="00CA65EA" w:rsidRDefault="00CA65EA" w:rsidP="00CA65EA">
      <w:pPr>
        <w:pStyle w:val="Paragraphedeliste"/>
        <w:spacing w:line="240" w:lineRule="auto"/>
        <w:ind w:left="786"/>
        <w:rPr>
          <w:rFonts w:ascii="Times New Roman" w:hAnsi="Times New Roman"/>
          <w:sz w:val="24"/>
        </w:rPr>
      </w:pPr>
    </w:p>
    <w:p w:rsidR="00CA65EA" w:rsidRPr="00CA65EA" w:rsidRDefault="00CA65EA" w:rsidP="00CA65EA">
      <w:pPr>
        <w:pStyle w:val="Paragraphedeliste"/>
        <w:spacing w:line="240" w:lineRule="auto"/>
        <w:ind w:left="786"/>
        <w:rPr>
          <w:rFonts w:ascii="Times New Roman" w:hAnsi="Times New Roman"/>
          <w:sz w:val="24"/>
        </w:rPr>
      </w:pPr>
      <w:r>
        <w:rPr>
          <w:rFonts w:ascii="Times New Roman" w:hAnsi="Times New Roman"/>
          <w:sz w:val="24"/>
        </w:rPr>
        <w:t>Ce sont donc les règles qui seront retenues sur la priorité absolue ou relative – et que nous examinons ci-après – qui fixe la possibilité de refinancer ou non les entreprises.</w:t>
      </w:r>
    </w:p>
    <w:p w:rsidR="008064D7" w:rsidRDefault="008064D7" w:rsidP="00A529D9">
      <w:pPr>
        <w:pStyle w:val="Titre1"/>
        <w:numPr>
          <w:ilvl w:val="0"/>
          <w:numId w:val="5"/>
        </w:numPr>
        <w:spacing w:before="0" w:line="240" w:lineRule="auto"/>
        <w:ind w:left="714" w:hanging="357"/>
        <w:rPr>
          <w:rFonts w:ascii="Times New Roman" w:hAnsi="Times New Roman" w:cs="Times New Roman"/>
          <w14:shadow w14:blurRad="50800" w14:dist="38100" w14:dir="2700000" w14:sx="100000" w14:sy="100000" w14:kx="0" w14:ky="0" w14:algn="tl">
            <w14:srgbClr w14:val="000000">
              <w14:alpha w14:val="60000"/>
            </w14:srgbClr>
          </w14:shadow>
        </w:rPr>
      </w:pPr>
      <w:r>
        <w:rPr>
          <w:rFonts w:ascii="Times New Roman" w:hAnsi="Times New Roman"/>
          <w:sz w:val="24"/>
        </w:rPr>
        <w:br w:type="page"/>
      </w:r>
      <w:bookmarkStart w:id="30" w:name="_Toc55407476"/>
      <w:r>
        <w:rPr>
          <w:rFonts w:ascii="Times New Roman" w:hAnsi="Times New Roman" w:cs="Times New Roman"/>
          <w14:shadow w14:blurRad="50800" w14:dist="38100" w14:dir="2700000" w14:sx="100000" w14:sy="100000" w14:kx="0" w14:ky="0" w14:algn="tl">
            <w14:srgbClr w14:val="000000">
              <w14:alpha w14:val="60000"/>
            </w14:srgbClr>
          </w14:shadow>
        </w:rPr>
        <w:lastRenderedPageBreak/>
        <w:t>Valeur et négociation de valeur en droit belge</w:t>
      </w:r>
      <w:bookmarkEnd w:id="30"/>
      <w:r>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rsidR="00CA65EA" w:rsidRDefault="00CA65EA" w:rsidP="00CA65EA"/>
    <w:p w:rsidR="00CA65EA" w:rsidRPr="00CA65EA" w:rsidRDefault="00CA65EA" w:rsidP="00CA65EA">
      <w:pPr>
        <w:pStyle w:val="Titre2"/>
        <w:numPr>
          <w:ilvl w:val="0"/>
          <w:numId w:val="44"/>
        </w:numPr>
        <w:rPr>
          <w:rFonts w:ascii="Times New Roman" w:hAnsi="Times New Roman" w:cs="Times New Roman"/>
        </w:rPr>
      </w:pPr>
      <w:bookmarkStart w:id="31" w:name="_Toc55407477"/>
      <w:r w:rsidRPr="00CA65EA">
        <w:rPr>
          <w:rFonts w:ascii="Times New Roman" w:hAnsi="Times New Roman" w:cs="Times New Roman"/>
        </w:rPr>
        <w:t>L’intérêt de la question</w:t>
      </w:r>
      <w:bookmarkEnd w:id="31"/>
    </w:p>
    <w:p w:rsidR="008064D7" w:rsidRDefault="00CA65EA" w:rsidP="00A529D9">
      <w:pPr>
        <w:pStyle w:val="Paragraphedeliste"/>
        <w:numPr>
          <w:ilvl w:val="0"/>
          <w:numId w:val="2"/>
        </w:numPr>
        <w:spacing w:line="240" w:lineRule="auto"/>
        <w:rPr>
          <w:rFonts w:ascii="Times New Roman" w:hAnsi="Times New Roman"/>
          <w:sz w:val="24"/>
        </w:rPr>
      </w:pPr>
      <w:r w:rsidRPr="00CA65EA">
        <w:rPr>
          <w:rFonts w:ascii="Times New Roman" w:hAnsi="Times New Roman"/>
          <w:sz w:val="24"/>
          <w:u w:val="single"/>
        </w:rPr>
        <w:t>Interdiction</w:t>
      </w:r>
      <w:r w:rsidR="00457C02">
        <w:rPr>
          <w:rFonts w:ascii="Times New Roman" w:hAnsi="Times New Roman"/>
          <w:sz w:val="24"/>
        </w:rPr>
        <w:t> ! L’article</w:t>
      </w:r>
      <w:r w:rsidR="008064D7">
        <w:rPr>
          <w:rFonts w:ascii="Times New Roman" w:hAnsi="Times New Roman"/>
          <w:sz w:val="24"/>
        </w:rPr>
        <w:t xml:space="preserve"> 490</w:t>
      </w:r>
      <w:r w:rsidR="008064D7" w:rsidRPr="00B331AB">
        <w:rPr>
          <w:rFonts w:ascii="Times New Roman" w:hAnsi="Times New Roman"/>
          <w:i/>
          <w:sz w:val="24"/>
        </w:rPr>
        <w:t xml:space="preserve">quater </w:t>
      </w:r>
      <w:r w:rsidR="008064D7">
        <w:rPr>
          <w:rFonts w:ascii="Times New Roman" w:hAnsi="Times New Roman"/>
          <w:sz w:val="24"/>
        </w:rPr>
        <w:t xml:space="preserve">du Code pénal punit ceux qui ont stipulé avec un débiteur ou avec d’autres personnes </w:t>
      </w:r>
      <w:r w:rsidR="008064D7" w:rsidRPr="008E2F74">
        <w:rPr>
          <w:rFonts w:ascii="Times New Roman" w:hAnsi="Times New Roman"/>
          <w:sz w:val="24"/>
          <w:u w:val="single"/>
        </w:rPr>
        <w:t>des avantages particuliers</w:t>
      </w:r>
      <w:r w:rsidR="008064D7">
        <w:rPr>
          <w:rFonts w:ascii="Times New Roman" w:hAnsi="Times New Roman"/>
          <w:sz w:val="24"/>
        </w:rPr>
        <w:t xml:space="preserve"> pour orienter le sens de leur vote sur le plan et punit aussi ceux qui ont conclu un accord particulier en vertu duquel il résulterait </w:t>
      </w:r>
      <w:r w:rsidR="008064D7" w:rsidRPr="008E2F74">
        <w:rPr>
          <w:rFonts w:ascii="Times New Roman" w:hAnsi="Times New Roman"/>
          <w:sz w:val="24"/>
          <w:u w:val="single"/>
        </w:rPr>
        <w:t>des avantages</w:t>
      </w:r>
      <w:r w:rsidR="008064D7">
        <w:rPr>
          <w:rFonts w:ascii="Times New Roman" w:hAnsi="Times New Roman"/>
          <w:sz w:val="24"/>
        </w:rPr>
        <w:t xml:space="preserve"> en leur faveur à charge de l’actif du débiteur. </w:t>
      </w:r>
    </w:p>
    <w:p w:rsidR="008064D7" w:rsidRDefault="008064D7" w:rsidP="00A529D9">
      <w:pPr>
        <w:pStyle w:val="Paragraphedeliste"/>
        <w:spacing w:line="240" w:lineRule="auto"/>
        <w:ind w:left="786"/>
        <w:rPr>
          <w:rFonts w:ascii="Times New Roman" w:hAnsi="Times New Roman"/>
          <w:sz w:val="24"/>
          <w:u w:val="single"/>
        </w:rPr>
      </w:pPr>
    </w:p>
    <w:p w:rsidR="008064D7" w:rsidRPr="00EE1371" w:rsidRDefault="008064D7" w:rsidP="00A529D9">
      <w:pPr>
        <w:pStyle w:val="Paragraphedeliste"/>
        <w:spacing w:line="240" w:lineRule="auto"/>
        <w:ind w:left="786"/>
        <w:rPr>
          <w:rFonts w:ascii="Times New Roman" w:hAnsi="Times New Roman"/>
          <w:sz w:val="24"/>
        </w:rPr>
      </w:pPr>
      <w:r w:rsidRPr="00EE1371">
        <w:rPr>
          <w:rFonts w:ascii="Times New Roman" w:hAnsi="Times New Roman"/>
          <w:sz w:val="24"/>
        </w:rPr>
        <w:t>Derrière cette interdiction</w:t>
      </w:r>
      <w:r>
        <w:rPr>
          <w:rStyle w:val="Appelnotedebasdep"/>
          <w:rFonts w:ascii="Times New Roman" w:hAnsi="Times New Roman"/>
          <w:sz w:val="24"/>
        </w:rPr>
        <w:footnoteReference w:id="261"/>
      </w:r>
      <w:r w:rsidR="00457C02">
        <w:rPr>
          <w:rFonts w:ascii="Times New Roman" w:hAnsi="Times New Roman"/>
          <w:sz w:val="24"/>
        </w:rPr>
        <w:t xml:space="preserve"> </w:t>
      </w:r>
      <w:r w:rsidRPr="00EE1371">
        <w:rPr>
          <w:rFonts w:ascii="Times New Roman" w:hAnsi="Times New Roman"/>
          <w:sz w:val="24"/>
        </w:rPr>
        <w:t>se cacherait peut-être une vision selon laquelle la négociation entre créanciers et débiteurs ne pourrait pas aboutir à des avantages ou au moins des avantages particuliers, ce qui rapporté à la question des valeurs créerait, comme on l’a déj</w:t>
      </w:r>
      <w:r>
        <w:rPr>
          <w:rFonts w:ascii="Times New Roman" w:hAnsi="Times New Roman"/>
          <w:sz w:val="24"/>
        </w:rPr>
        <w:t>à vu, peut-être de grandes difficultés, surtout si tout l’intérêt de la règle de priorité absolue ou relative serait de pousser à la négociation</w:t>
      </w:r>
      <w:r w:rsidR="00457C02">
        <w:rPr>
          <w:rFonts w:ascii="Times New Roman" w:hAnsi="Times New Roman"/>
          <w:sz w:val="24"/>
        </w:rPr>
        <w:t xml:space="preserve"> et de favoriser des accords. Cela en changerait totalement la fonction et la nature du point peut être d’en revoir la portée</w:t>
      </w:r>
      <w:r>
        <w:rPr>
          <w:rFonts w:ascii="Times New Roman" w:hAnsi="Times New Roman"/>
          <w:sz w:val="24"/>
        </w:rPr>
        <w:t>.</w:t>
      </w:r>
    </w:p>
    <w:p w:rsidR="008064D7" w:rsidRDefault="008064D7" w:rsidP="00A529D9">
      <w:pPr>
        <w:pStyle w:val="Paragraphedeliste"/>
        <w:spacing w:line="240" w:lineRule="auto"/>
        <w:ind w:left="786"/>
        <w:rPr>
          <w:rFonts w:ascii="Times New Roman" w:hAnsi="Times New Roman"/>
          <w:sz w:val="24"/>
        </w:rPr>
      </w:pPr>
    </w:p>
    <w:p w:rsidR="008064D7" w:rsidRPr="00A51A45" w:rsidRDefault="008064D7" w:rsidP="00457C02">
      <w:pPr>
        <w:pStyle w:val="Titre2"/>
        <w:numPr>
          <w:ilvl w:val="0"/>
          <w:numId w:val="44"/>
        </w:numPr>
        <w:rPr>
          <w:rFonts w:ascii="Times New Roman" w:hAnsi="Times New Roman" w:cs="Times New Roman"/>
        </w:rPr>
      </w:pPr>
      <w:bookmarkStart w:id="32" w:name="_Toc55407478"/>
      <w:r>
        <w:rPr>
          <w:rFonts w:ascii="Times New Roman" w:hAnsi="Times New Roman" w:cs="Times New Roman"/>
        </w:rPr>
        <w:t>Interprétation de l’article 490</w:t>
      </w:r>
      <w:r w:rsidRPr="00457C02">
        <w:rPr>
          <w:rFonts w:ascii="Times New Roman" w:hAnsi="Times New Roman" w:cs="Times New Roman"/>
        </w:rPr>
        <w:t>quater</w:t>
      </w:r>
      <w:r w:rsidRPr="00A51A45">
        <w:rPr>
          <w:rFonts w:ascii="Times New Roman" w:hAnsi="Times New Roman" w:cs="Times New Roman"/>
        </w:rPr>
        <w:t xml:space="preserve"> du CP</w:t>
      </w:r>
      <w:bookmarkEnd w:id="32"/>
    </w:p>
    <w:p w:rsidR="00457C02" w:rsidRDefault="008064D7" w:rsidP="00A529D9">
      <w:pPr>
        <w:pStyle w:val="Paragraphedeliste"/>
        <w:numPr>
          <w:ilvl w:val="0"/>
          <w:numId w:val="2"/>
        </w:numPr>
        <w:spacing w:line="240" w:lineRule="auto"/>
        <w:rPr>
          <w:rFonts w:ascii="Times New Roman" w:hAnsi="Times New Roman"/>
          <w:sz w:val="24"/>
        </w:rPr>
      </w:pPr>
      <w:r w:rsidRPr="00621D7F">
        <w:rPr>
          <w:rFonts w:ascii="Times New Roman" w:hAnsi="Times New Roman"/>
          <w:sz w:val="24"/>
          <w:u w:val="single"/>
        </w:rPr>
        <w:t>Portée exacte de la disposition</w:t>
      </w:r>
      <w:r>
        <w:rPr>
          <w:rFonts w:ascii="Times New Roman" w:hAnsi="Times New Roman"/>
          <w:sz w:val="24"/>
        </w:rPr>
        <w:t>. La meilleure doctrine</w:t>
      </w:r>
      <w:r>
        <w:rPr>
          <w:rStyle w:val="Appelnotedebasdep"/>
          <w:rFonts w:ascii="Times New Roman" w:hAnsi="Times New Roman"/>
          <w:sz w:val="24"/>
        </w:rPr>
        <w:footnoteReference w:id="262"/>
      </w:r>
      <w:r>
        <w:rPr>
          <w:rFonts w:ascii="Times New Roman" w:hAnsi="Times New Roman"/>
          <w:sz w:val="24"/>
        </w:rPr>
        <w:t xml:space="preserve"> </w:t>
      </w:r>
      <w:r w:rsidR="00457C02">
        <w:rPr>
          <w:rFonts w:ascii="Times New Roman" w:hAnsi="Times New Roman"/>
          <w:sz w:val="24"/>
        </w:rPr>
        <w:t>semble retenir</w:t>
      </w:r>
      <w:r>
        <w:rPr>
          <w:rFonts w:ascii="Times New Roman" w:hAnsi="Times New Roman"/>
          <w:sz w:val="24"/>
        </w:rPr>
        <w:t xml:space="preserve"> que ce </w:t>
      </w:r>
      <w:r w:rsidRPr="00621D7F">
        <w:rPr>
          <w:rFonts w:ascii="Times New Roman" w:hAnsi="Times New Roman"/>
          <w:sz w:val="24"/>
        </w:rPr>
        <w:t xml:space="preserve">texte </w:t>
      </w:r>
      <w:r w:rsidR="00457C02">
        <w:rPr>
          <w:rFonts w:ascii="Times New Roman" w:hAnsi="Times New Roman"/>
          <w:sz w:val="24"/>
        </w:rPr>
        <w:t>était</w:t>
      </w:r>
      <w:r>
        <w:rPr>
          <w:rFonts w:ascii="Times New Roman" w:hAnsi="Times New Roman"/>
          <w:sz w:val="24"/>
        </w:rPr>
        <w:t xml:space="preserve"> applicable à des a</w:t>
      </w:r>
      <w:r w:rsidRPr="00621D7F">
        <w:rPr>
          <w:rFonts w:ascii="Times New Roman" w:hAnsi="Times New Roman"/>
          <w:sz w:val="24"/>
        </w:rPr>
        <w:t xml:space="preserve">ccords </w:t>
      </w:r>
      <w:r w:rsidRPr="006523FC">
        <w:rPr>
          <w:rFonts w:ascii="Times New Roman" w:hAnsi="Times New Roman"/>
          <w:sz w:val="24"/>
          <w:u w:val="single"/>
        </w:rPr>
        <w:t>nécessaires</w:t>
      </w:r>
      <w:r w:rsidRPr="00621D7F">
        <w:rPr>
          <w:rFonts w:ascii="Times New Roman" w:hAnsi="Times New Roman"/>
          <w:sz w:val="24"/>
        </w:rPr>
        <w:t xml:space="preserve"> à l’obtention d’une majorité</w:t>
      </w:r>
      <w:r>
        <w:rPr>
          <w:rStyle w:val="Appelnotedebasdep"/>
          <w:rFonts w:ascii="Times New Roman" w:hAnsi="Times New Roman"/>
          <w:sz w:val="24"/>
        </w:rPr>
        <w:footnoteReference w:id="263"/>
      </w:r>
      <w:r w:rsidRPr="00621D7F">
        <w:rPr>
          <w:rFonts w:ascii="Times New Roman" w:hAnsi="Times New Roman"/>
          <w:sz w:val="24"/>
        </w:rPr>
        <w:t xml:space="preserve"> </w:t>
      </w:r>
      <w:r>
        <w:rPr>
          <w:rFonts w:ascii="Times New Roman" w:hAnsi="Times New Roman"/>
          <w:sz w:val="24"/>
        </w:rPr>
        <w:t xml:space="preserve">(en raison de l’exigence d’un dol spécial) </w:t>
      </w:r>
      <w:r w:rsidRPr="00621D7F">
        <w:rPr>
          <w:rFonts w:ascii="Times New Roman" w:hAnsi="Times New Roman"/>
          <w:sz w:val="24"/>
        </w:rPr>
        <w:t>qui apporterait aux créanciers votants un avantage hors proportion</w:t>
      </w:r>
      <w:r w:rsidR="00457C02">
        <w:rPr>
          <w:rFonts w:ascii="Times New Roman" w:hAnsi="Times New Roman"/>
          <w:sz w:val="24"/>
        </w:rPr>
        <w:t xml:space="preserve"> pour opérer ce vote</w:t>
      </w:r>
      <w:r w:rsidRPr="00621D7F">
        <w:rPr>
          <w:rFonts w:ascii="Times New Roman" w:hAnsi="Times New Roman"/>
          <w:sz w:val="24"/>
        </w:rPr>
        <w:t xml:space="preserve">. </w:t>
      </w:r>
      <w:r>
        <w:rPr>
          <w:rFonts w:ascii="Times New Roman" w:hAnsi="Times New Roman"/>
          <w:sz w:val="24"/>
        </w:rPr>
        <w:t>Un auteur</w:t>
      </w:r>
      <w:r>
        <w:rPr>
          <w:rStyle w:val="Appelnotedebasdep"/>
          <w:rFonts w:ascii="Times New Roman" w:hAnsi="Times New Roman"/>
          <w:sz w:val="24"/>
        </w:rPr>
        <w:footnoteReference w:id="264"/>
      </w:r>
      <w:r>
        <w:rPr>
          <w:rFonts w:ascii="Times New Roman" w:hAnsi="Times New Roman"/>
          <w:sz w:val="24"/>
        </w:rPr>
        <w:t xml:space="preserve"> soutient qu’il faut une volonté de nuire ou de se procurer un avantage illégal. </w:t>
      </w:r>
    </w:p>
    <w:p w:rsidR="00457C02" w:rsidRDefault="00457C02" w:rsidP="00457C02">
      <w:pPr>
        <w:pStyle w:val="Paragraphedeliste"/>
        <w:spacing w:line="240" w:lineRule="auto"/>
        <w:ind w:left="786"/>
        <w:rPr>
          <w:rFonts w:ascii="Times New Roman" w:hAnsi="Times New Roman"/>
          <w:sz w:val="24"/>
          <w:u w:val="single"/>
        </w:rPr>
      </w:pPr>
    </w:p>
    <w:p w:rsidR="008064D7" w:rsidRDefault="008064D7" w:rsidP="00A529D9">
      <w:pPr>
        <w:pStyle w:val="Paragraphedeliste"/>
        <w:spacing w:line="240" w:lineRule="auto"/>
        <w:ind w:left="786"/>
        <w:rPr>
          <w:rFonts w:ascii="Times New Roman" w:hAnsi="Times New Roman"/>
          <w:sz w:val="24"/>
        </w:rPr>
      </w:pPr>
      <w:r>
        <w:rPr>
          <w:rFonts w:ascii="Times New Roman" w:hAnsi="Times New Roman"/>
          <w:sz w:val="24"/>
        </w:rPr>
        <w:t>U</w:t>
      </w:r>
      <w:r w:rsidRPr="00B22B1F">
        <w:rPr>
          <w:rFonts w:ascii="Times New Roman" w:hAnsi="Times New Roman"/>
          <w:sz w:val="24"/>
        </w:rPr>
        <w:t xml:space="preserve">ne lecture </w:t>
      </w:r>
      <w:r>
        <w:rPr>
          <w:rFonts w:ascii="Times New Roman" w:hAnsi="Times New Roman"/>
          <w:sz w:val="24"/>
        </w:rPr>
        <w:t>stricte</w:t>
      </w:r>
      <w:r w:rsidRPr="00B22B1F">
        <w:rPr>
          <w:rFonts w:ascii="Times New Roman" w:hAnsi="Times New Roman"/>
          <w:sz w:val="24"/>
        </w:rPr>
        <w:t xml:space="preserve"> du texte ou des travaux parlementaires ne permet pas d’en déduire une interprétation aussi </w:t>
      </w:r>
      <w:r w:rsidR="00457C02">
        <w:rPr>
          <w:rFonts w:ascii="Times New Roman" w:hAnsi="Times New Roman"/>
          <w:sz w:val="24"/>
        </w:rPr>
        <w:t>exigeante</w:t>
      </w:r>
      <w:r w:rsidRPr="00B22B1F">
        <w:rPr>
          <w:rFonts w:ascii="Times New Roman" w:hAnsi="Times New Roman"/>
          <w:sz w:val="24"/>
        </w:rPr>
        <w:t>.</w:t>
      </w:r>
      <w:r w:rsidR="00457C02">
        <w:rPr>
          <w:rFonts w:ascii="Times New Roman" w:hAnsi="Times New Roman"/>
          <w:sz w:val="24"/>
        </w:rPr>
        <w:t xml:space="preserve"> </w:t>
      </w:r>
      <w:r>
        <w:rPr>
          <w:rFonts w:ascii="Times New Roman" w:hAnsi="Times New Roman"/>
          <w:sz w:val="24"/>
        </w:rPr>
        <w:t>Est-ce que, à l’heure où des p</w:t>
      </w:r>
      <w:r w:rsidR="00457C02">
        <w:rPr>
          <w:rFonts w:ascii="Times New Roman" w:hAnsi="Times New Roman"/>
          <w:sz w:val="24"/>
        </w:rPr>
        <w:t>oursuites sont engagées par le P</w:t>
      </w:r>
      <w:r>
        <w:rPr>
          <w:rFonts w:ascii="Times New Roman" w:hAnsi="Times New Roman"/>
          <w:sz w:val="24"/>
        </w:rPr>
        <w:t xml:space="preserve">arquet liégeois de ce chef - y compris contre un avocat - l’obtention d’un pourcentage </w:t>
      </w:r>
      <w:r w:rsidRPr="00B22B1F">
        <w:rPr>
          <w:rFonts w:ascii="Times New Roman" w:hAnsi="Times New Roman"/>
          <w:sz w:val="24"/>
        </w:rPr>
        <w:t>très différent</w:t>
      </w:r>
      <w:r>
        <w:rPr>
          <w:rFonts w:ascii="Times New Roman" w:hAnsi="Times New Roman"/>
          <w:sz w:val="24"/>
        </w:rPr>
        <w:t xml:space="preserve"> pour certains créanciers par rapport à d’autres</w:t>
      </w:r>
      <w:r w:rsidRPr="00B22B1F">
        <w:rPr>
          <w:rFonts w:ascii="Times New Roman" w:hAnsi="Times New Roman"/>
          <w:sz w:val="24"/>
        </w:rPr>
        <w:t xml:space="preserve"> </w:t>
      </w:r>
      <w:r>
        <w:rPr>
          <w:rFonts w:ascii="Times New Roman" w:hAnsi="Times New Roman"/>
          <w:sz w:val="24"/>
        </w:rPr>
        <w:t>par le classement d’un créancier dans une catégorie de</w:t>
      </w:r>
      <w:r w:rsidRPr="00B22B1F">
        <w:rPr>
          <w:rFonts w:ascii="Times New Roman" w:hAnsi="Times New Roman"/>
          <w:sz w:val="24"/>
        </w:rPr>
        <w:t xml:space="preserve"> créancier</w:t>
      </w:r>
      <w:r>
        <w:rPr>
          <w:rFonts w:ascii="Times New Roman" w:hAnsi="Times New Roman"/>
          <w:sz w:val="24"/>
        </w:rPr>
        <w:t>s</w:t>
      </w:r>
      <w:r w:rsidRPr="00B22B1F">
        <w:rPr>
          <w:rFonts w:ascii="Times New Roman" w:hAnsi="Times New Roman"/>
          <w:sz w:val="24"/>
        </w:rPr>
        <w:t xml:space="preserve">, le paiement au titre sursitaire de créances nécessaires, le paiement des arriérés à un créancier </w:t>
      </w:r>
      <w:r>
        <w:rPr>
          <w:rFonts w:ascii="Times New Roman" w:hAnsi="Times New Roman"/>
          <w:sz w:val="24"/>
        </w:rPr>
        <w:t>à</w:t>
      </w:r>
      <w:r w:rsidRPr="00B22B1F">
        <w:rPr>
          <w:rFonts w:ascii="Times New Roman" w:hAnsi="Times New Roman"/>
          <w:sz w:val="24"/>
        </w:rPr>
        <w:t xml:space="preserve"> prestation successive, ou d’une rémunération en actions plus grande que ce</w:t>
      </w:r>
      <w:r>
        <w:rPr>
          <w:rFonts w:ascii="Times New Roman" w:hAnsi="Times New Roman"/>
          <w:sz w:val="24"/>
        </w:rPr>
        <w:t>lle qui serait « </w:t>
      </w:r>
      <w:r w:rsidRPr="00820AC3">
        <w:rPr>
          <w:rFonts w:ascii="Times New Roman" w:hAnsi="Times New Roman"/>
          <w:i/>
          <w:sz w:val="24"/>
        </w:rPr>
        <w:t>normale</w:t>
      </w:r>
      <w:r>
        <w:rPr>
          <w:rFonts w:ascii="Times New Roman" w:hAnsi="Times New Roman"/>
          <w:sz w:val="24"/>
        </w:rPr>
        <w:t xml:space="preserve"> », seraient-ils </w:t>
      </w:r>
      <w:r w:rsidRPr="00B22B1F">
        <w:rPr>
          <w:rFonts w:ascii="Times New Roman" w:hAnsi="Times New Roman"/>
          <w:sz w:val="24"/>
        </w:rPr>
        <w:t>des avantages</w:t>
      </w:r>
      <w:r>
        <w:rPr>
          <w:rFonts w:ascii="Times New Roman" w:hAnsi="Times New Roman"/>
          <w:sz w:val="24"/>
        </w:rPr>
        <w:t xml:space="preserve"> à charge du débiteur</w:t>
      </w:r>
      <w:r w:rsidRPr="00B22B1F">
        <w:rPr>
          <w:rFonts w:ascii="Times New Roman" w:hAnsi="Times New Roman"/>
          <w:sz w:val="24"/>
        </w:rPr>
        <w:t>.</w:t>
      </w:r>
      <w:r>
        <w:rPr>
          <w:rFonts w:ascii="Times New Roman" w:hAnsi="Times New Roman"/>
          <w:sz w:val="24"/>
        </w:rPr>
        <w:t xml:space="preserve"> </w:t>
      </w:r>
      <w:r w:rsidRPr="00B22B1F">
        <w:rPr>
          <w:rFonts w:ascii="Times New Roman" w:hAnsi="Times New Roman"/>
          <w:sz w:val="24"/>
        </w:rPr>
        <w:t>La reconnaissance de la qualité de créancier extraordinaire</w:t>
      </w:r>
      <w:r>
        <w:rPr>
          <w:rFonts w:ascii="Times New Roman" w:hAnsi="Times New Roman"/>
          <w:sz w:val="24"/>
        </w:rPr>
        <w:t xml:space="preserve"> à un gage sur des actifs externes au débiteur</w:t>
      </w:r>
      <w:r w:rsidRPr="00B22B1F">
        <w:rPr>
          <w:rFonts w:ascii="Times New Roman" w:hAnsi="Times New Roman"/>
          <w:sz w:val="24"/>
        </w:rPr>
        <w:t xml:space="preserve"> ou d’une assiette importante à cette créance pourrait</w:t>
      </w:r>
      <w:r w:rsidR="00457C02">
        <w:rPr>
          <w:rFonts w:ascii="Times New Roman" w:hAnsi="Times New Roman"/>
          <w:sz w:val="24"/>
        </w:rPr>
        <w:t>-il être</w:t>
      </w:r>
      <w:r w:rsidRPr="00B22B1F">
        <w:rPr>
          <w:rFonts w:ascii="Times New Roman" w:hAnsi="Times New Roman"/>
          <w:sz w:val="24"/>
        </w:rPr>
        <w:t xml:space="preserve"> aussi être visé</w:t>
      </w:r>
      <w:r>
        <w:rPr>
          <w:rStyle w:val="Appelnotedebasdep"/>
          <w:rFonts w:ascii="Times New Roman" w:hAnsi="Times New Roman"/>
          <w:sz w:val="24"/>
        </w:rPr>
        <w:footnoteReference w:id="265"/>
      </w:r>
      <w:r w:rsidR="00457C02">
        <w:rPr>
          <w:rFonts w:ascii="Times New Roman" w:hAnsi="Times New Roman"/>
          <w:sz w:val="24"/>
        </w:rPr>
        <w:t> ?</w:t>
      </w:r>
    </w:p>
    <w:p w:rsidR="008064D7" w:rsidRDefault="008064D7" w:rsidP="00A529D9">
      <w:pPr>
        <w:pStyle w:val="Paragraphedeliste"/>
        <w:spacing w:line="240" w:lineRule="auto"/>
        <w:ind w:left="786"/>
        <w:rPr>
          <w:rFonts w:ascii="Times New Roman" w:hAnsi="Times New Roman"/>
          <w:sz w:val="24"/>
        </w:rPr>
      </w:pPr>
    </w:p>
    <w:p w:rsidR="008064D7" w:rsidRDefault="008064D7" w:rsidP="00A529D9">
      <w:pPr>
        <w:pStyle w:val="Paragraphedeliste"/>
        <w:spacing w:line="240" w:lineRule="auto"/>
        <w:ind w:left="786"/>
        <w:rPr>
          <w:rFonts w:ascii="Times New Roman" w:hAnsi="Times New Roman"/>
          <w:sz w:val="24"/>
        </w:rPr>
      </w:pPr>
      <w:r w:rsidRPr="00B22B1F">
        <w:rPr>
          <w:rFonts w:ascii="Times New Roman" w:hAnsi="Times New Roman"/>
          <w:sz w:val="24"/>
        </w:rPr>
        <w:t>En visant le terme « </w:t>
      </w:r>
      <w:r w:rsidRPr="00B22B1F">
        <w:rPr>
          <w:rFonts w:ascii="Times New Roman" w:hAnsi="Times New Roman"/>
          <w:i/>
          <w:sz w:val="24"/>
        </w:rPr>
        <w:t>accord particulier »</w:t>
      </w:r>
      <w:r>
        <w:rPr>
          <w:rFonts w:ascii="Times New Roman" w:hAnsi="Times New Roman"/>
          <w:sz w:val="24"/>
        </w:rPr>
        <w:t>, l’article 490</w:t>
      </w:r>
      <w:r w:rsidRPr="00B331AB">
        <w:rPr>
          <w:rFonts w:ascii="Times New Roman" w:hAnsi="Times New Roman"/>
          <w:i/>
          <w:sz w:val="24"/>
        </w:rPr>
        <w:t>quater</w:t>
      </w:r>
      <w:r w:rsidRPr="00B22B1F">
        <w:rPr>
          <w:rFonts w:ascii="Times New Roman" w:hAnsi="Times New Roman"/>
          <w:sz w:val="24"/>
        </w:rPr>
        <w:t xml:space="preserve"> du Code pénal semble vouloir identifier </w:t>
      </w:r>
      <w:r w:rsidRPr="00B22B1F">
        <w:rPr>
          <w:rFonts w:ascii="Times New Roman" w:hAnsi="Times New Roman"/>
          <w:sz w:val="24"/>
          <w:u w:val="single"/>
        </w:rPr>
        <w:t>un accord qui n’est pas un accord général</w:t>
      </w:r>
      <w:r w:rsidRPr="00B22B1F">
        <w:rPr>
          <w:rFonts w:ascii="Times New Roman" w:hAnsi="Times New Roman"/>
          <w:sz w:val="24"/>
        </w:rPr>
        <w:t>, c’est-à-dire, un traitement qui serait accordé à un créancier avec qui on aurait négocié en le traitant diff</w:t>
      </w:r>
      <w:r>
        <w:rPr>
          <w:rFonts w:ascii="Times New Roman" w:hAnsi="Times New Roman"/>
          <w:sz w:val="24"/>
        </w:rPr>
        <w:t xml:space="preserve">éremment des autres créanciers. </w:t>
      </w:r>
    </w:p>
    <w:p w:rsidR="008064D7" w:rsidRDefault="008064D7" w:rsidP="00A529D9">
      <w:pPr>
        <w:pStyle w:val="Paragraphedeliste"/>
        <w:spacing w:line="240" w:lineRule="auto"/>
        <w:ind w:left="786"/>
        <w:rPr>
          <w:rFonts w:ascii="Times New Roman" w:hAnsi="Times New Roman"/>
          <w:sz w:val="24"/>
        </w:rPr>
      </w:pPr>
    </w:p>
    <w:p w:rsidR="008064D7" w:rsidRDefault="008064D7" w:rsidP="00A529D9">
      <w:pPr>
        <w:pStyle w:val="Paragraphedeliste"/>
        <w:spacing w:line="240" w:lineRule="auto"/>
        <w:ind w:left="786"/>
        <w:rPr>
          <w:rFonts w:ascii="Times New Roman" w:hAnsi="Times New Roman"/>
          <w:sz w:val="24"/>
        </w:rPr>
      </w:pPr>
      <w:r>
        <w:rPr>
          <w:rFonts w:ascii="Times New Roman" w:hAnsi="Times New Roman"/>
          <w:sz w:val="24"/>
        </w:rPr>
        <w:t xml:space="preserve">Le concept a de quoi surprendre dès lors que la loi autorise expressément l’existence de catégories de créanciers à qui des propositions différenciées sont faites sous la seule </w:t>
      </w:r>
      <w:r>
        <w:rPr>
          <w:rFonts w:ascii="Times New Roman" w:hAnsi="Times New Roman"/>
          <w:sz w:val="24"/>
        </w:rPr>
        <w:lastRenderedPageBreak/>
        <w:t xml:space="preserve">réserve de l’absence de discrimination. La PRJ peut même avoir pour but un accord amiable dont le but est de protéger de la période suspecte </w:t>
      </w:r>
      <w:r w:rsidR="00457C02">
        <w:rPr>
          <w:rFonts w:ascii="Times New Roman" w:hAnsi="Times New Roman"/>
          <w:sz w:val="24"/>
        </w:rPr>
        <w:t>d</w:t>
      </w:r>
      <w:r>
        <w:rPr>
          <w:rFonts w:ascii="Times New Roman" w:hAnsi="Times New Roman"/>
          <w:sz w:val="24"/>
        </w:rPr>
        <w:t>es créanciers</w:t>
      </w:r>
      <w:r w:rsidR="00457C02">
        <w:rPr>
          <w:rFonts w:ascii="Times New Roman" w:hAnsi="Times New Roman"/>
          <w:sz w:val="24"/>
        </w:rPr>
        <w:t xml:space="preserve"> particuliers, forcément à l’exclusion des autres et, en cas de faillite, peut-être à leur détriment</w:t>
      </w:r>
      <w:r>
        <w:rPr>
          <w:rFonts w:ascii="Times New Roman" w:hAnsi="Times New Roman"/>
          <w:sz w:val="24"/>
        </w:rPr>
        <w:t xml:space="preserve">. Par définition, une catégorie de créanciers différenciés aura un avantage particulier puisque la loi ne prévoit pas de traiter les créanciers d’après des rangs et des privilèges, mais seulement selon des considérations économiques qui tiennent à l’économie de l’entreprise et à sa continuité. </w:t>
      </w:r>
    </w:p>
    <w:p w:rsidR="008064D7" w:rsidRDefault="008064D7" w:rsidP="00A529D9">
      <w:pPr>
        <w:pStyle w:val="Paragraphedeliste"/>
        <w:spacing w:line="240" w:lineRule="auto"/>
        <w:ind w:left="786"/>
        <w:rPr>
          <w:rFonts w:ascii="Times New Roman" w:hAnsi="Times New Roman"/>
          <w:sz w:val="24"/>
        </w:rPr>
      </w:pPr>
    </w:p>
    <w:p w:rsidR="008064D7" w:rsidRDefault="008064D7" w:rsidP="00A529D9">
      <w:pPr>
        <w:pStyle w:val="Paragraphedeliste"/>
        <w:spacing w:line="240" w:lineRule="auto"/>
        <w:ind w:left="786"/>
        <w:rPr>
          <w:rFonts w:ascii="Times New Roman" w:hAnsi="Times New Roman"/>
          <w:sz w:val="24"/>
        </w:rPr>
      </w:pPr>
      <w:r>
        <w:rPr>
          <w:rFonts w:ascii="Times New Roman" w:hAnsi="Times New Roman"/>
          <w:sz w:val="24"/>
        </w:rPr>
        <w:t>L’avantage donné est d’ailleurs toujours à charge de l’actif du débiteur. Certes, le texte vise aussi des a</w:t>
      </w:r>
      <w:r w:rsidRPr="00621D7F">
        <w:rPr>
          <w:rFonts w:ascii="Times New Roman" w:hAnsi="Times New Roman"/>
          <w:sz w:val="24"/>
        </w:rPr>
        <w:t>vantage</w:t>
      </w:r>
      <w:r>
        <w:rPr>
          <w:rFonts w:ascii="Times New Roman" w:hAnsi="Times New Roman"/>
          <w:sz w:val="24"/>
        </w:rPr>
        <w:t>s</w:t>
      </w:r>
      <w:r w:rsidRPr="00621D7F">
        <w:rPr>
          <w:rFonts w:ascii="Times New Roman" w:hAnsi="Times New Roman"/>
          <w:sz w:val="24"/>
        </w:rPr>
        <w:t xml:space="preserve"> particulier</w:t>
      </w:r>
      <w:r>
        <w:rPr>
          <w:rFonts w:ascii="Times New Roman" w:hAnsi="Times New Roman"/>
          <w:sz w:val="24"/>
        </w:rPr>
        <w:t>s</w:t>
      </w:r>
      <w:r w:rsidRPr="00621D7F">
        <w:rPr>
          <w:rFonts w:ascii="Times New Roman" w:hAnsi="Times New Roman"/>
          <w:sz w:val="24"/>
        </w:rPr>
        <w:t xml:space="preserve"> obtenu</w:t>
      </w:r>
      <w:r w:rsidR="00457C02">
        <w:rPr>
          <w:rFonts w:ascii="Times New Roman" w:hAnsi="Times New Roman"/>
          <w:sz w:val="24"/>
        </w:rPr>
        <w:t>s</w:t>
      </w:r>
      <w:r w:rsidRPr="00621D7F">
        <w:rPr>
          <w:rFonts w:ascii="Times New Roman" w:hAnsi="Times New Roman"/>
          <w:sz w:val="24"/>
        </w:rPr>
        <w:t xml:space="preserve"> par le créancier </w:t>
      </w:r>
      <w:r>
        <w:rPr>
          <w:rFonts w:ascii="Times New Roman" w:hAnsi="Times New Roman"/>
          <w:sz w:val="24"/>
        </w:rPr>
        <w:t>en dehors de l’actif du débiteur. L’avantage à charge du patrimoine du débiteur est aussi une notion critiquable dès lors que dans un accord collectif, le créancier est payé avec un dividende</w:t>
      </w:r>
      <w:r w:rsidR="00457C02">
        <w:rPr>
          <w:rFonts w:ascii="Times New Roman" w:hAnsi="Times New Roman"/>
          <w:sz w:val="24"/>
        </w:rPr>
        <w:t>,</w:t>
      </w:r>
      <w:r>
        <w:rPr>
          <w:rFonts w:ascii="Times New Roman" w:hAnsi="Times New Roman"/>
          <w:sz w:val="24"/>
        </w:rPr>
        <w:t xml:space="preserve"> de telle sorte que si le paiement intervient, le débiteur échappe ainsi à la faillite et le patrimoine du débiteur continue de lui appartenir et n’est plus le gage commun des créanciers. </w:t>
      </w:r>
    </w:p>
    <w:p w:rsidR="008064D7" w:rsidRDefault="008064D7" w:rsidP="00A529D9">
      <w:pPr>
        <w:pStyle w:val="Paragraphedeliste"/>
        <w:spacing w:line="240" w:lineRule="auto"/>
        <w:ind w:left="786"/>
        <w:rPr>
          <w:rFonts w:ascii="Times New Roman" w:hAnsi="Times New Roman"/>
          <w:sz w:val="24"/>
        </w:rPr>
      </w:pPr>
    </w:p>
    <w:p w:rsidR="008064D7" w:rsidRDefault="008064D7" w:rsidP="00A529D9">
      <w:pPr>
        <w:pStyle w:val="Paragraphedeliste"/>
        <w:spacing w:line="240" w:lineRule="auto"/>
        <w:ind w:left="786"/>
        <w:rPr>
          <w:rFonts w:ascii="Times New Roman" w:hAnsi="Times New Roman"/>
          <w:sz w:val="24"/>
        </w:rPr>
      </w:pPr>
      <w:r>
        <w:rPr>
          <w:rFonts w:ascii="Times New Roman" w:hAnsi="Times New Roman"/>
          <w:sz w:val="24"/>
        </w:rPr>
        <w:t>Même une conversion en action pourrait être à charge du patrimoine en cas de réduction de capital, de distribution de dividende, de démission.</w:t>
      </w:r>
    </w:p>
    <w:p w:rsidR="008064D7" w:rsidRDefault="008064D7" w:rsidP="00A529D9">
      <w:pPr>
        <w:spacing w:line="240" w:lineRule="auto"/>
        <w:ind w:left="708"/>
        <w:rPr>
          <w:rFonts w:ascii="Times New Roman" w:hAnsi="Times New Roman"/>
          <w:sz w:val="24"/>
        </w:rPr>
      </w:pPr>
    </w:p>
    <w:p w:rsidR="008064D7" w:rsidRDefault="008064D7" w:rsidP="00A529D9">
      <w:pPr>
        <w:spacing w:line="240" w:lineRule="auto"/>
        <w:ind w:left="708"/>
        <w:rPr>
          <w:rFonts w:ascii="Times New Roman" w:hAnsi="Times New Roman"/>
          <w:sz w:val="24"/>
        </w:rPr>
      </w:pPr>
      <w:r>
        <w:rPr>
          <w:rFonts w:ascii="Times New Roman" w:hAnsi="Times New Roman"/>
          <w:sz w:val="24"/>
        </w:rPr>
        <w:t xml:space="preserve">On pourrait soutenir que le fait de traiter de la même manière tous les créanciers alors que certains auraient eu droit à un avantage différent selon une analyse plus économique de leur nature de créance ou de </w:t>
      </w:r>
      <w:r w:rsidR="00457C02">
        <w:rPr>
          <w:rFonts w:ascii="Times New Roman" w:hAnsi="Times New Roman"/>
          <w:sz w:val="24"/>
        </w:rPr>
        <w:t xml:space="preserve">types de </w:t>
      </w:r>
      <w:r>
        <w:rPr>
          <w:rFonts w:ascii="Times New Roman" w:hAnsi="Times New Roman"/>
          <w:sz w:val="24"/>
        </w:rPr>
        <w:t>créanciers ou de leur importance serait aussi concéder un avantage particulier</w:t>
      </w:r>
      <w:r>
        <w:rPr>
          <w:rStyle w:val="Appelnotedebasdep"/>
          <w:rFonts w:ascii="Times New Roman" w:hAnsi="Times New Roman"/>
          <w:sz w:val="24"/>
        </w:rPr>
        <w:footnoteReference w:id="266"/>
      </w:r>
      <w:r>
        <w:rPr>
          <w:rFonts w:ascii="Times New Roman" w:hAnsi="Times New Roman"/>
          <w:sz w:val="24"/>
        </w:rPr>
        <w:t xml:space="preserve">. </w:t>
      </w:r>
    </w:p>
    <w:p w:rsidR="008064D7" w:rsidRDefault="008064D7" w:rsidP="00A529D9">
      <w:pPr>
        <w:spacing w:line="240" w:lineRule="auto"/>
        <w:ind w:left="708"/>
        <w:rPr>
          <w:rFonts w:ascii="Times New Roman" w:hAnsi="Times New Roman"/>
          <w:sz w:val="24"/>
        </w:rPr>
      </w:pPr>
    </w:p>
    <w:p w:rsidR="008064D7" w:rsidRDefault="008064D7" w:rsidP="00A529D9">
      <w:pPr>
        <w:spacing w:line="240" w:lineRule="auto"/>
        <w:ind w:left="708"/>
        <w:rPr>
          <w:rFonts w:ascii="Times New Roman" w:hAnsi="Times New Roman"/>
          <w:sz w:val="24"/>
        </w:rPr>
      </w:pPr>
      <w:r>
        <w:rPr>
          <w:rFonts w:ascii="Times New Roman" w:hAnsi="Times New Roman"/>
          <w:sz w:val="24"/>
        </w:rPr>
        <w:t>Le principe de la négociation est aussi une notion incertaine. Le principe de la « </w:t>
      </w:r>
      <w:r w:rsidRPr="00D5069C">
        <w:rPr>
          <w:rFonts w:ascii="Times New Roman" w:hAnsi="Times New Roman"/>
          <w:i/>
          <w:sz w:val="24"/>
        </w:rPr>
        <w:t>discussion</w:t>
      </w:r>
      <w:r>
        <w:rPr>
          <w:rFonts w:ascii="Times New Roman" w:hAnsi="Times New Roman"/>
          <w:sz w:val="24"/>
        </w:rPr>
        <w:t xml:space="preserve"> » avec les créanciers n’est pas exclu du livre XX, l’article XX.64 consacrant même </w:t>
      </w:r>
      <w:r w:rsidRPr="00621D7F">
        <w:rPr>
          <w:rFonts w:ascii="Times New Roman" w:hAnsi="Times New Roman"/>
          <w:sz w:val="24"/>
        </w:rPr>
        <w:t xml:space="preserve"> </w:t>
      </w:r>
      <w:r>
        <w:rPr>
          <w:rFonts w:ascii="Times New Roman" w:hAnsi="Times New Roman"/>
          <w:sz w:val="24"/>
        </w:rPr>
        <w:t>« </w:t>
      </w:r>
      <w:r w:rsidRPr="000403B8">
        <w:rPr>
          <w:rFonts w:ascii="Times New Roman" w:hAnsi="Times New Roman"/>
          <w:i/>
          <w:sz w:val="24"/>
        </w:rPr>
        <w:t>un accord entre le débiteur et au moins deux de ses créanciers en vue de l'assainissement de sa situation financière ou de la réorganisation de son entreprise</w:t>
      </w:r>
      <w:r>
        <w:rPr>
          <w:rFonts w:ascii="Times New Roman" w:hAnsi="Times New Roman"/>
          <w:sz w:val="24"/>
        </w:rPr>
        <w:t xml:space="preserve"> » et sauf à nier la réalité, une telle discussion est nécessaire pour fixer les créances sans devoir </w:t>
      </w:r>
      <w:r w:rsidR="00457C02" w:rsidRPr="00457C02">
        <w:rPr>
          <w:rFonts w:ascii="Times New Roman" w:hAnsi="Times New Roman"/>
          <w:sz w:val="24"/>
        </w:rPr>
        <w:t>f</w:t>
      </w:r>
      <w:r w:rsidRPr="00457C02">
        <w:rPr>
          <w:rFonts w:ascii="Times New Roman" w:hAnsi="Times New Roman"/>
          <w:sz w:val="24"/>
        </w:rPr>
        <w:t>aire</w:t>
      </w:r>
      <w:r>
        <w:rPr>
          <w:rFonts w:ascii="Times New Roman" w:hAnsi="Times New Roman"/>
          <w:sz w:val="24"/>
        </w:rPr>
        <w:t xml:space="preserve"> intervenir, pour chaque créance, le tribunal sur pieds de l’article XX.68 et </w:t>
      </w:r>
      <w:r w:rsidR="00457C02">
        <w:rPr>
          <w:rFonts w:ascii="Times New Roman" w:hAnsi="Times New Roman"/>
          <w:sz w:val="24"/>
        </w:rPr>
        <w:t>XX.</w:t>
      </w:r>
      <w:r>
        <w:rPr>
          <w:rFonts w:ascii="Times New Roman" w:hAnsi="Times New Roman"/>
          <w:sz w:val="24"/>
        </w:rPr>
        <w:t>69, pour obtenir du refinancement, pour éviter la résiliation des contrats à prestations successives, pour éviter la mise en œuvre des garanties loi sûretés financières qui priverait l’entreprise des paiements de ses clients, avec la banque pour disposer des garanties bancaires nécessaires à la poursuite d’activité, aux créanciers avec réserve de propriété ou clause de compensation ou avec les leasers, les fournisseurs stratégiques qui peuvent refuser de livrer les nouvelles fournitures, avec des clients pour le non remboursement des garanties ou des acomptes,…</w:t>
      </w:r>
    </w:p>
    <w:p w:rsidR="008064D7" w:rsidRDefault="008064D7" w:rsidP="00A529D9">
      <w:pPr>
        <w:spacing w:line="240" w:lineRule="auto"/>
        <w:ind w:left="708"/>
        <w:rPr>
          <w:rFonts w:ascii="Times New Roman" w:hAnsi="Times New Roman"/>
          <w:sz w:val="24"/>
        </w:rPr>
      </w:pPr>
    </w:p>
    <w:p w:rsidR="008064D7" w:rsidRDefault="008064D7" w:rsidP="00A529D9">
      <w:pPr>
        <w:spacing w:line="240" w:lineRule="auto"/>
        <w:ind w:left="708"/>
        <w:rPr>
          <w:rFonts w:ascii="Times New Roman" w:hAnsi="Times New Roman"/>
          <w:sz w:val="24"/>
        </w:rPr>
      </w:pPr>
      <w:r>
        <w:rPr>
          <w:rFonts w:ascii="Times New Roman" w:hAnsi="Times New Roman"/>
          <w:sz w:val="24"/>
        </w:rPr>
        <w:t xml:space="preserve">Sans aucune information (qui est de suite une discussion et une négociation) aux créanciers de l’évolution de la procédure pendant la période de sursis, un créancier pourrait fort bien assigner en révocation du sursis, exiger le paiement de sommes dans le cadre de contrats à prestations successives, ce qu’il ne ferait pas dans le cadre d’une bonne information, voire demander la désignation d’un administrateur provisoire ou d’un mandataire de justice à défaut de transparence sur le suivi de la procédure, ce qui détruirait le principe des procédure avec le débiteur en possession afin de les rendre plus efficaces. </w:t>
      </w:r>
    </w:p>
    <w:p w:rsidR="008064D7" w:rsidRDefault="008064D7" w:rsidP="00A529D9">
      <w:pPr>
        <w:spacing w:line="240" w:lineRule="auto"/>
        <w:ind w:left="708"/>
        <w:rPr>
          <w:rFonts w:ascii="Times New Roman" w:hAnsi="Times New Roman"/>
          <w:sz w:val="24"/>
        </w:rPr>
      </w:pPr>
    </w:p>
    <w:p w:rsidR="008064D7" w:rsidRDefault="008064D7" w:rsidP="00A529D9">
      <w:pPr>
        <w:spacing w:line="240" w:lineRule="auto"/>
        <w:ind w:left="708"/>
        <w:rPr>
          <w:rFonts w:ascii="Times New Roman" w:hAnsi="Times New Roman"/>
          <w:sz w:val="24"/>
        </w:rPr>
      </w:pPr>
      <w:r>
        <w:rPr>
          <w:rFonts w:ascii="Times New Roman" w:hAnsi="Times New Roman"/>
          <w:sz w:val="24"/>
        </w:rPr>
        <w:lastRenderedPageBreak/>
        <w:t>La détermination de la valeur de l’entreprise est aussi nécessairement le résultat d’une négociation : la valeur liquidative restera incertaine et même les tribunaux s’écarte</w:t>
      </w:r>
      <w:r w:rsidR="00457C02">
        <w:rPr>
          <w:rFonts w:ascii="Times New Roman" w:hAnsi="Times New Roman"/>
          <w:sz w:val="24"/>
        </w:rPr>
        <w:t>nt</w:t>
      </w:r>
      <w:r>
        <w:rPr>
          <w:rFonts w:ascii="Times New Roman" w:hAnsi="Times New Roman"/>
          <w:sz w:val="24"/>
        </w:rPr>
        <w:t xml:space="preserve"> des expertises théoriques si le marché dément des appréciations purement intellectuelle</w:t>
      </w:r>
      <w:r w:rsidR="00457C02">
        <w:rPr>
          <w:rFonts w:ascii="Times New Roman" w:hAnsi="Times New Roman"/>
          <w:sz w:val="24"/>
        </w:rPr>
        <w:t>s</w:t>
      </w:r>
      <w:r>
        <w:rPr>
          <w:rFonts w:ascii="Times New Roman" w:hAnsi="Times New Roman"/>
          <w:sz w:val="24"/>
        </w:rPr>
        <w:t xml:space="preserve">. La valeur </w:t>
      </w:r>
      <w:r w:rsidRPr="007C17D3">
        <w:rPr>
          <w:rFonts w:ascii="Times New Roman" w:hAnsi="Times New Roman"/>
          <w:i/>
          <w:sz w:val="24"/>
        </w:rPr>
        <w:t>going-concern</w:t>
      </w:r>
      <w:r w:rsidRPr="00B331AB">
        <w:rPr>
          <w:rFonts w:ascii="Times New Roman" w:hAnsi="Times New Roman"/>
          <w:i/>
          <w:sz w:val="24"/>
        </w:rPr>
        <w:t xml:space="preserve"> </w:t>
      </w:r>
      <w:r>
        <w:rPr>
          <w:rFonts w:ascii="Times New Roman" w:hAnsi="Times New Roman"/>
          <w:sz w:val="24"/>
        </w:rPr>
        <w:t xml:space="preserve">dépend seulement des perceptions du marché d’acheter, d’investir ou de contracter ou non. </w:t>
      </w:r>
    </w:p>
    <w:p w:rsidR="008064D7" w:rsidRDefault="008064D7" w:rsidP="00A529D9">
      <w:pPr>
        <w:spacing w:line="240" w:lineRule="auto"/>
        <w:ind w:left="708"/>
        <w:rPr>
          <w:rFonts w:ascii="Times New Roman" w:hAnsi="Times New Roman"/>
          <w:sz w:val="24"/>
        </w:rPr>
      </w:pPr>
    </w:p>
    <w:p w:rsidR="008064D7" w:rsidRDefault="008064D7" w:rsidP="00A529D9">
      <w:pPr>
        <w:spacing w:line="240" w:lineRule="auto"/>
        <w:ind w:left="708"/>
        <w:rPr>
          <w:rFonts w:ascii="Times New Roman" w:hAnsi="Times New Roman"/>
          <w:sz w:val="24"/>
        </w:rPr>
      </w:pPr>
      <w:r>
        <w:rPr>
          <w:rFonts w:ascii="Times New Roman" w:hAnsi="Times New Roman"/>
          <w:sz w:val="24"/>
        </w:rPr>
        <w:t>Admettre que toute discussion est en soi susceptible de rentrer dans le champ du droit pénal transformerait les organes du débiteur et, en fait, ses conseils en une sorte d’acteurs abstraits devant définir, sans aucune forme de discussions généralement quelconques avec les créanciers, la meilleure manière de traiter les créanciers. Cette solution semble totalement excessive. Cette solution n’est pas conforme aux standards de ce qui est pratiqué à l’étranger ni en Belgique et, à vrai dire, n’est pas souhaitable.</w:t>
      </w:r>
    </w:p>
    <w:p w:rsidR="008064D7" w:rsidRDefault="008064D7" w:rsidP="00A529D9">
      <w:pPr>
        <w:spacing w:line="240" w:lineRule="auto"/>
        <w:ind w:left="708"/>
        <w:rPr>
          <w:rFonts w:ascii="Times New Roman" w:hAnsi="Times New Roman"/>
          <w:sz w:val="24"/>
        </w:rPr>
      </w:pPr>
    </w:p>
    <w:p w:rsidR="008064D7" w:rsidRPr="00A51A45" w:rsidRDefault="008064D7" w:rsidP="00457C02">
      <w:pPr>
        <w:pStyle w:val="Titre2"/>
        <w:numPr>
          <w:ilvl w:val="0"/>
          <w:numId w:val="44"/>
        </w:numPr>
        <w:rPr>
          <w:rFonts w:ascii="Times New Roman" w:hAnsi="Times New Roman" w:cs="Times New Roman"/>
        </w:rPr>
      </w:pPr>
      <w:bookmarkStart w:id="33" w:name="_Toc55407479"/>
      <w:r w:rsidRPr="00A51A45">
        <w:rPr>
          <w:rFonts w:ascii="Times New Roman" w:hAnsi="Times New Roman" w:cs="Times New Roman"/>
        </w:rPr>
        <w:t>La directive impose un modèle négocié</w:t>
      </w:r>
      <w:bookmarkEnd w:id="33"/>
      <w:r w:rsidRPr="00A51A45">
        <w:rPr>
          <w:rFonts w:ascii="Times New Roman" w:hAnsi="Times New Roman" w:cs="Times New Roman"/>
        </w:rPr>
        <w:t xml:space="preserve"> </w:t>
      </w:r>
    </w:p>
    <w:p w:rsidR="008064D7" w:rsidRDefault="008064D7" w:rsidP="00A529D9">
      <w:pPr>
        <w:pStyle w:val="Paragraphedeliste"/>
        <w:spacing w:line="240" w:lineRule="auto"/>
        <w:ind w:left="786"/>
        <w:rPr>
          <w:rFonts w:ascii="Times New Roman" w:hAnsi="Times New Roman"/>
          <w:sz w:val="24"/>
        </w:rPr>
      </w:pPr>
    </w:p>
    <w:p w:rsidR="008064D7" w:rsidRDefault="008064D7" w:rsidP="00A529D9">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directive souhaite, au contraire, que les plans soient élaborés sur base d’une négociation.</w:t>
      </w:r>
      <w:r>
        <w:rPr>
          <w:rFonts w:ascii="Times New Roman" w:hAnsi="Times New Roman"/>
          <w:sz w:val="24"/>
        </w:rPr>
        <w:t xml:space="preserve"> Son approche, basée sur le standard américain, anglais et français, veut au contraire favoriser la négociation avec les créanciers en évitant le risque de collusion par des mécanismes nouveaux</w:t>
      </w:r>
      <w:r w:rsidR="00457C02">
        <w:rPr>
          <w:rFonts w:ascii="Times New Roman" w:hAnsi="Times New Roman"/>
          <w:sz w:val="24"/>
        </w:rPr>
        <w:t xml:space="preserve"> et différents</w:t>
      </w:r>
      <w:r>
        <w:rPr>
          <w:rFonts w:ascii="Times New Roman" w:hAnsi="Times New Roman"/>
          <w:sz w:val="24"/>
        </w:rPr>
        <w:t>.</w:t>
      </w:r>
    </w:p>
    <w:p w:rsidR="008064D7" w:rsidRDefault="008064D7" w:rsidP="00A529D9">
      <w:pPr>
        <w:spacing w:line="240" w:lineRule="auto"/>
        <w:rPr>
          <w:rFonts w:ascii="Times New Roman" w:hAnsi="Times New Roman"/>
          <w:sz w:val="24"/>
        </w:rPr>
      </w:pPr>
    </w:p>
    <w:p w:rsidR="008064D7" w:rsidRDefault="008064D7" w:rsidP="00A529D9">
      <w:pPr>
        <w:spacing w:line="240" w:lineRule="auto"/>
        <w:ind w:left="786"/>
        <w:rPr>
          <w:rFonts w:ascii="Times New Roman" w:hAnsi="Times New Roman"/>
          <w:sz w:val="24"/>
        </w:rPr>
      </w:pPr>
      <w:r>
        <w:rPr>
          <w:rFonts w:ascii="Times New Roman" w:hAnsi="Times New Roman"/>
          <w:sz w:val="24"/>
        </w:rPr>
        <w:t xml:space="preserve">La détermination des classes de créanciers, qui a une importance capitale dans le droit de vote et le calcul de la majorité, se fera après discussions entre les créanciers et le débiteur.  </w:t>
      </w:r>
    </w:p>
    <w:p w:rsidR="008064D7" w:rsidRDefault="008064D7" w:rsidP="00A529D9">
      <w:pPr>
        <w:spacing w:line="240" w:lineRule="auto"/>
        <w:ind w:left="786"/>
        <w:rPr>
          <w:rFonts w:ascii="Times New Roman" w:hAnsi="Times New Roman"/>
          <w:sz w:val="24"/>
        </w:rPr>
      </w:pPr>
    </w:p>
    <w:p w:rsidR="008064D7" w:rsidRDefault="008064D7" w:rsidP="00A529D9">
      <w:pPr>
        <w:spacing w:line="240" w:lineRule="auto"/>
        <w:ind w:left="786"/>
        <w:rPr>
          <w:rFonts w:ascii="Times New Roman" w:hAnsi="Times New Roman"/>
          <w:sz w:val="24"/>
        </w:rPr>
      </w:pPr>
      <w:r>
        <w:rPr>
          <w:rFonts w:ascii="Times New Roman" w:hAnsi="Times New Roman"/>
          <w:sz w:val="24"/>
        </w:rPr>
        <w:t>Le sursis provisoire accordé par la directive vise à permettre une négociation confidentielle entre créancier et débiteur.</w:t>
      </w:r>
    </w:p>
    <w:p w:rsidR="008064D7" w:rsidRDefault="008064D7" w:rsidP="00A529D9">
      <w:pPr>
        <w:spacing w:line="240" w:lineRule="auto"/>
        <w:ind w:left="786"/>
        <w:rPr>
          <w:rFonts w:ascii="Times New Roman" w:hAnsi="Times New Roman"/>
          <w:sz w:val="24"/>
        </w:rPr>
      </w:pPr>
    </w:p>
    <w:p w:rsidR="008064D7" w:rsidRDefault="008064D7" w:rsidP="00A529D9">
      <w:pPr>
        <w:spacing w:line="240" w:lineRule="auto"/>
        <w:ind w:left="786"/>
        <w:rPr>
          <w:rFonts w:ascii="Times New Roman" w:hAnsi="Times New Roman"/>
          <w:sz w:val="24"/>
        </w:rPr>
      </w:pPr>
      <w:r>
        <w:rPr>
          <w:rFonts w:ascii="Times New Roman" w:hAnsi="Times New Roman"/>
          <w:sz w:val="24"/>
        </w:rPr>
        <w:t xml:space="preserve">Les refinancements qui seront avalisés par le juge le seront après des négociations importantes entre créanciers et débiteur. </w:t>
      </w:r>
    </w:p>
    <w:p w:rsidR="008064D7" w:rsidRDefault="008064D7" w:rsidP="00A529D9">
      <w:pPr>
        <w:spacing w:line="240" w:lineRule="auto"/>
        <w:ind w:left="786"/>
        <w:rPr>
          <w:rFonts w:ascii="Times New Roman" w:hAnsi="Times New Roman"/>
          <w:sz w:val="24"/>
        </w:rPr>
      </w:pPr>
    </w:p>
    <w:p w:rsidR="008064D7" w:rsidRDefault="008064D7" w:rsidP="00A529D9">
      <w:pPr>
        <w:spacing w:line="240" w:lineRule="auto"/>
        <w:ind w:left="786"/>
        <w:rPr>
          <w:rFonts w:ascii="Times New Roman" w:hAnsi="Times New Roman"/>
          <w:sz w:val="24"/>
        </w:rPr>
      </w:pPr>
      <w:r>
        <w:rPr>
          <w:rFonts w:ascii="Times New Roman" w:hAnsi="Times New Roman"/>
          <w:sz w:val="24"/>
        </w:rPr>
        <w:t xml:space="preserve">La poursuite de l’endettement pendant la période sursitaire qui pourrait être autorisée par le juge, notamment pour les contrats onéreux ou pour les frais de conseil ou de défense, suppose également une discussion entre créanciers. </w:t>
      </w:r>
    </w:p>
    <w:p w:rsidR="008064D7" w:rsidRDefault="008064D7" w:rsidP="00A529D9">
      <w:pPr>
        <w:spacing w:line="240" w:lineRule="auto"/>
        <w:ind w:left="786"/>
        <w:rPr>
          <w:rFonts w:ascii="Times New Roman" w:hAnsi="Times New Roman"/>
          <w:sz w:val="24"/>
        </w:rPr>
      </w:pPr>
    </w:p>
    <w:p w:rsidR="008064D7" w:rsidRPr="00E8569B" w:rsidRDefault="008064D7" w:rsidP="00A529D9">
      <w:pPr>
        <w:spacing w:line="240" w:lineRule="auto"/>
        <w:ind w:left="786"/>
        <w:rPr>
          <w:rFonts w:ascii="Times New Roman" w:hAnsi="Times New Roman"/>
          <w:sz w:val="24"/>
        </w:rPr>
      </w:pPr>
      <w:r>
        <w:rPr>
          <w:rFonts w:ascii="Times New Roman" w:hAnsi="Times New Roman"/>
          <w:sz w:val="24"/>
        </w:rPr>
        <w:t>Pour éviter une « </w:t>
      </w:r>
      <w:r>
        <w:rPr>
          <w:rFonts w:ascii="Times New Roman" w:hAnsi="Times New Roman"/>
          <w:i/>
          <w:sz w:val="24"/>
        </w:rPr>
        <w:t>collusion »</w:t>
      </w:r>
      <w:r>
        <w:rPr>
          <w:rFonts w:ascii="Times New Roman" w:hAnsi="Times New Roman"/>
          <w:sz w:val="24"/>
        </w:rPr>
        <w:t xml:space="preserve">, la directive réserve au juge un pouvoir important, lui donne la possibilité de désigner un praticien, impose des responsabilités spéciales aux administrateurs et, surtout, rend </w:t>
      </w:r>
      <w:r w:rsidR="00E66D26">
        <w:rPr>
          <w:rFonts w:ascii="Times New Roman" w:hAnsi="Times New Roman"/>
          <w:sz w:val="24"/>
        </w:rPr>
        <w:t xml:space="preserve">un vrai pouvoir au juge pour </w:t>
      </w:r>
      <w:r>
        <w:rPr>
          <w:rFonts w:ascii="Times New Roman" w:hAnsi="Times New Roman"/>
          <w:sz w:val="24"/>
        </w:rPr>
        <w:t xml:space="preserve">la validation </w:t>
      </w:r>
      <w:r w:rsidR="00E66D26">
        <w:rPr>
          <w:rFonts w:ascii="Times New Roman" w:hAnsi="Times New Roman"/>
          <w:sz w:val="24"/>
        </w:rPr>
        <w:t xml:space="preserve">du plan </w:t>
      </w:r>
      <w:r>
        <w:rPr>
          <w:rFonts w:ascii="Times New Roman" w:hAnsi="Times New Roman"/>
          <w:sz w:val="24"/>
        </w:rPr>
        <w:t xml:space="preserve">et le </w:t>
      </w:r>
      <w:r w:rsidRPr="007C17D3">
        <w:rPr>
          <w:rFonts w:ascii="Times New Roman" w:hAnsi="Times New Roman"/>
          <w:i/>
          <w:sz w:val="24"/>
        </w:rPr>
        <w:t>Cram-down</w:t>
      </w:r>
      <w:r>
        <w:rPr>
          <w:rFonts w:ascii="Times New Roman" w:hAnsi="Times New Roman"/>
          <w:sz w:val="24"/>
        </w:rPr>
        <w:t xml:space="preserve"> en les basant sur des valeurs plus </w:t>
      </w:r>
      <w:r w:rsidR="00E66D26">
        <w:rPr>
          <w:rFonts w:ascii="Times New Roman" w:hAnsi="Times New Roman"/>
          <w:sz w:val="24"/>
        </w:rPr>
        <w:t>« </w:t>
      </w:r>
      <w:r w:rsidRPr="00E66D26">
        <w:rPr>
          <w:rFonts w:ascii="Times New Roman" w:hAnsi="Times New Roman"/>
          <w:i/>
          <w:sz w:val="24"/>
        </w:rPr>
        <w:t>objectives</w:t>
      </w:r>
      <w:r w:rsidR="00E66D26">
        <w:rPr>
          <w:rFonts w:ascii="Times New Roman" w:hAnsi="Times New Roman"/>
          <w:sz w:val="24"/>
        </w:rPr>
        <w:t> »</w:t>
      </w:r>
      <w:r>
        <w:rPr>
          <w:rFonts w:ascii="Times New Roman" w:hAnsi="Times New Roman"/>
          <w:sz w:val="24"/>
        </w:rPr>
        <w:t>.</w:t>
      </w:r>
    </w:p>
    <w:p w:rsidR="008064D7" w:rsidRDefault="008064D7" w:rsidP="00A529D9">
      <w:pPr>
        <w:spacing w:line="240" w:lineRule="auto"/>
        <w:rPr>
          <w:rFonts w:ascii="Times New Roman" w:hAnsi="Times New Roman"/>
          <w:sz w:val="24"/>
        </w:rPr>
      </w:pPr>
    </w:p>
    <w:p w:rsidR="008064D7" w:rsidRDefault="008064D7" w:rsidP="00A529D9">
      <w:pPr>
        <w:pStyle w:val="Paragraphedeliste"/>
        <w:numPr>
          <w:ilvl w:val="0"/>
          <w:numId w:val="2"/>
        </w:numPr>
        <w:spacing w:line="240" w:lineRule="auto"/>
        <w:rPr>
          <w:rFonts w:ascii="Times New Roman" w:hAnsi="Times New Roman"/>
          <w:sz w:val="24"/>
        </w:rPr>
      </w:pPr>
      <w:r>
        <w:rPr>
          <w:rFonts w:ascii="Times New Roman" w:hAnsi="Times New Roman"/>
          <w:sz w:val="24"/>
          <w:u w:val="single"/>
        </w:rPr>
        <w:t>Expertise de valeurs si l’article 490</w:t>
      </w:r>
      <w:r w:rsidRPr="00B331AB">
        <w:rPr>
          <w:rFonts w:ascii="Times New Roman" w:hAnsi="Times New Roman"/>
          <w:i/>
          <w:sz w:val="24"/>
          <w:u w:val="single"/>
        </w:rPr>
        <w:t>quater</w:t>
      </w:r>
      <w:r>
        <w:rPr>
          <w:rFonts w:ascii="Times New Roman" w:hAnsi="Times New Roman"/>
          <w:sz w:val="24"/>
          <w:u w:val="single"/>
        </w:rPr>
        <w:t xml:space="preserve"> devait ne pas être revu au moment de l’introduction de la directive.</w:t>
      </w:r>
      <w:r>
        <w:rPr>
          <w:rFonts w:ascii="Times New Roman" w:hAnsi="Times New Roman"/>
          <w:sz w:val="24"/>
        </w:rPr>
        <w:t xml:space="preserve"> L</w:t>
      </w:r>
      <w:r w:rsidRPr="006D568D">
        <w:rPr>
          <w:rFonts w:ascii="Times New Roman" w:hAnsi="Times New Roman"/>
          <w:sz w:val="24"/>
        </w:rPr>
        <w:t>’avocat de la société et les organes du débiteur devr</w:t>
      </w:r>
      <w:r>
        <w:rPr>
          <w:rFonts w:ascii="Times New Roman" w:hAnsi="Times New Roman"/>
          <w:sz w:val="24"/>
        </w:rPr>
        <w:t>o</w:t>
      </w:r>
      <w:r w:rsidRPr="006D568D">
        <w:rPr>
          <w:rFonts w:ascii="Times New Roman" w:hAnsi="Times New Roman"/>
          <w:sz w:val="24"/>
        </w:rPr>
        <w:t xml:space="preserve">nt </w:t>
      </w:r>
      <w:r>
        <w:rPr>
          <w:rFonts w:ascii="Times New Roman" w:hAnsi="Times New Roman"/>
          <w:sz w:val="24"/>
        </w:rPr>
        <w:t xml:space="preserve">donc </w:t>
      </w:r>
      <w:r w:rsidRPr="006D568D">
        <w:rPr>
          <w:rFonts w:ascii="Times New Roman" w:hAnsi="Times New Roman"/>
          <w:sz w:val="24"/>
        </w:rPr>
        <w:t xml:space="preserve">recourir à des expertises de valeur qui détermineraient quelle serait une </w:t>
      </w:r>
      <w:r>
        <w:rPr>
          <w:rFonts w:ascii="Times New Roman" w:hAnsi="Times New Roman"/>
          <w:sz w:val="24"/>
        </w:rPr>
        <w:t xml:space="preserve">évaluation (ou une gamme d’évaluation) </w:t>
      </w:r>
      <w:r w:rsidRPr="006D568D">
        <w:rPr>
          <w:rFonts w:ascii="Times New Roman" w:hAnsi="Times New Roman"/>
          <w:sz w:val="24"/>
        </w:rPr>
        <w:t>normale de cette valeur.</w:t>
      </w:r>
      <w:r>
        <w:rPr>
          <w:rFonts w:ascii="Times New Roman" w:hAnsi="Times New Roman"/>
          <w:sz w:val="24"/>
        </w:rPr>
        <w:t xml:space="preserve"> </w:t>
      </w:r>
    </w:p>
    <w:p w:rsidR="008064D7" w:rsidRDefault="008064D7" w:rsidP="00A529D9">
      <w:pPr>
        <w:pStyle w:val="Paragraphedeliste"/>
        <w:spacing w:line="240" w:lineRule="auto"/>
        <w:ind w:left="786"/>
        <w:rPr>
          <w:rFonts w:ascii="Times New Roman" w:hAnsi="Times New Roman"/>
          <w:sz w:val="24"/>
          <w:u w:val="single"/>
        </w:rPr>
      </w:pPr>
    </w:p>
    <w:p w:rsidR="008064D7" w:rsidRPr="00EE1371" w:rsidRDefault="008064D7" w:rsidP="00A529D9">
      <w:pPr>
        <w:pStyle w:val="Paragraphedeliste"/>
        <w:spacing w:line="240" w:lineRule="auto"/>
        <w:ind w:left="786"/>
        <w:rPr>
          <w:rFonts w:ascii="Times New Roman" w:hAnsi="Times New Roman"/>
          <w:sz w:val="24"/>
        </w:rPr>
      </w:pPr>
      <w:r>
        <w:rPr>
          <w:rFonts w:ascii="Times New Roman" w:hAnsi="Times New Roman"/>
          <w:sz w:val="24"/>
        </w:rPr>
        <w:t xml:space="preserve">Plusieurs expertises peuvent être nécessaires pour éviter des critiques sur la méthodologie et pour apporter des garanties raisonnables de l’indépendance des experts. </w:t>
      </w:r>
      <w:r w:rsidRPr="00EE1371">
        <w:rPr>
          <w:rFonts w:ascii="Times New Roman" w:hAnsi="Times New Roman"/>
          <w:sz w:val="24"/>
        </w:rPr>
        <w:t>Si le plan est bâti sur de tels avis et sur des démonstrations intellectuelles dans le plan de la discussion des hypothèses aboutissant à ces valeurs qui</w:t>
      </w:r>
      <w:r w:rsidR="00E66D26">
        <w:rPr>
          <w:rFonts w:ascii="Times New Roman" w:hAnsi="Times New Roman"/>
          <w:sz w:val="24"/>
        </w:rPr>
        <w:t>,</w:t>
      </w:r>
      <w:r w:rsidRPr="00EE1371">
        <w:rPr>
          <w:rFonts w:ascii="Times New Roman" w:hAnsi="Times New Roman"/>
          <w:sz w:val="24"/>
        </w:rPr>
        <w:t xml:space="preserve"> à la fois</w:t>
      </w:r>
      <w:r w:rsidR="00E66D26">
        <w:rPr>
          <w:rFonts w:ascii="Times New Roman" w:hAnsi="Times New Roman"/>
          <w:sz w:val="24"/>
        </w:rPr>
        <w:t>,</w:t>
      </w:r>
      <w:r>
        <w:rPr>
          <w:rFonts w:ascii="Times New Roman" w:hAnsi="Times New Roman"/>
          <w:sz w:val="24"/>
        </w:rPr>
        <w:t xml:space="preserve"> seraient</w:t>
      </w:r>
      <w:r w:rsidRPr="00EE1371">
        <w:rPr>
          <w:rFonts w:ascii="Times New Roman" w:hAnsi="Times New Roman"/>
          <w:sz w:val="24"/>
        </w:rPr>
        <w:t xml:space="preserve"> </w:t>
      </w:r>
      <w:r w:rsidRPr="00EE1371">
        <w:rPr>
          <w:rFonts w:ascii="Times New Roman" w:hAnsi="Times New Roman"/>
          <w:sz w:val="24"/>
        </w:rPr>
        <w:lastRenderedPageBreak/>
        <w:t>transparentes et raisonnables, il sera, selon moi, difficile de soutenir l’existence d’un dol a fortiori spécial. En tout cas, il me semble personnellement – sous réserve des décisions à venir - que soutenir l’application de la loi pénale dans ces cas ne répondrait pas à la fonction d’ordre public du droit pénal.</w:t>
      </w:r>
    </w:p>
    <w:p w:rsidR="008064D7" w:rsidRDefault="008064D7" w:rsidP="00A529D9">
      <w:pPr>
        <w:pStyle w:val="Paragraphedeliste"/>
        <w:spacing w:line="240" w:lineRule="auto"/>
        <w:ind w:left="786"/>
        <w:rPr>
          <w:rFonts w:ascii="Times New Roman" w:hAnsi="Times New Roman"/>
          <w:sz w:val="24"/>
        </w:rPr>
      </w:pPr>
    </w:p>
    <w:p w:rsidR="008064D7" w:rsidRDefault="008064D7" w:rsidP="00A529D9">
      <w:pPr>
        <w:pStyle w:val="Paragraphedeliste"/>
        <w:spacing w:line="240" w:lineRule="auto"/>
        <w:ind w:left="786"/>
        <w:rPr>
          <w:rFonts w:ascii="Times New Roman" w:hAnsi="Times New Roman"/>
          <w:sz w:val="24"/>
        </w:rPr>
      </w:pPr>
      <w:r>
        <w:rPr>
          <w:rFonts w:ascii="Times New Roman" w:hAnsi="Times New Roman"/>
          <w:sz w:val="24"/>
        </w:rPr>
        <w:t xml:space="preserve">Reste à savoir si un avantage </w:t>
      </w:r>
      <w:r w:rsidRPr="006D568D">
        <w:rPr>
          <w:rFonts w:ascii="Times New Roman" w:hAnsi="Times New Roman"/>
          <w:sz w:val="24"/>
        </w:rPr>
        <w:t xml:space="preserve">particulier </w:t>
      </w:r>
      <w:r>
        <w:rPr>
          <w:rFonts w:ascii="Times New Roman" w:hAnsi="Times New Roman"/>
          <w:sz w:val="24"/>
        </w:rPr>
        <w:t>reste critiquable si le traitement même favorable ou différencié est transparent, justifié et documenté comme n’étant pas anormal par rapport à la situation de ses créanciers et donc proportionnel à la nécessité de continuité de l’entreprise. Le juge, au moment de l’homologation, pourrait inclure – dans son contrôle de l’ordre public – l’existence ou l’inexistence de tels avantages dits « </w:t>
      </w:r>
      <w:r w:rsidRPr="00396C2C">
        <w:rPr>
          <w:rFonts w:ascii="Times New Roman" w:hAnsi="Times New Roman"/>
          <w:i/>
          <w:sz w:val="24"/>
        </w:rPr>
        <w:t>anormaux</w:t>
      </w:r>
      <w:r>
        <w:rPr>
          <w:rFonts w:ascii="Times New Roman" w:hAnsi="Times New Roman"/>
          <w:sz w:val="24"/>
        </w:rPr>
        <w:t xml:space="preserve"> » et voir s’ils sont justifiés. S’il constatait que le plan décrit de </w:t>
      </w:r>
      <w:r w:rsidR="00E66D26">
        <w:rPr>
          <w:rFonts w:ascii="Times New Roman" w:hAnsi="Times New Roman"/>
          <w:sz w:val="24"/>
        </w:rPr>
        <w:t>manière objective les avantages</w:t>
      </w:r>
      <w:r>
        <w:rPr>
          <w:rFonts w:ascii="Times New Roman" w:hAnsi="Times New Roman"/>
          <w:sz w:val="24"/>
        </w:rPr>
        <w:t xml:space="preserve"> sans qu’il n’y ait eu de place ou eu d’effets anormaux à la négociation, il pourrait avaliser le plan tandis qu’il devrait le refuser s’il aboutissait à la conclusion que les avantages tirés par certains créanciers ne peuvent provenir que d’une négociation.</w:t>
      </w:r>
    </w:p>
    <w:p w:rsidR="008064D7" w:rsidRDefault="008064D7" w:rsidP="00A529D9">
      <w:pPr>
        <w:pStyle w:val="Paragraphedeliste"/>
        <w:spacing w:line="240" w:lineRule="auto"/>
        <w:ind w:left="786"/>
        <w:rPr>
          <w:rFonts w:ascii="Times New Roman" w:hAnsi="Times New Roman"/>
          <w:sz w:val="24"/>
        </w:rPr>
      </w:pPr>
    </w:p>
    <w:p w:rsidR="008064D7" w:rsidRDefault="008064D7" w:rsidP="00A529D9">
      <w:pPr>
        <w:pStyle w:val="Paragraphedeliste"/>
        <w:spacing w:line="240" w:lineRule="auto"/>
        <w:ind w:left="786"/>
        <w:rPr>
          <w:rFonts w:ascii="Times New Roman" w:hAnsi="Times New Roman"/>
          <w:sz w:val="24"/>
        </w:rPr>
      </w:pPr>
      <w:r>
        <w:rPr>
          <w:rFonts w:ascii="Times New Roman" w:hAnsi="Times New Roman"/>
          <w:sz w:val="24"/>
        </w:rPr>
        <w:t xml:space="preserve">La question de la négociation coupable ne se pose pas à l’intérieur des limites de valeur rendues objectivées et transparentes qui résulte d’expertise et de la démonstration de leurs propositions à l’intérêt collectif des </w:t>
      </w:r>
      <w:r w:rsidRPr="00B331AB">
        <w:rPr>
          <w:rFonts w:ascii="Times New Roman" w:hAnsi="Times New Roman"/>
          <w:i/>
          <w:sz w:val="24"/>
        </w:rPr>
        <w:t>stakeholders</w:t>
      </w:r>
      <w:r>
        <w:rPr>
          <w:rFonts w:ascii="Times New Roman" w:hAnsi="Times New Roman"/>
          <w:sz w:val="24"/>
        </w:rPr>
        <w:t xml:space="preserve">.  </w:t>
      </w:r>
    </w:p>
    <w:p w:rsidR="00E66D26" w:rsidRDefault="00E66D26" w:rsidP="00A529D9">
      <w:pPr>
        <w:pStyle w:val="Paragraphedeliste"/>
        <w:spacing w:line="240" w:lineRule="auto"/>
        <w:ind w:left="786"/>
        <w:rPr>
          <w:rFonts w:ascii="Times New Roman" w:hAnsi="Times New Roman"/>
          <w:sz w:val="24"/>
        </w:rPr>
      </w:pPr>
    </w:p>
    <w:p w:rsidR="00E66D26" w:rsidRPr="00E66D26" w:rsidRDefault="00E66D26" w:rsidP="00E66D26">
      <w:pPr>
        <w:pStyle w:val="Titre2"/>
        <w:numPr>
          <w:ilvl w:val="0"/>
          <w:numId w:val="44"/>
        </w:numPr>
        <w:rPr>
          <w:rFonts w:ascii="Times New Roman" w:hAnsi="Times New Roman" w:cs="Times New Roman"/>
        </w:rPr>
      </w:pPr>
      <w:bookmarkStart w:id="34" w:name="_Toc55407480"/>
      <w:r w:rsidRPr="00E66D26">
        <w:rPr>
          <w:rFonts w:ascii="Times New Roman" w:hAnsi="Times New Roman" w:cs="Times New Roman"/>
        </w:rPr>
        <w:t>Conclusion provisoire</w:t>
      </w:r>
      <w:bookmarkEnd w:id="34"/>
    </w:p>
    <w:p w:rsidR="008064D7" w:rsidRDefault="008064D7" w:rsidP="00A529D9">
      <w:pPr>
        <w:pStyle w:val="Paragraphedeliste"/>
        <w:spacing w:line="240" w:lineRule="auto"/>
        <w:ind w:left="786"/>
        <w:rPr>
          <w:rFonts w:ascii="Times New Roman" w:hAnsi="Times New Roman"/>
          <w:sz w:val="24"/>
        </w:rPr>
      </w:pPr>
    </w:p>
    <w:p w:rsidR="008064D7" w:rsidRDefault="008064D7" w:rsidP="00A529D9">
      <w:pPr>
        <w:pStyle w:val="Paragraphedeliste"/>
        <w:numPr>
          <w:ilvl w:val="0"/>
          <w:numId w:val="2"/>
        </w:numPr>
        <w:spacing w:line="240" w:lineRule="auto"/>
        <w:rPr>
          <w:rFonts w:ascii="Times New Roman" w:hAnsi="Times New Roman"/>
          <w:sz w:val="24"/>
        </w:rPr>
      </w:pPr>
      <w:r w:rsidRPr="009F4681">
        <w:rPr>
          <w:rFonts w:ascii="Times New Roman" w:hAnsi="Times New Roman"/>
          <w:sz w:val="24"/>
          <w:u w:val="single"/>
        </w:rPr>
        <w:t>Conclusion provisoire.</w:t>
      </w:r>
      <w:r>
        <w:rPr>
          <w:rFonts w:ascii="Times New Roman" w:hAnsi="Times New Roman"/>
          <w:sz w:val="24"/>
        </w:rPr>
        <w:t xml:space="preserve"> L’article 490</w:t>
      </w:r>
      <w:r w:rsidRPr="00B331AB">
        <w:rPr>
          <w:rFonts w:ascii="Times New Roman" w:hAnsi="Times New Roman"/>
          <w:i/>
          <w:sz w:val="24"/>
        </w:rPr>
        <w:t>quater</w:t>
      </w:r>
      <w:r w:rsidRPr="009F4681">
        <w:rPr>
          <w:rFonts w:ascii="Times New Roman" w:hAnsi="Times New Roman"/>
          <w:sz w:val="24"/>
        </w:rPr>
        <w:t xml:space="preserve"> du Code pénal semble totalement contradictoire avec le principe de la directive. Le contrôle nouveau effectué par le juge, sur base d’un traitement « </w:t>
      </w:r>
      <w:r w:rsidRPr="007C17D3">
        <w:rPr>
          <w:rFonts w:ascii="Times New Roman" w:hAnsi="Times New Roman"/>
          <w:i/>
          <w:sz w:val="24"/>
        </w:rPr>
        <w:t>Fair</w:t>
      </w:r>
      <w:r w:rsidRPr="009F4681">
        <w:rPr>
          <w:rFonts w:ascii="Times New Roman" w:hAnsi="Times New Roman"/>
          <w:i/>
          <w:sz w:val="24"/>
        </w:rPr>
        <w:t> »</w:t>
      </w:r>
      <w:r w:rsidRPr="009F4681">
        <w:rPr>
          <w:rFonts w:ascii="Times New Roman" w:hAnsi="Times New Roman"/>
          <w:sz w:val="24"/>
        </w:rPr>
        <w:t xml:space="preserve"> et d’une des règles de priorité (absolue ou relative) fondée sur les valeurs de liquidation ou </w:t>
      </w:r>
      <w:r w:rsidRPr="007C17D3">
        <w:rPr>
          <w:rFonts w:ascii="Times New Roman" w:hAnsi="Times New Roman"/>
          <w:i/>
          <w:sz w:val="24"/>
        </w:rPr>
        <w:t>going-concern</w:t>
      </w:r>
      <w:r w:rsidRPr="009F4681">
        <w:rPr>
          <w:rFonts w:ascii="Times New Roman" w:hAnsi="Times New Roman"/>
          <w:sz w:val="24"/>
        </w:rPr>
        <w:t>, semble protéger suffisamment les créanciers d’accords anormaux. Rendre impossible ou très dangereux de telles négociations semble, en soi, contraire aux objectifs impératifs de la directive.</w:t>
      </w:r>
    </w:p>
    <w:p w:rsidR="008064D7" w:rsidRDefault="008064D7">
      <w:pPr>
        <w:spacing w:after="160" w:line="259" w:lineRule="auto"/>
        <w:jc w:val="left"/>
        <w:rPr>
          <w:rFonts w:ascii="Times New Roman" w:hAnsi="Times New Roman"/>
          <w:highlight w:val="yellow"/>
          <w14:shadow w14:blurRad="50800" w14:dist="38100" w14:dir="2700000" w14:sx="100000" w14:sy="100000" w14:kx="0" w14:ky="0" w14:algn="tl">
            <w14:srgbClr w14:val="000000">
              <w14:alpha w14:val="60000"/>
            </w14:srgbClr>
          </w14:shadow>
        </w:rPr>
      </w:pPr>
    </w:p>
    <w:p w:rsidR="008064D7" w:rsidRDefault="008064D7" w:rsidP="00CA1CFE">
      <w:pPr>
        <w:spacing w:after="160" w:line="259" w:lineRule="auto"/>
        <w:jc w:val="left"/>
        <w:rPr>
          <w:rFonts w:ascii="Times New Roman" w:eastAsiaTheme="majorEastAsia" w:hAnsi="Times New Roman"/>
          <w:color w:val="2E74B5" w:themeColor="accent1" w:themeShade="BF"/>
          <w:sz w:val="32"/>
          <w:szCs w:val="32"/>
          <w14:shadow w14:blurRad="50800" w14:dist="38100" w14:dir="2700000" w14:sx="100000" w14:sy="100000" w14:kx="0" w14:ky="0" w14:algn="tl">
            <w14:srgbClr w14:val="000000">
              <w14:alpha w14:val="60000"/>
            </w14:srgbClr>
          </w14:shadow>
        </w:rPr>
      </w:pPr>
      <w:r>
        <w:rPr>
          <w:rFonts w:ascii="Times New Roman" w:hAnsi="Times New Roman"/>
          <w14:shadow w14:blurRad="50800" w14:dist="38100" w14:dir="2700000" w14:sx="100000" w14:sy="100000" w14:kx="0" w14:ky="0" w14:algn="tl">
            <w14:srgbClr w14:val="000000">
              <w14:alpha w14:val="60000"/>
            </w14:srgbClr>
          </w14:shadow>
        </w:rPr>
        <w:br w:type="page"/>
      </w:r>
    </w:p>
    <w:p w:rsidR="008064D7" w:rsidRDefault="008064D7" w:rsidP="00CA1CFE">
      <w:pPr>
        <w:pStyle w:val="Titre1"/>
        <w:numPr>
          <w:ilvl w:val="0"/>
          <w:numId w:val="5"/>
        </w:numPr>
        <w:spacing w:before="0" w:line="240" w:lineRule="auto"/>
        <w:ind w:left="714" w:hanging="357"/>
        <w:rPr>
          <w:rFonts w:ascii="Times New Roman" w:hAnsi="Times New Roman" w:cs="Times New Roman"/>
          <w14:shadow w14:blurRad="50800" w14:dist="38100" w14:dir="2700000" w14:sx="100000" w14:sy="100000" w14:kx="0" w14:ky="0" w14:algn="tl">
            <w14:srgbClr w14:val="000000">
              <w14:alpha w14:val="60000"/>
            </w14:srgbClr>
          </w14:shadow>
        </w:rPr>
      </w:pPr>
      <w:bookmarkStart w:id="35" w:name="_Toc55407481"/>
      <w:r w:rsidRPr="009F4681">
        <w:rPr>
          <w:rFonts w:ascii="Times New Roman" w:hAnsi="Times New Roman" w:cs="Times New Roman"/>
          <w14:shadow w14:blurRad="50800" w14:dist="38100" w14:dir="2700000" w14:sx="100000" w14:sy="100000" w14:kx="0" w14:ky="0" w14:algn="tl">
            <w14:srgbClr w14:val="000000">
              <w14:alpha w14:val="60000"/>
            </w14:srgbClr>
          </w14:shadow>
        </w:rPr>
        <w:lastRenderedPageBreak/>
        <w:t>Valeur et</w:t>
      </w:r>
      <w:r>
        <w:rPr>
          <w:rFonts w:ascii="Times New Roman" w:hAnsi="Times New Roman" w:cs="Times New Roman"/>
          <w14:shadow w14:blurRad="50800" w14:dist="38100" w14:dir="2700000" w14:sx="100000" w14:sy="100000" w14:kx="0" w14:ky="0" w14:algn="tl">
            <w14:srgbClr w14:val="000000">
              <w14:alpha w14:val="60000"/>
            </w14:srgbClr>
          </w14:shadow>
        </w:rPr>
        <w:t xml:space="preserve"> paiement des créanciers ordinaires</w:t>
      </w:r>
      <w:bookmarkEnd w:id="35"/>
      <w:r>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rsidR="00E66D26" w:rsidRDefault="00E66D26" w:rsidP="00E66D26"/>
    <w:p w:rsidR="00E66D26" w:rsidRPr="00E66D26" w:rsidRDefault="00E66D26" w:rsidP="00E66D26">
      <w:pPr>
        <w:pStyle w:val="Titre2"/>
        <w:numPr>
          <w:ilvl w:val="0"/>
          <w:numId w:val="15"/>
        </w:numPr>
        <w:rPr>
          <w:rFonts w:ascii="Times New Roman" w:hAnsi="Times New Roman" w:cs="Times New Roman"/>
        </w:rPr>
      </w:pPr>
      <w:bookmarkStart w:id="36" w:name="_Toc55407482"/>
      <w:r w:rsidRPr="00E66D26">
        <w:rPr>
          <w:rFonts w:ascii="Times New Roman" w:hAnsi="Times New Roman" w:cs="Times New Roman"/>
        </w:rPr>
        <w:t>Position de la question</w:t>
      </w:r>
      <w:bookmarkEnd w:id="36"/>
    </w:p>
    <w:p w:rsidR="008064D7" w:rsidRDefault="008064D7" w:rsidP="00CA1CFE">
      <w:pPr>
        <w:spacing w:line="240" w:lineRule="auto"/>
        <w:ind w:left="426"/>
        <w:rPr>
          <w:rFonts w:ascii="Times New Roman" w:hAnsi="Times New Roman"/>
          <w:sz w:val="24"/>
        </w:rPr>
      </w:pPr>
    </w:p>
    <w:p w:rsidR="008064D7" w:rsidRPr="009A5603" w:rsidRDefault="00E66D26" w:rsidP="00E76FA2">
      <w:pPr>
        <w:pStyle w:val="Paragraphedeliste"/>
        <w:numPr>
          <w:ilvl w:val="0"/>
          <w:numId w:val="2"/>
        </w:numPr>
        <w:spacing w:line="240" w:lineRule="auto"/>
        <w:rPr>
          <w:rFonts w:ascii="Times New Roman" w:hAnsi="Times New Roman"/>
          <w:sz w:val="24"/>
          <w:u w:val="single"/>
        </w:rPr>
      </w:pPr>
      <w:r>
        <w:rPr>
          <w:rFonts w:ascii="Times New Roman" w:hAnsi="Times New Roman"/>
          <w:sz w:val="24"/>
          <w:u w:val="single"/>
        </w:rPr>
        <w:t>En droit interne :</w:t>
      </w:r>
      <w:r w:rsidR="008064D7" w:rsidRPr="00E66D26">
        <w:rPr>
          <w:rFonts w:ascii="Times New Roman" w:hAnsi="Times New Roman"/>
          <w:sz w:val="24"/>
        </w:rPr>
        <w:t xml:space="preserve"> les articles XX.72 et XX.73 permettent </w:t>
      </w:r>
      <w:r>
        <w:rPr>
          <w:rFonts w:ascii="Times New Roman" w:hAnsi="Times New Roman"/>
          <w:sz w:val="24"/>
        </w:rPr>
        <w:t>de proposer un plan offrant aux créanciers des paiements</w:t>
      </w:r>
      <w:r w:rsidR="008064D7" w:rsidRPr="00E66D26">
        <w:rPr>
          <w:rFonts w:ascii="Times New Roman" w:hAnsi="Times New Roman"/>
          <w:sz w:val="24"/>
        </w:rPr>
        <w:t xml:space="preserve"> différencié</w:t>
      </w:r>
      <w:r>
        <w:rPr>
          <w:rFonts w:ascii="Times New Roman" w:hAnsi="Times New Roman"/>
          <w:sz w:val="24"/>
        </w:rPr>
        <w:t>s. Cette différence doit répondre</w:t>
      </w:r>
      <w:r w:rsidR="008064D7" w:rsidRPr="00E66D26">
        <w:rPr>
          <w:rFonts w:ascii="Times New Roman" w:hAnsi="Times New Roman"/>
          <w:sz w:val="24"/>
        </w:rPr>
        <w:t xml:space="preserve"> aux conditions fixées par la Cour Cons</w:t>
      </w:r>
      <w:r>
        <w:rPr>
          <w:rFonts w:ascii="Times New Roman" w:hAnsi="Times New Roman"/>
          <w:sz w:val="24"/>
        </w:rPr>
        <w:t xml:space="preserve">titutionnelle qui a interprété </w:t>
      </w:r>
      <w:r w:rsidR="008064D7" w:rsidRPr="00E66D26">
        <w:rPr>
          <w:rFonts w:ascii="Times New Roman" w:hAnsi="Times New Roman"/>
          <w:sz w:val="24"/>
        </w:rPr>
        <w:t xml:space="preserve">les articles 10 et 11 de la Constitution. Le livre XX ne contient pas d’autres principes </w:t>
      </w:r>
      <w:r>
        <w:rPr>
          <w:rFonts w:ascii="Times New Roman" w:hAnsi="Times New Roman"/>
          <w:sz w:val="24"/>
        </w:rPr>
        <w:t xml:space="preserve">explicites, si ce n’est les règles de qualification entre créanciers ordinaires et extraordinaire, </w:t>
      </w:r>
      <w:r w:rsidR="009A5603">
        <w:rPr>
          <w:rFonts w:ascii="Times New Roman" w:hAnsi="Times New Roman"/>
          <w:sz w:val="24"/>
        </w:rPr>
        <w:t>de traitement entre créanciers.</w:t>
      </w:r>
    </w:p>
    <w:p w:rsidR="009A5603" w:rsidRPr="009A5603" w:rsidRDefault="009A5603" w:rsidP="009A5603">
      <w:pPr>
        <w:pStyle w:val="Paragraphedeliste"/>
        <w:spacing w:line="240" w:lineRule="auto"/>
        <w:ind w:left="786"/>
        <w:rPr>
          <w:rFonts w:ascii="Times New Roman" w:hAnsi="Times New Roman"/>
          <w:sz w:val="24"/>
          <w:u w:val="single"/>
        </w:rPr>
      </w:pPr>
    </w:p>
    <w:p w:rsidR="009A5603" w:rsidRPr="0021303B" w:rsidRDefault="009A5603" w:rsidP="00E76FA2">
      <w:pPr>
        <w:pStyle w:val="Paragraphedeliste"/>
        <w:numPr>
          <w:ilvl w:val="0"/>
          <w:numId w:val="2"/>
        </w:numPr>
        <w:spacing w:line="240" w:lineRule="auto"/>
        <w:rPr>
          <w:rFonts w:ascii="Times New Roman" w:hAnsi="Times New Roman"/>
          <w:sz w:val="24"/>
          <w:u w:val="single"/>
        </w:rPr>
      </w:pPr>
      <w:r>
        <w:rPr>
          <w:rFonts w:ascii="Times New Roman" w:hAnsi="Times New Roman"/>
          <w:sz w:val="24"/>
          <w:u w:val="single"/>
        </w:rPr>
        <w:t>La question de la priorité absolue en droit Américain</w:t>
      </w:r>
      <w:r>
        <w:rPr>
          <w:rFonts w:ascii="Times New Roman" w:hAnsi="Times New Roman"/>
          <w:sz w:val="24"/>
        </w:rPr>
        <w:t>. Dans le système Américain, la section 1129</w:t>
      </w:r>
      <w:r w:rsidR="0021303B">
        <w:rPr>
          <w:rFonts w:ascii="Times New Roman" w:hAnsi="Times New Roman"/>
          <w:sz w:val="24"/>
        </w:rPr>
        <w:t xml:space="preserve"> semble disposer un traitement qui ne peut pas être différent de celui qui attribue le paiement d’abord aux classes de créanciers supérieurs avant de pouvoir attribuer un paiement à des classes inférieures. C’est évidemment cette règle qui, associée à la valeur going-concern de l’entreprise qui est la limite du traitement des créanciers, crée l’efficacité du système américain : il est cependant essentiel d’examiner avec attention si, en réalité, le système permet ou non un traitement différent de cette règle et si oui, sur quelle base.</w:t>
      </w:r>
    </w:p>
    <w:p w:rsidR="0021303B" w:rsidRPr="0021303B" w:rsidRDefault="0021303B" w:rsidP="0021303B">
      <w:pPr>
        <w:pStyle w:val="Paragraphedeliste"/>
        <w:spacing w:line="240" w:lineRule="auto"/>
        <w:ind w:left="786"/>
        <w:rPr>
          <w:rFonts w:ascii="Times New Roman" w:hAnsi="Times New Roman"/>
          <w:sz w:val="24"/>
          <w:u w:val="single"/>
        </w:rPr>
      </w:pPr>
    </w:p>
    <w:p w:rsidR="0021303B" w:rsidRPr="00006F30" w:rsidRDefault="0021303B" w:rsidP="00E76FA2">
      <w:pPr>
        <w:pStyle w:val="Paragraphedeliste"/>
        <w:numPr>
          <w:ilvl w:val="0"/>
          <w:numId w:val="2"/>
        </w:numPr>
        <w:spacing w:line="240" w:lineRule="auto"/>
        <w:rPr>
          <w:rFonts w:ascii="Times New Roman" w:hAnsi="Times New Roman"/>
          <w:sz w:val="24"/>
          <w:u w:val="single"/>
        </w:rPr>
      </w:pPr>
      <w:r>
        <w:rPr>
          <w:rFonts w:ascii="Times New Roman" w:hAnsi="Times New Roman"/>
          <w:sz w:val="24"/>
          <w:u w:val="single"/>
        </w:rPr>
        <w:t>La question de la priorité relative</w:t>
      </w:r>
      <w:r>
        <w:rPr>
          <w:rFonts w:ascii="Times New Roman" w:hAnsi="Times New Roman"/>
          <w:sz w:val="24"/>
        </w:rPr>
        <w:t>. Dans la règle européenne, l’article 11, 1° c), la règle de priorité absolue</w:t>
      </w:r>
      <w:r w:rsidR="00006F30">
        <w:rPr>
          <w:rFonts w:ascii="Times New Roman" w:hAnsi="Times New Roman"/>
          <w:sz w:val="24"/>
        </w:rPr>
        <w:t xml:space="preserve"> semble reprise : les classes affectées dissidentes doivent être traitées de manière aussi favorable que toute autre classe de même rang et de manière plus favorable que toute classe de rang inférieur.</w:t>
      </w:r>
    </w:p>
    <w:p w:rsidR="00006F30" w:rsidRDefault="00006F30" w:rsidP="00006F30">
      <w:pPr>
        <w:pStyle w:val="Paragraphedeliste"/>
        <w:spacing w:line="240" w:lineRule="auto"/>
        <w:ind w:left="786"/>
        <w:rPr>
          <w:rFonts w:ascii="Times New Roman" w:hAnsi="Times New Roman"/>
          <w:sz w:val="24"/>
          <w:u w:val="single"/>
        </w:rPr>
      </w:pPr>
    </w:p>
    <w:p w:rsidR="00006F30" w:rsidRDefault="00006F30" w:rsidP="00006F30">
      <w:pPr>
        <w:pStyle w:val="Paragraphedeliste"/>
        <w:spacing w:line="240" w:lineRule="auto"/>
        <w:ind w:left="786"/>
        <w:rPr>
          <w:rFonts w:ascii="Times New Roman" w:hAnsi="Times New Roman"/>
          <w:sz w:val="24"/>
        </w:rPr>
      </w:pPr>
      <w:r>
        <w:rPr>
          <w:rFonts w:ascii="Times New Roman" w:hAnsi="Times New Roman"/>
          <w:sz w:val="24"/>
        </w:rPr>
        <w:t xml:space="preserve">Cependant, l’article 11, 2° permet deux dérogations : la plus importante pour le sujet qui nous intéresse : les Etats peuvent déroger à la règle de priorité absolue de l’article 11, 1° c) si elles sont nécessaires pour atteindre les objectifs du plan de restructuration </w:t>
      </w:r>
      <w:r>
        <w:rPr>
          <w:rFonts w:ascii="Times New Roman" w:hAnsi="Times New Roman"/>
          <w:sz w:val="24"/>
          <w:u w:val="single"/>
        </w:rPr>
        <w:t>et</w:t>
      </w:r>
      <w:r>
        <w:rPr>
          <w:rFonts w:ascii="Times New Roman" w:hAnsi="Times New Roman"/>
          <w:sz w:val="24"/>
        </w:rPr>
        <w:t xml:space="preserve"> si le plan ne porte pas une atteinte excessive aux droit </w:t>
      </w:r>
      <w:r>
        <w:rPr>
          <w:rFonts w:ascii="Times New Roman" w:hAnsi="Times New Roman"/>
          <w:sz w:val="24"/>
          <w:u w:val="single"/>
        </w:rPr>
        <w:t>ou</w:t>
      </w:r>
      <w:r>
        <w:rPr>
          <w:rFonts w:ascii="Times New Roman" w:hAnsi="Times New Roman"/>
          <w:sz w:val="24"/>
        </w:rPr>
        <w:t xml:space="preserve"> intérêts des parties affectées.</w:t>
      </w:r>
    </w:p>
    <w:p w:rsidR="00006F30" w:rsidRDefault="00006F30" w:rsidP="00006F30">
      <w:pPr>
        <w:pStyle w:val="Paragraphedeliste"/>
        <w:spacing w:line="240" w:lineRule="auto"/>
        <w:ind w:left="786"/>
        <w:rPr>
          <w:rFonts w:ascii="Times New Roman" w:hAnsi="Times New Roman"/>
          <w:sz w:val="24"/>
        </w:rPr>
      </w:pPr>
    </w:p>
    <w:p w:rsidR="00006F30" w:rsidRPr="00006F30" w:rsidRDefault="00006F30" w:rsidP="00006F30">
      <w:pPr>
        <w:pStyle w:val="Paragraphedeliste"/>
        <w:numPr>
          <w:ilvl w:val="0"/>
          <w:numId w:val="2"/>
        </w:numPr>
        <w:spacing w:line="240" w:lineRule="auto"/>
        <w:rPr>
          <w:rFonts w:ascii="Times New Roman" w:hAnsi="Times New Roman"/>
          <w:sz w:val="24"/>
        </w:rPr>
      </w:pPr>
      <w:r>
        <w:rPr>
          <w:rFonts w:ascii="Times New Roman" w:hAnsi="Times New Roman"/>
          <w:sz w:val="24"/>
          <w:u w:val="single"/>
        </w:rPr>
        <w:t>Effet en droit interne</w:t>
      </w:r>
      <w:r>
        <w:rPr>
          <w:rFonts w:ascii="Times New Roman" w:hAnsi="Times New Roman"/>
          <w:sz w:val="24"/>
        </w:rPr>
        <w:t>. La question au cœur de ce titre est donc d’examiner l’intégration d’une règle de priorité absolue – qui est le principe général – qui modifie de manière essentielle l’allocation du disponible (ou inversement de la perte) aux créanciers et quelles seraient les limites d’une règle qui y dérogerait – aux cas d’espèce – sur pieds de l’article 11, 2° dernière phase.</w:t>
      </w:r>
    </w:p>
    <w:p w:rsidR="008064D7" w:rsidRDefault="008064D7" w:rsidP="00CA1CFE">
      <w:pPr>
        <w:pStyle w:val="Paragraphedeliste"/>
        <w:spacing w:line="240" w:lineRule="auto"/>
        <w:ind w:left="786"/>
        <w:rPr>
          <w:rFonts w:ascii="Times New Roman" w:hAnsi="Times New Roman"/>
          <w:sz w:val="24"/>
          <w:u w:val="single"/>
        </w:rPr>
      </w:pPr>
    </w:p>
    <w:p w:rsidR="008064D7" w:rsidRPr="00235E93" w:rsidRDefault="008064D7" w:rsidP="00CA1CFE">
      <w:pPr>
        <w:pStyle w:val="Titre2"/>
        <w:numPr>
          <w:ilvl w:val="0"/>
          <w:numId w:val="15"/>
        </w:numPr>
        <w:rPr>
          <w:rFonts w:ascii="Times New Roman" w:hAnsi="Times New Roman" w:cs="Times New Roman"/>
        </w:rPr>
      </w:pPr>
      <w:bookmarkStart w:id="37" w:name="_Toc55407483"/>
      <w:r w:rsidRPr="00235E93">
        <w:rPr>
          <w:rFonts w:ascii="Times New Roman" w:hAnsi="Times New Roman" w:cs="Times New Roman"/>
        </w:rPr>
        <w:t>L</w:t>
      </w:r>
      <w:r>
        <w:rPr>
          <w:rFonts w:ascii="Times New Roman" w:hAnsi="Times New Roman" w:cs="Times New Roman"/>
        </w:rPr>
        <w:t xml:space="preserve">e traitement </w:t>
      </w:r>
      <w:r w:rsidR="009A5603">
        <w:rPr>
          <w:rFonts w:ascii="Times New Roman" w:hAnsi="Times New Roman" w:cs="Times New Roman"/>
        </w:rPr>
        <w:t>en</w:t>
      </w:r>
      <w:r>
        <w:rPr>
          <w:rFonts w:ascii="Times New Roman" w:hAnsi="Times New Roman" w:cs="Times New Roman"/>
        </w:rPr>
        <w:t xml:space="preserve"> classe</w:t>
      </w:r>
      <w:r w:rsidR="009A5603">
        <w:rPr>
          <w:rFonts w:ascii="Times New Roman" w:hAnsi="Times New Roman" w:cs="Times New Roman"/>
        </w:rPr>
        <w:t>s</w:t>
      </w:r>
      <w:bookmarkEnd w:id="37"/>
      <w:r>
        <w:rPr>
          <w:rFonts w:ascii="Times New Roman" w:hAnsi="Times New Roman" w:cs="Times New Roman"/>
        </w:rPr>
        <w:t xml:space="preserve"> </w:t>
      </w:r>
    </w:p>
    <w:p w:rsidR="008064D7" w:rsidRDefault="00006F30" w:rsidP="00006F30">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notion de</w:t>
      </w:r>
      <w:r w:rsidR="008064D7">
        <w:rPr>
          <w:rFonts w:ascii="Times New Roman" w:hAnsi="Times New Roman"/>
          <w:sz w:val="24"/>
          <w:u w:val="single"/>
        </w:rPr>
        <w:t xml:space="preserve"> classes.</w:t>
      </w:r>
      <w:r w:rsidR="008064D7">
        <w:rPr>
          <w:rFonts w:ascii="Times New Roman" w:hAnsi="Times New Roman"/>
          <w:sz w:val="24"/>
        </w:rPr>
        <w:t xml:space="preserve"> L’objectif essentiel retenu par la directive</w:t>
      </w:r>
      <w:r>
        <w:rPr>
          <w:rFonts w:ascii="Times New Roman" w:hAnsi="Times New Roman"/>
          <w:sz w:val="24"/>
        </w:rPr>
        <w:t xml:space="preserve"> </w:t>
      </w:r>
      <w:r w:rsidR="008064D7">
        <w:rPr>
          <w:rFonts w:ascii="Times New Roman" w:hAnsi="Times New Roman"/>
          <w:sz w:val="24"/>
        </w:rPr>
        <w:t xml:space="preserve">– </w:t>
      </w:r>
      <w:r>
        <w:rPr>
          <w:rFonts w:ascii="Times New Roman" w:hAnsi="Times New Roman"/>
          <w:sz w:val="24"/>
        </w:rPr>
        <w:t>et à</w:t>
      </w:r>
      <w:r w:rsidR="008064D7">
        <w:rPr>
          <w:rFonts w:ascii="Times New Roman" w:hAnsi="Times New Roman"/>
          <w:sz w:val="24"/>
        </w:rPr>
        <w:t xml:space="preserve"> mon avis sur ce point par des dispositions impératives -</w:t>
      </w:r>
      <w:r>
        <w:rPr>
          <w:rFonts w:ascii="Times New Roman" w:hAnsi="Times New Roman"/>
          <w:sz w:val="24"/>
        </w:rPr>
        <w:t xml:space="preserve"> </w:t>
      </w:r>
      <w:r w:rsidR="008064D7">
        <w:rPr>
          <w:rFonts w:ascii="Times New Roman" w:hAnsi="Times New Roman"/>
          <w:sz w:val="24"/>
        </w:rPr>
        <w:t>est de sortir du modèle d’un seul collège de créanciers pour substituer à ce modèle plusieurs collèges de créanciers appelés « </w:t>
      </w:r>
      <w:r w:rsidR="008064D7">
        <w:rPr>
          <w:rFonts w:ascii="Times New Roman" w:hAnsi="Times New Roman"/>
          <w:i/>
          <w:sz w:val="24"/>
        </w:rPr>
        <w:t>classes de créanciers »</w:t>
      </w:r>
      <w:r>
        <w:rPr>
          <w:rFonts w:ascii="Times New Roman" w:hAnsi="Times New Roman"/>
          <w:sz w:val="24"/>
        </w:rPr>
        <w:t>.</w:t>
      </w:r>
    </w:p>
    <w:p w:rsidR="00006F30" w:rsidRDefault="00006F30" w:rsidP="00006F30">
      <w:pPr>
        <w:pStyle w:val="Paragraphedeliste"/>
        <w:spacing w:line="240" w:lineRule="auto"/>
        <w:ind w:left="786"/>
        <w:rPr>
          <w:rFonts w:ascii="Times New Roman" w:hAnsi="Times New Roman"/>
          <w:sz w:val="24"/>
          <w:u w:val="single"/>
        </w:rPr>
      </w:pPr>
    </w:p>
    <w:p w:rsidR="00006F30" w:rsidRDefault="00DE3B64" w:rsidP="00006F30">
      <w:pPr>
        <w:pStyle w:val="Paragraphedeliste"/>
        <w:spacing w:line="240" w:lineRule="auto"/>
        <w:ind w:left="786"/>
        <w:rPr>
          <w:rFonts w:ascii="Times New Roman" w:hAnsi="Times New Roman"/>
          <w:sz w:val="24"/>
        </w:rPr>
      </w:pPr>
      <w:r>
        <w:rPr>
          <w:rFonts w:ascii="Times New Roman" w:hAnsi="Times New Roman"/>
          <w:sz w:val="24"/>
        </w:rPr>
        <w:t>Même si la présente contribution n’a pas pour objet l’étude de cette notion, il faut noter que la notion n’est pas une de celles définis à l’article 2 </w:t>
      </w:r>
      <w:r w:rsidR="004F523B">
        <w:rPr>
          <w:rFonts w:ascii="Times New Roman" w:hAnsi="Times New Roman"/>
          <w:sz w:val="24"/>
        </w:rPr>
        <w:t>10°</w:t>
      </w:r>
      <w:r>
        <w:rPr>
          <w:rFonts w:ascii="Times New Roman" w:hAnsi="Times New Roman"/>
          <w:sz w:val="24"/>
        </w:rPr>
        <w:t xml:space="preserve"> si l’article 2, 10° en définissant les parties affectées fait référence aux classes de créanciers. La notion est évoquée au 44</w:t>
      </w:r>
      <w:r w:rsidRPr="00DE3B64">
        <w:rPr>
          <w:rFonts w:ascii="Times New Roman" w:hAnsi="Times New Roman"/>
          <w:sz w:val="24"/>
          <w:vertAlign w:val="superscript"/>
        </w:rPr>
        <w:t>ème</w:t>
      </w:r>
      <w:r>
        <w:rPr>
          <w:rFonts w:ascii="Times New Roman" w:hAnsi="Times New Roman"/>
          <w:sz w:val="24"/>
        </w:rPr>
        <w:t xml:space="preserve"> considérant comme nécessaire à « </w:t>
      </w:r>
      <w:r>
        <w:rPr>
          <w:rFonts w:ascii="Times New Roman" w:hAnsi="Times New Roman"/>
          <w:i/>
          <w:sz w:val="24"/>
        </w:rPr>
        <w:t xml:space="preserve">garantir que des droits </w:t>
      </w:r>
      <w:r>
        <w:rPr>
          <w:rFonts w:ascii="Times New Roman" w:hAnsi="Times New Roman"/>
          <w:i/>
          <w:sz w:val="24"/>
          <w:u w:val="single"/>
        </w:rPr>
        <w:t>sensiblement</w:t>
      </w:r>
      <w:r>
        <w:rPr>
          <w:rFonts w:ascii="Times New Roman" w:hAnsi="Times New Roman"/>
          <w:i/>
          <w:sz w:val="24"/>
        </w:rPr>
        <w:t xml:space="preserve"> similaires soient traités de manière équitable et que les plans de </w:t>
      </w:r>
      <w:r>
        <w:rPr>
          <w:rFonts w:ascii="Times New Roman" w:hAnsi="Times New Roman"/>
          <w:i/>
          <w:sz w:val="24"/>
        </w:rPr>
        <w:lastRenderedPageBreak/>
        <w:t>restructuration peuvent être adoptés sans porter injustement préjudice aux droits des parties affectées »</w:t>
      </w:r>
      <w:r>
        <w:rPr>
          <w:rFonts w:ascii="Times New Roman" w:hAnsi="Times New Roman"/>
          <w:sz w:val="24"/>
        </w:rPr>
        <w:t xml:space="preserve">. Il s’agirait de regrouper les parties affectées en classes qui correspondent aux critères de répartition du droit national, c’est-à-dire, leurs droits, leur rang, mais aussi leurs intérêts. Le texte poursuit sur cette notion d’intérêt en précisant : les Etats membres doivent répartir en classes bien distinctes les créanciers </w:t>
      </w:r>
      <w:r w:rsidR="007439DB">
        <w:rPr>
          <w:rFonts w:ascii="Times New Roman" w:hAnsi="Times New Roman"/>
          <w:sz w:val="24"/>
        </w:rPr>
        <w:t>des créanciers</w:t>
      </w:r>
      <w:r>
        <w:rPr>
          <w:rFonts w:ascii="Times New Roman" w:hAnsi="Times New Roman"/>
          <w:sz w:val="24"/>
        </w:rPr>
        <w:t xml:space="preserve"> qui ne partagent pas une communauté d’intérêt suffisante, par exemple, les administrations fiscales ou de la sécurité sociale, ou en partie garantie de la créance et en partie non-garantie de la créance pour un même créancier, voire même une catégorie non-diversifiée ou vulnérable, comme les travailleurs ou les petits fournisseurs.</w:t>
      </w:r>
    </w:p>
    <w:p w:rsidR="00DE3B64" w:rsidRDefault="00DE3B64" w:rsidP="00006F30">
      <w:pPr>
        <w:pStyle w:val="Paragraphedeliste"/>
        <w:spacing w:line="240" w:lineRule="auto"/>
        <w:ind w:left="786"/>
        <w:rPr>
          <w:rFonts w:ascii="Times New Roman" w:hAnsi="Times New Roman"/>
          <w:sz w:val="24"/>
        </w:rPr>
      </w:pPr>
    </w:p>
    <w:p w:rsidR="008064D7" w:rsidRDefault="00DE3B64" w:rsidP="007439DB">
      <w:pPr>
        <w:pStyle w:val="Paragraphedeliste"/>
        <w:spacing w:line="240" w:lineRule="auto"/>
        <w:ind w:left="786"/>
        <w:rPr>
          <w:rFonts w:ascii="Times New Roman" w:hAnsi="Times New Roman"/>
          <w:sz w:val="24"/>
        </w:rPr>
      </w:pPr>
      <w:r>
        <w:rPr>
          <w:rFonts w:ascii="Times New Roman" w:hAnsi="Times New Roman"/>
          <w:sz w:val="24"/>
        </w:rPr>
        <w:t>Au considérant 46, la directive demande d’assurer un traitement adéquat de cette question que la directive présente comme ayant « </w:t>
      </w:r>
      <w:r>
        <w:rPr>
          <w:rFonts w:ascii="Times New Roman" w:hAnsi="Times New Roman"/>
          <w:i/>
          <w:sz w:val="24"/>
        </w:rPr>
        <w:t>une importance particulière »</w:t>
      </w:r>
      <w:r>
        <w:rPr>
          <w:rFonts w:ascii="Times New Roman" w:hAnsi="Times New Roman"/>
          <w:sz w:val="24"/>
        </w:rPr>
        <w:t>, notamment en citant l’exemple des créances des parties liées. Le</w:t>
      </w:r>
      <w:r w:rsidR="007439DB">
        <w:rPr>
          <w:rFonts w:ascii="Times New Roman" w:hAnsi="Times New Roman"/>
          <w:sz w:val="24"/>
        </w:rPr>
        <w:t>s</w:t>
      </w:r>
      <w:r>
        <w:rPr>
          <w:rFonts w:ascii="Times New Roman" w:hAnsi="Times New Roman"/>
          <w:sz w:val="24"/>
        </w:rPr>
        <w:t xml:space="preserve"> </w:t>
      </w:r>
      <w:r w:rsidR="007439DB">
        <w:rPr>
          <w:rFonts w:ascii="Times New Roman" w:hAnsi="Times New Roman"/>
          <w:sz w:val="24"/>
        </w:rPr>
        <w:t>créances contestées pour lesquelles un droit de vote pourrait être attribué ou les créances éventuelles.</w:t>
      </w:r>
    </w:p>
    <w:p w:rsidR="007439DB" w:rsidRDefault="007439DB" w:rsidP="007439DB">
      <w:pPr>
        <w:pStyle w:val="Paragraphedeliste"/>
        <w:spacing w:line="240" w:lineRule="auto"/>
        <w:ind w:left="786"/>
        <w:rPr>
          <w:rFonts w:ascii="Times New Roman" w:hAnsi="Times New Roman"/>
          <w:sz w:val="24"/>
        </w:rPr>
      </w:pPr>
    </w:p>
    <w:p w:rsidR="007439DB" w:rsidRDefault="007439DB" w:rsidP="007439DB">
      <w:pPr>
        <w:pStyle w:val="Paragraphedeliste"/>
        <w:spacing w:line="240" w:lineRule="auto"/>
        <w:ind w:left="786"/>
        <w:rPr>
          <w:rFonts w:ascii="Times New Roman" w:hAnsi="Times New Roman"/>
          <w:sz w:val="24"/>
        </w:rPr>
      </w:pPr>
      <w:r>
        <w:rPr>
          <w:rFonts w:ascii="Times New Roman" w:hAnsi="Times New Roman"/>
          <w:sz w:val="24"/>
        </w:rPr>
        <w:t>La notion réapparaît à l’article 8 qui prescrit de regrouper les créances affectées dans des classes dans le plan ainsi que la valeur respective des créances et intérêts dans chaque classe.</w:t>
      </w:r>
    </w:p>
    <w:p w:rsidR="007439DB" w:rsidRDefault="007439DB" w:rsidP="007439DB">
      <w:pPr>
        <w:pStyle w:val="Paragraphedeliste"/>
        <w:spacing w:line="240" w:lineRule="auto"/>
        <w:ind w:left="786"/>
        <w:rPr>
          <w:rFonts w:ascii="Times New Roman" w:hAnsi="Times New Roman"/>
          <w:sz w:val="24"/>
        </w:rPr>
      </w:pPr>
    </w:p>
    <w:p w:rsidR="007439DB" w:rsidRDefault="007439DB" w:rsidP="007439DB">
      <w:pPr>
        <w:pStyle w:val="Paragraphedeliste"/>
        <w:spacing w:line="240" w:lineRule="auto"/>
        <w:ind w:left="786"/>
        <w:rPr>
          <w:rFonts w:ascii="Times New Roman" w:hAnsi="Times New Roman"/>
          <w:sz w:val="24"/>
        </w:rPr>
      </w:pPr>
      <w:r>
        <w:rPr>
          <w:rFonts w:ascii="Times New Roman" w:hAnsi="Times New Roman"/>
          <w:sz w:val="24"/>
        </w:rPr>
        <w:t>L’article 9 parle de la classe des « </w:t>
      </w:r>
      <w:r>
        <w:rPr>
          <w:rFonts w:ascii="Times New Roman" w:hAnsi="Times New Roman"/>
          <w:i/>
          <w:sz w:val="24"/>
        </w:rPr>
        <w:t>subordonnés</w:t>
      </w:r>
      <w:r>
        <w:rPr>
          <w:rFonts w:ascii="Times New Roman" w:hAnsi="Times New Roman"/>
          <w:sz w:val="24"/>
        </w:rPr>
        <w:t xml:space="preserve"> » ou de </w:t>
      </w:r>
      <w:r>
        <w:rPr>
          <w:rFonts w:ascii="Times New Roman" w:hAnsi="Times New Roman"/>
          <w:sz w:val="24"/>
          <w:u w:val="single"/>
        </w:rPr>
        <w:t>rang</w:t>
      </w:r>
      <w:r>
        <w:rPr>
          <w:rFonts w:ascii="Times New Roman" w:hAnsi="Times New Roman"/>
          <w:sz w:val="24"/>
        </w:rPr>
        <w:t xml:space="preserve"> inférieur aux chirographaires. Mais c’est l’article 9, 4° qui prescrit la règle essentielle : pour l’adoption du plan, le juge doit vérifier que les parties affectées sont réparties dans des classes distinctes représentatives d’une communauté d’intérêt suffisante, sur base de critère vérifiable, conformément au droit national à l’intérieur de la classe des chirographaires, la possibilité d’y déroger pour les créanciers vulnérables comme les petits fournisseurs.</w:t>
      </w:r>
    </w:p>
    <w:p w:rsidR="00243613" w:rsidRDefault="00243613" w:rsidP="007439DB">
      <w:pPr>
        <w:pStyle w:val="Paragraphedeliste"/>
        <w:spacing w:line="240" w:lineRule="auto"/>
        <w:ind w:left="786"/>
        <w:rPr>
          <w:rFonts w:ascii="Times New Roman" w:hAnsi="Times New Roman"/>
          <w:sz w:val="24"/>
        </w:rPr>
      </w:pPr>
    </w:p>
    <w:p w:rsidR="00243613" w:rsidRDefault="00243613" w:rsidP="00243613">
      <w:pPr>
        <w:pStyle w:val="Paragraphedeliste"/>
        <w:numPr>
          <w:ilvl w:val="0"/>
          <w:numId w:val="2"/>
        </w:numPr>
        <w:spacing w:line="240" w:lineRule="auto"/>
        <w:rPr>
          <w:rFonts w:ascii="Times New Roman" w:hAnsi="Times New Roman"/>
          <w:sz w:val="24"/>
        </w:rPr>
      </w:pPr>
      <w:r w:rsidRPr="00243613">
        <w:rPr>
          <w:rFonts w:ascii="Times New Roman" w:hAnsi="Times New Roman"/>
          <w:sz w:val="24"/>
          <w:u w:val="single"/>
        </w:rPr>
        <w:t>L’utilité des classes</w:t>
      </w:r>
      <w:r>
        <w:rPr>
          <w:rFonts w:ascii="Times New Roman" w:hAnsi="Times New Roman"/>
          <w:sz w:val="24"/>
        </w:rPr>
        <w:t>. Tout d’abord, la notion permet de calculer la majorité pour adopter le plan :</w:t>
      </w:r>
      <w:r w:rsidR="00FF6CC6">
        <w:rPr>
          <w:rFonts w:ascii="Times New Roman" w:hAnsi="Times New Roman"/>
          <w:sz w:val="24"/>
        </w:rPr>
        <w:t xml:space="preserve"> une fois réunis en classes et ces classes validées, les créanciers s’expriment à travers le vote par classe. L’article 9 prescrit, en effet, que la plan sera adopté si une majorité calculée sur le montant des créances et des intérêts est obtenue dans chaque classe et si – article 11 – il a été approuvé par une majorité de classes de parties affectées.</w:t>
      </w:r>
    </w:p>
    <w:p w:rsidR="00FF6CC6" w:rsidRDefault="00FF6CC6" w:rsidP="00FF6CC6">
      <w:pPr>
        <w:pStyle w:val="Paragraphedeliste"/>
        <w:spacing w:line="240" w:lineRule="auto"/>
        <w:ind w:left="786"/>
        <w:rPr>
          <w:rFonts w:ascii="Times New Roman" w:hAnsi="Times New Roman"/>
          <w:sz w:val="24"/>
          <w:u w:val="single"/>
        </w:rPr>
      </w:pPr>
    </w:p>
    <w:p w:rsidR="00FF6CC6" w:rsidRDefault="00FF6CC6" w:rsidP="00FF6CC6">
      <w:pPr>
        <w:pStyle w:val="Paragraphedeliste"/>
        <w:spacing w:line="240" w:lineRule="auto"/>
        <w:ind w:left="786"/>
        <w:rPr>
          <w:rFonts w:ascii="Times New Roman" w:hAnsi="Times New Roman"/>
          <w:sz w:val="24"/>
        </w:rPr>
      </w:pPr>
      <w:r>
        <w:rPr>
          <w:rFonts w:ascii="Times New Roman" w:hAnsi="Times New Roman"/>
          <w:sz w:val="24"/>
        </w:rPr>
        <w:t xml:space="preserve">Ensuite, la notion sert à valider le traitement proposé aux créanciers puisque – article 10, 2° - les créanciers partagent une communauté d’intérêts suffisante au sein de la même classe, doivent bénéficier d’une égalité de traitement </w:t>
      </w:r>
      <w:r>
        <w:rPr>
          <w:rFonts w:ascii="Times New Roman" w:hAnsi="Times New Roman"/>
          <w:sz w:val="24"/>
          <w:u w:val="single"/>
        </w:rPr>
        <w:t>et</w:t>
      </w:r>
      <w:r>
        <w:rPr>
          <w:rFonts w:ascii="Times New Roman" w:hAnsi="Times New Roman"/>
          <w:sz w:val="24"/>
        </w:rPr>
        <w:t xml:space="preserve"> doivent être traités de manière proportionnelle à leur créance.</w:t>
      </w:r>
    </w:p>
    <w:p w:rsidR="00FF6CC6" w:rsidRDefault="00FF6CC6" w:rsidP="00FF6CC6">
      <w:pPr>
        <w:pStyle w:val="Paragraphedeliste"/>
        <w:spacing w:line="240" w:lineRule="auto"/>
        <w:ind w:left="786"/>
        <w:rPr>
          <w:rFonts w:ascii="Times New Roman" w:hAnsi="Times New Roman"/>
          <w:sz w:val="24"/>
        </w:rPr>
      </w:pPr>
    </w:p>
    <w:p w:rsidR="00FF6CC6" w:rsidRDefault="00FF6CC6" w:rsidP="00FF6CC6">
      <w:pPr>
        <w:pStyle w:val="Paragraphedeliste"/>
        <w:spacing w:line="240" w:lineRule="auto"/>
        <w:ind w:left="786"/>
        <w:rPr>
          <w:rFonts w:ascii="Times New Roman" w:hAnsi="Times New Roman"/>
          <w:sz w:val="24"/>
        </w:rPr>
      </w:pPr>
      <w:r>
        <w:rPr>
          <w:rFonts w:ascii="Times New Roman" w:hAnsi="Times New Roman"/>
          <w:sz w:val="24"/>
        </w:rPr>
        <w:t xml:space="preserve">La notion sert à appliquer la règle interclasse, il faut – article 11 – au moins un vote de la classe des garantis – ou supérieurs aux autres </w:t>
      </w:r>
      <w:r>
        <w:rPr>
          <w:rFonts w:ascii="Times New Roman" w:hAnsi="Times New Roman"/>
          <w:sz w:val="24"/>
          <w:u w:val="single"/>
        </w:rPr>
        <w:t>ou</w:t>
      </w:r>
      <w:r>
        <w:rPr>
          <w:rFonts w:ascii="Times New Roman" w:hAnsi="Times New Roman"/>
          <w:sz w:val="24"/>
        </w:rPr>
        <w:t xml:space="preserve"> de vote d’une classe qui ne bénéficierait pas d’un paiement sur base des règles de liquidation.</w:t>
      </w:r>
    </w:p>
    <w:p w:rsidR="00FF6CC6" w:rsidRDefault="00FF6CC6" w:rsidP="00FF6CC6">
      <w:pPr>
        <w:pStyle w:val="Paragraphedeliste"/>
        <w:spacing w:line="240" w:lineRule="auto"/>
        <w:ind w:left="786"/>
        <w:rPr>
          <w:rFonts w:ascii="Times New Roman" w:hAnsi="Times New Roman"/>
          <w:sz w:val="24"/>
        </w:rPr>
      </w:pPr>
    </w:p>
    <w:p w:rsidR="00FF6CC6" w:rsidRDefault="00FF6CC6" w:rsidP="00FF6CC6">
      <w:pPr>
        <w:pStyle w:val="Paragraphedeliste"/>
        <w:spacing w:line="240" w:lineRule="auto"/>
        <w:ind w:left="786"/>
        <w:rPr>
          <w:rFonts w:ascii="Times New Roman" w:hAnsi="Times New Roman"/>
          <w:sz w:val="24"/>
        </w:rPr>
      </w:pPr>
      <w:r>
        <w:rPr>
          <w:rFonts w:ascii="Times New Roman" w:hAnsi="Times New Roman"/>
          <w:sz w:val="24"/>
        </w:rPr>
        <w:t xml:space="preserve">Mais surtout, la classe sert à la règle de priorité. Une classe dissidente ne peut être traitée de manière plus favorable que des classes de </w:t>
      </w:r>
      <w:r>
        <w:rPr>
          <w:rFonts w:ascii="Times New Roman" w:hAnsi="Times New Roman"/>
          <w:sz w:val="24"/>
          <w:u w:val="single"/>
        </w:rPr>
        <w:t>rang inférieur</w:t>
      </w:r>
      <w:r>
        <w:rPr>
          <w:rFonts w:ascii="Times New Roman" w:hAnsi="Times New Roman"/>
          <w:sz w:val="24"/>
        </w:rPr>
        <w:t>.</w:t>
      </w:r>
    </w:p>
    <w:p w:rsidR="00FF6CC6" w:rsidRDefault="00FF6CC6" w:rsidP="00FF6CC6">
      <w:pPr>
        <w:pStyle w:val="Paragraphedeliste"/>
        <w:spacing w:line="240" w:lineRule="auto"/>
        <w:ind w:left="786"/>
        <w:rPr>
          <w:rFonts w:ascii="Times New Roman" w:hAnsi="Times New Roman"/>
          <w:sz w:val="24"/>
        </w:rPr>
      </w:pPr>
    </w:p>
    <w:p w:rsidR="00FF6CC6" w:rsidRDefault="00FF6CC6" w:rsidP="00FF6CC6">
      <w:pPr>
        <w:pStyle w:val="Paragraphedeliste"/>
        <w:numPr>
          <w:ilvl w:val="0"/>
          <w:numId w:val="2"/>
        </w:numPr>
        <w:spacing w:line="240" w:lineRule="auto"/>
        <w:rPr>
          <w:rFonts w:ascii="Times New Roman" w:hAnsi="Times New Roman"/>
          <w:sz w:val="24"/>
        </w:rPr>
      </w:pPr>
      <w:r>
        <w:rPr>
          <w:rFonts w:ascii="Times New Roman" w:hAnsi="Times New Roman"/>
          <w:sz w:val="24"/>
          <w:u w:val="single"/>
        </w:rPr>
        <w:t>La dérogation aux classes</w:t>
      </w:r>
      <w:r>
        <w:rPr>
          <w:rFonts w:ascii="Times New Roman" w:hAnsi="Times New Roman"/>
          <w:sz w:val="24"/>
        </w:rPr>
        <w:t>. La notion n’impose pas une expropriation totale des droits propres du créancier.</w:t>
      </w:r>
    </w:p>
    <w:p w:rsidR="00FF6CC6" w:rsidRDefault="00FF6CC6" w:rsidP="00FF6CC6">
      <w:pPr>
        <w:pStyle w:val="Paragraphedeliste"/>
        <w:spacing w:line="240" w:lineRule="auto"/>
        <w:ind w:left="786"/>
        <w:rPr>
          <w:rFonts w:ascii="Times New Roman" w:hAnsi="Times New Roman"/>
          <w:sz w:val="24"/>
          <w:u w:val="single"/>
        </w:rPr>
      </w:pPr>
    </w:p>
    <w:p w:rsidR="00FF6CC6" w:rsidRDefault="00FF6CC6" w:rsidP="00FF6CC6">
      <w:pPr>
        <w:pStyle w:val="Paragraphedeliste"/>
        <w:spacing w:line="240" w:lineRule="auto"/>
        <w:ind w:left="786"/>
        <w:rPr>
          <w:rFonts w:ascii="Times New Roman" w:hAnsi="Times New Roman"/>
          <w:sz w:val="24"/>
        </w:rPr>
      </w:pPr>
      <w:r>
        <w:rPr>
          <w:rFonts w:ascii="Times New Roman" w:hAnsi="Times New Roman"/>
          <w:sz w:val="24"/>
        </w:rPr>
        <w:lastRenderedPageBreak/>
        <w:t>Le créancier est frappé individuellement – ou semi-collectivement – de la suppression des poursuites et dispose d’un droit propre de demander la levée de la suspension des poursuites, notamment si ce créancier démontre que les négociations relatives au plan n’aboutissent pas ou s’il subit ou subirait un préjudice excessif du fait de cette suppression.</w:t>
      </w:r>
    </w:p>
    <w:p w:rsidR="00FF6CC6" w:rsidRDefault="00FF6CC6" w:rsidP="00FF6CC6">
      <w:pPr>
        <w:pStyle w:val="Paragraphedeliste"/>
        <w:spacing w:line="240" w:lineRule="auto"/>
        <w:ind w:left="786"/>
        <w:rPr>
          <w:rFonts w:ascii="Times New Roman" w:hAnsi="Times New Roman"/>
          <w:sz w:val="24"/>
        </w:rPr>
      </w:pPr>
    </w:p>
    <w:p w:rsidR="00FF6CC6" w:rsidRDefault="00FF6CC6" w:rsidP="00FF6CC6">
      <w:pPr>
        <w:pStyle w:val="Paragraphedeliste"/>
        <w:spacing w:line="240" w:lineRule="auto"/>
        <w:ind w:left="786"/>
        <w:rPr>
          <w:rFonts w:ascii="Times New Roman" w:hAnsi="Times New Roman"/>
          <w:sz w:val="24"/>
        </w:rPr>
      </w:pPr>
      <w:r>
        <w:rPr>
          <w:rFonts w:ascii="Times New Roman" w:hAnsi="Times New Roman"/>
          <w:sz w:val="24"/>
        </w:rPr>
        <w:t>Le créancier a un droit individuel de contester qu’il ne reçoit pas autant qu’il ne recevrait dans la valeur de liquidation.</w:t>
      </w:r>
    </w:p>
    <w:p w:rsidR="00FF6CC6" w:rsidRDefault="00FF6CC6" w:rsidP="00FF6CC6">
      <w:pPr>
        <w:pStyle w:val="Paragraphedeliste"/>
        <w:spacing w:line="240" w:lineRule="auto"/>
        <w:ind w:left="786"/>
        <w:rPr>
          <w:rFonts w:ascii="Times New Roman" w:hAnsi="Times New Roman"/>
          <w:sz w:val="24"/>
        </w:rPr>
      </w:pPr>
    </w:p>
    <w:p w:rsidR="00FF6CC6" w:rsidRDefault="00FF6CC6" w:rsidP="00FF6CC6">
      <w:pPr>
        <w:pStyle w:val="Paragraphedeliste"/>
        <w:spacing w:line="240" w:lineRule="auto"/>
        <w:ind w:left="786"/>
        <w:rPr>
          <w:rFonts w:ascii="Times New Roman" w:hAnsi="Times New Roman"/>
          <w:sz w:val="24"/>
        </w:rPr>
      </w:pPr>
      <w:r>
        <w:rPr>
          <w:rFonts w:ascii="Times New Roman" w:hAnsi="Times New Roman"/>
          <w:sz w:val="24"/>
        </w:rPr>
        <w:t>Le créancier peut contester l’application – interclasse – et même la règle de constitution des classes, voire exercer un recours en demandant une indemnisation de la perte subie si le plan est en définitive adopté</w:t>
      </w:r>
      <w:r>
        <w:rPr>
          <w:rStyle w:val="Appelnotedebasdep"/>
          <w:rFonts w:ascii="Times New Roman" w:hAnsi="Times New Roman"/>
          <w:sz w:val="24"/>
        </w:rPr>
        <w:footnoteReference w:id="267"/>
      </w:r>
      <w:r>
        <w:rPr>
          <w:rFonts w:ascii="Times New Roman" w:hAnsi="Times New Roman"/>
          <w:sz w:val="24"/>
        </w:rPr>
        <w:t>.</w:t>
      </w:r>
    </w:p>
    <w:p w:rsidR="00FF6CC6" w:rsidRDefault="00FF6CC6" w:rsidP="00FF6CC6">
      <w:pPr>
        <w:pStyle w:val="Paragraphedeliste"/>
        <w:spacing w:line="240" w:lineRule="auto"/>
        <w:ind w:left="786"/>
        <w:rPr>
          <w:rFonts w:ascii="Times New Roman" w:hAnsi="Times New Roman"/>
          <w:sz w:val="24"/>
        </w:rPr>
      </w:pPr>
    </w:p>
    <w:p w:rsidR="00FF6CC6" w:rsidRDefault="00FF6CC6" w:rsidP="00FF6CC6">
      <w:pPr>
        <w:pStyle w:val="Paragraphedeliste"/>
        <w:spacing w:line="240" w:lineRule="auto"/>
        <w:ind w:left="786"/>
        <w:rPr>
          <w:rFonts w:ascii="Times New Roman" w:hAnsi="Times New Roman"/>
          <w:sz w:val="24"/>
        </w:rPr>
      </w:pPr>
      <w:r>
        <w:rPr>
          <w:rFonts w:ascii="Times New Roman" w:hAnsi="Times New Roman"/>
          <w:sz w:val="24"/>
        </w:rPr>
        <w:t>Mais le créancier peut – si la législation nationale le prévoit – contester un plan qui, au sens de l’article 11 2°, in fine « </w:t>
      </w:r>
      <w:r>
        <w:rPr>
          <w:rFonts w:ascii="Times New Roman" w:hAnsi="Times New Roman"/>
          <w:i/>
          <w:sz w:val="24"/>
        </w:rPr>
        <w:t xml:space="preserve">porterait atteinte de manière excessive à ses droits </w:t>
      </w:r>
      <w:r>
        <w:rPr>
          <w:rFonts w:ascii="Times New Roman" w:hAnsi="Times New Roman"/>
          <w:i/>
          <w:sz w:val="24"/>
          <w:u w:val="single"/>
        </w:rPr>
        <w:t>ou</w:t>
      </w:r>
      <w:r>
        <w:rPr>
          <w:rFonts w:ascii="Times New Roman" w:hAnsi="Times New Roman"/>
          <w:i/>
          <w:sz w:val="24"/>
        </w:rPr>
        <w:t xml:space="preserve"> intérêts</w:t>
      </w:r>
      <w:r>
        <w:rPr>
          <w:rFonts w:ascii="Times New Roman" w:hAnsi="Times New Roman"/>
          <w:sz w:val="24"/>
        </w:rPr>
        <w:t> ».</w:t>
      </w:r>
    </w:p>
    <w:p w:rsidR="00FF6CC6" w:rsidRDefault="00FF6CC6" w:rsidP="00FF6CC6">
      <w:pPr>
        <w:pStyle w:val="Paragraphedeliste"/>
        <w:spacing w:line="240" w:lineRule="auto"/>
        <w:ind w:left="786"/>
        <w:rPr>
          <w:rFonts w:ascii="Times New Roman" w:hAnsi="Times New Roman"/>
          <w:sz w:val="24"/>
        </w:rPr>
      </w:pPr>
    </w:p>
    <w:p w:rsidR="00A055F1" w:rsidRPr="002D56AE" w:rsidRDefault="00FF6CC6" w:rsidP="0088174F">
      <w:pPr>
        <w:pStyle w:val="Paragraphedeliste"/>
        <w:numPr>
          <w:ilvl w:val="0"/>
          <w:numId w:val="2"/>
        </w:numPr>
        <w:spacing w:line="240" w:lineRule="auto"/>
        <w:rPr>
          <w:rFonts w:ascii="Times New Roman" w:hAnsi="Times New Roman"/>
          <w:sz w:val="24"/>
        </w:rPr>
      </w:pPr>
      <w:r w:rsidRPr="002D56AE">
        <w:rPr>
          <w:rFonts w:ascii="Times New Roman" w:hAnsi="Times New Roman"/>
          <w:sz w:val="24"/>
        </w:rPr>
        <w:t>Essai de synthèse. Si l’on écarte provisoirement l’exception de la priorité relative (article 11 - ° in fine), on perçoit que la classe de créanciers est une notion qui ne recouvre pas nécessairement les rangs de manière systématique – les créanciers vulnérables ou petits fournisseurs peuvent être – doivent être distingués, par exemple, des chirographaires, mais qui tout à la fois si elle impose de réunir les créanciers d’après leur « </w:t>
      </w:r>
      <w:r w:rsidRPr="002D56AE">
        <w:rPr>
          <w:rFonts w:ascii="Times New Roman" w:hAnsi="Times New Roman"/>
          <w:i/>
          <w:sz w:val="24"/>
        </w:rPr>
        <w:t>droit sensiblement similaire »</w:t>
      </w:r>
      <w:r w:rsidRPr="002D56AE">
        <w:rPr>
          <w:rFonts w:ascii="Times New Roman" w:hAnsi="Times New Roman"/>
          <w:sz w:val="24"/>
        </w:rPr>
        <w:t xml:space="preserve"> pour être traité « </w:t>
      </w:r>
      <w:r w:rsidRPr="002D56AE">
        <w:rPr>
          <w:rFonts w:ascii="Times New Roman" w:hAnsi="Times New Roman"/>
          <w:i/>
          <w:sz w:val="24"/>
        </w:rPr>
        <w:t>équitablement »</w:t>
      </w:r>
      <w:r w:rsidRPr="002D56AE">
        <w:rPr>
          <w:rFonts w:ascii="Times New Roman" w:hAnsi="Times New Roman"/>
          <w:sz w:val="24"/>
        </w:rPr>
        <w:t xml:space="preserve"> en fonction pas seulement de leurs droits, mais aussi de leurs intérêts, voire d’une « </w:t>
      </w:r>
      <w:r w:rsidRPr="002D56AE">
        <w:rPr>
          <w:rFonts w:ascii="Times New Roman" w:hAnsi="Times New Roman"/>
          <w:i/>
          <w:sz w:val="24"/>
        </w:rPr>
        <w:t>communauté</w:t>
      </w:r>
      <w:r w:rsidR="00E76FA2" w:rsidRPr="002D56AE">
        <w:rPr>
          <w:rFonts w:ascii="Times New Roman" w:hAnsi="Times New Roman"/>
          <w:i/>
          <w:sz w:val="24"/>
        </w:rPr>
        <w:t xml:space="preserve"> d’intérêts suffisante »</w:t>
      </w:r>
      <w:r w:rsidR="00E76FA2" w:rsidRPr="002D56AE">
        <w:rPr>
          <w:rFonts w:ascii="Times New Roman" w:hAnsi="Times New Roman"/>
          <w:sz w:val="24"/>
        </w:rPr>
        <w:t>, cette notion n’écarte pas – dans la règle de priorité absolue [art. 11, 10° c)]</w:t>
      </w:r>
      <w:r w:rsidRPr="002D56AE">
        <w:rPr>
          <w:rFonts w:ascii="Times New Roman" w:hAnsi="Times New Roman"/>
          <w:i/>
          <w:sz w:val="24"/>
        </w:rPr>
        <w:t xml:space="preserve"> </w:t>
      </w:r>
      <w:r w:rsidR="00E76FA2" w:rsidRPr="002D56AE">
        <w:rPr>
          <w:rFonts w:ascii="Times New Roman" w:hAnsi="Times New Roman"/>
          <w:sz w:val="24"/>
        </w:rPr>
        <w:t xml:space="preserve">un classement hiérarchique des classes depuis la classe supérieure jusqu’à l’inférieure, voire en mettant des classes au </w:t>
      </w:r>
      <w:r w:rsidR="00E76FA2" w:rsidRPr="002D56AE">
        <w:rPr>
          <w:rFonts w:ascii="Times New Roman" w:hAnsi="Times New Roman"/>
          <w:sz w:val="24"/>
          <w:u w:val="single"/>
        </w:rPr>
        <w:t>même rang</w:t>
      </w:r>
      <w:r w:rsidR="00E76FA2" w:rsidRPr="002D56AE">
        <w:rPr>
          <w:rFonts w:ascii="Times New Roman" w:hAnsi="Times New Roman"/>
          <w:sz w:val="24"/>
        </w:rPr>
        <w:t>.</w:t>
      </w:r>
    </w:p>
    <w:p w:rsidR="00A055F1" w:rsidRDefault="00A055F1" w:rsidP="00A055F1">
      <w:pPr>
        <w:pStyle w:val="Paragraphedeliste"/>
        <w:spacing w:line="240" w:lineRule="auto"/>
        <w:ind w:left="786"/>
        <w:rPr>
          <w:rFonts w:ascii="Times New Roman" w:hAnsi="Times New Roman"/>
          <w:sz w:val="24"/>
        </w:rPr>
      </w:pPr>
    </w:p>
    <w:p w:rsidR="00A055F1" w:rsidRPr="00A055F1" w:rsidRDefault="00A055F1" w:rsidP="00A055F1">
      <w:pPr>
        <w:pStyle w:val="Titre2"/>
        <w:numPr>
          <w:ilvl w:val="0"/>
          <w:numId w:val="15"/>
        </w:numPr>
        <w:rPr>
          <w:rFonts w:ascii="Times New Roman" w:hAnsi="Times New Roman" w:cs="Times New Roman"/>
        </w:rPr>
      </w:pPr>
      <w:bookmarkStart w:id="38" w:name="_Toc55407484"/>
      <w:r w:rsidRPr="00A055F1">
        <w:rPr>
          <w:rFonts w:ascii="Times New Roman" w:hAnsi="Times New Roman" w:cs="Times New Roman"/>
        </w:rPr>
        <w:t>La discrimination en droit belge</w:t>
      </w:r>
      <w:bookmarkEnd w:id="38"/>
    </w:p>
    <w:p w:rsidR="00A055F1" w:rsidRDefault="008064D7" w:rsidP="00CA1CFE">
      <w:pPr>
        <w:pStyle w:val="Paragraphedeliste"/>
        <w:numPr>
          <w:ilvl w:val="0"/>
          <w:numId w:val="2"/>
        </w:numPr>
        <w:spacing w:line="240" w:lineRule="auto"/>
        <w:rPr>
          <w:rFonts w:ascii="Times New Roman" w:hAnsi="Times New Roman"/>
          <w:sz w:val="24"/>
        </w:rPr>
      </w:pPr>
      <w:r>
        <w:rPr>
          <w:rFonts w:ascii="Times New Roman" w:hAnsi="Times New Roman"/>
          <w:sz w:val="24"/>
          <w:u w:val="single"/>
        </w:rPr>
        <w:t xml:space="preserve">La discrimination fondée sur les articles 10 et 11 de la Constitution </w:t>
      </w:r>
      <w:r>
        <w:rPr>
          <w:rFonts w:ascii="Times New Roman" w:hAnsi="Times New Roman"/>
          <w:sz w:val="24"/>
        </w:rPr>
        <w:t xml:space="preserve">: </w:t>
      </w:r>
      <w:r w:rsidR="00A055F1">
        <w:rPr>
          <w:rFonts w:ascii="Times New Roman" w:hAnsi="Times New Roman"/>
          <w:sz w:val="24"/>
        </w:rPr>
        <w:t>la règle actuelle permettant au juge de valider un plan apportant un traitement différent aux créanciers est celle issue des articles 10 et 11 de la Constitution. L</w:t>
      </w:r>
      <w:r>
        <w:rPr>
          <w:rFonts w:ascii="Times New Roman" w:hAnsi="Times New Roman"/>
          <w:sz w:val="24"/>
        </w:rPr>
        <w:t>e traitement différencié a été introduit par l’article 29 §3 de la loi du 17 juillet 1997 relatif au concordat en rupture avec le principe de l’égalité des créanciers qui, selon la Cour de Cassation, empêchait d’attribuer à un créancier de même rang un paiement dans une proportion plus grande</w:t>
      </w:r>
      <w:r>
        <w:rPr>
          <w:rStyle w:val="Appelnotedebasdep"/>
          <w:rFonts w:ascii="Times New Roman" w:hAnsi="Times New Roman"/>
          <w:sz w:val="24"/>
        </w:rPr>
        <w:footnoteReference w:id="268"/>
      </w:r>
      <w:r w:rsidR="00A055F1">
        <w:rPr>
          <w:rFonts w:ascii="Times New Roman" w:hAnsi="Times New Roman"/>
          <w:sz w:val="24"/>
        </w:rPr>
        <w:t xml:space="preserve"> et partant qui imposait de respecter au moins les rangs</w:t>
      </w:r>
      <w:r>
        <w:rPr>
          <w:rFonts w:ascii="Times New Roman" w:hAnsi="Times New Roman"/>
          <w:sz w:val="24"/>
        </w:rPr>
        <w:t xml:space="preserve">. </w:t>
      </w:r>
    </w:p>
    <w:p w:rsidR="00A055F1" w:rsidRDefault="00A055F1" w:rsidP="00A055F1">
      <w:pPr>
        <w:pStyle w:val="Paragraphedeliste"/>
        <w:spacing w:line="240" w:lineRule="auto"/>
        <w:ind w:left="786"/>
        <w:rPr>
          <w:rFonts w:ascii="Times New Roman" w:hAnsi="Times New Roman"/>
          <w:sz w:val="24"/>
          <w:u w:val="single"/>
        </w:rPr>
      </w:pPr>
    </w:p>
    <w:p w:rsidR="008064D7" w:rsidRDefault="00A055F1" w:rsidP="00A055F1">
      <w:pPr>
        <w:pStyle w:val="Paragraphedeliste"/>
        <w:spacing w:line="240" w:lineRule="auto"/>
        <w:ind w:left="786"/>
        <w:rPr>
          <w:rFonts w:ascii="Times New Roman" w:hAnsi="Times New Roman"/>
          <w:sz w:val="24"/>
        </w:rPr>
      </w:pPr>
      <w:r>
        <w:rPr>
          <w:rFonts w:ascii="Times New Roman" w:hAnsi="Times New Roman"/>
          <w:sz w:val="24"/>
        </w:rPr>
        <w:t xml:space="preserve">La Cour de Cassation, </w:t>
      </w:r>
      <w:r w:rsidR="008064D7">
        <w:rPr>
          <w:rFonts w:ascii="Times New Roman" w:hAnsi="Times New Roman"/>
          <w:sz w:val="24"/>
        </w:rPr>
        <w:t>en 2005</w:t>
      </w:r>
      <w:r>
        <w:rPr>
          <w:rFonts w:ascii="Times New Roman" w:hAnsi="Times New Roman"/>
          <w:sz w:val="24"/>
        </w:rPr>
        <w:t>,</w:t>
      </w:r>
      <w:r w:rsidR="008064D7">
        <w:rPr>
          <w:rFonts w:ascii="Times New Roman" w:hAnsi="Times New Roman"/>
          <w:sz w:val="24"/>
        </w:rPr>
        <w:t xml:space="preserve"> estima que le principe de l’égalité des créanciers n’est pas d’ordre public</w:t>
      </w:r>
      <w:r w:rsidR="008064D7">
        <w:rPr>
          <w:rStyle w:val="Appelnotedebasdep"/>
          <w:rFonts w:ascii="Times New Roman" w:hAnsi="Times New Roman"/>
          <w:sz w:val="24"/>
        </w:rPr>
        <w:footnoteReference w:id="269"/>
      </w:r>
      <w:r w:rsidR="008064D7">
        <w:rPr>
          <w:rFonts w:ascii="Times New Roman" w:hAnsi="Times New Roman"/>
          <w:sz w:val="24"/>
        </w:rPr>
        <w:t>.</w:t>
      </w:r>
    </w:p>
    <w:p w:rsidR="008064D7" w:rsidRDefault="008064D7" w:rsidP="00CA1CFE">
      <w:pPr>
        <w:pStyle w:val="Paragraphedeliste"/>
        <w:spacing w:line="240" w:lineRule="auto"/>
        <w:ind w:left="786"/>
        <w:rPr>
          <w:rFonts w:ascii="Times New Roman" w:hAnsi="Times New Roman"/>
          <w:sz w:val="24"/>
          <w:u w:val="single"/>
        </w:rPr>
      </w:pPr>
    </w:p>
    <w:p w:rsidR="00283D95" w:rsidRDefault="008064D7" w:rsidP="00CA1CFE">
      <w:pPr>
        <w:pStyle w:val="Paragraphedeliste"/>
        <w:spacing w:line="240" w:lineRule="auto"/>
        <w:ind w:left="786"/>
        <w:rPr>
          <w:rFonts w:ascii="Times New Roman" w:hAnsi="Times New Roman"/>
          <w:sz w:val="24"/>
        </w:rPr>
      </w:pPr>
      <w:r>
        <w:rPr>
          <w:rFonts w:ascii="Times New Roman" w:hAnsi="Times New Roman"/>
          <w:sz w:val="24"/>
        </w:rPr>
        <w:t xml:space="preserve">La Cour constitutionnelle a, par son arrêt du 12 février 2009, appliqué à la différenciation des créanciers les articles 10 et 11 de la Constitutions. En rappelant que la discrimination peut se constater si on ne traite pas des personnes se trouvant dans une situation comparable, la Cour a demandé que ces différences soient justifiées par </w:t>
      </w:r>
      <w:r>
        <w:rPr>
          <w:rFonts w:ascii="Times New Roman" w:hAnsi="Times New Roman"/>
          <w:sz w:val="24"/>
        </w:rPr>
        <w:lastRenderedPageBreak/>
        <w:t>un rapport raisonnable de proportionnalité entre les moyens utilisés et le but recherché</w:t>
      </w:r>
      <w:r>
        <w:rPr>
          <w:rStyle w:val="Appelnotedebasdep"/>
          <w:rFonts w:ascii="Times New Roman" w:hAnsi="Times New Roman"/>
          <w:sz w:val="24"/>
        </w:rPr>
        <w:footnoteReference w:id="270"/>
      </w:r>
      <w:r>
        <w:rPr>
          <w:rFonts w:ascii="Times New Roman" w:hAnsi="Times New Roman"/>
          <w:sz w:val="24"/>
        </w:rPr>
        <w:t xml:space="preserve">. </w:t>
      </w:r>
    </w:p>
    <w:p w:rsidR="00283D95" w:rsidRDefault="00283D95" w:rsidP="00CA1CFE">
      <w:pPr>
        <w:pStyle w:val="Paragraphedeliste"/>
        <w:spacing w:line="240" w:lineRule="auto"/>
        <w:ind w:left="786"/>
        <w:rPr>
          <w:rFonts w:ascii="Times New Roman" w:hAnsi="Times New Roman"/>
          <w:sz w:val="24"/>
        </w:rPr>
      </w:pPr>
    </w:p>
    <w:p w:rsidR="008064D7" w:rsidRPr="00283D95" w:rsidRDefault="008064D7" w:rsidP="00283D95">
      <w:pPr>
        <w:pStyle w:val="Paragraphedeliste"/>
        <w:spacing w:line="240" w:lineRule="auto"/>
        <w:ind w:left="786"/>
        <w:rPr>
          <w:rFonts w:ascii="Times New Roman" w:hAnsi="Times New Roman"/>
          <w:sz w:val="24"/>
        </w:rPr>
      </w:pPr>
      <w:r>
        <w:rPr>
          <w:rFonts w:ascii="Times New Roman" w:hAnsi="Times New Roman"/>
          <w:sz w:val="24"/>
        </w:rPr>
        <w:t>Dans son arrêt du 18 janvier 2012</w:t>
      </w:r>
      <w:r>
        <w:rPr>
          <w:rStyle w:val="Appelnotedebasdep"/>
          <w:rFonts w:ascii="Times New Roman" w:hAnsi="Times New Roman"/>
          <w:sz w:val="24"/>
        </w:rPr>
        <w:footnoteReference w:id="271"/>
      </w:r>
      <w:r>
        <w:rPr>
          <w:rFonts w:ascii="Times New Roman" w:hAnsi="Times New Roman"/>
          <w:sz w:val="24"/>
        </w:rPr>
        <w:t>, la Cour a précisé comment le juge judiciaire pouvait exercer so</w:t>
      </w:r>
      <w:r w:rsidR="00283D95">
        <w:rPr>
          <w:rFonts w:ascii="Times New Roman" w:hAnsi="Times New Roman"/>
          <w:sz w:val="24"/>
        </w:rPr>
        <w:t>n contrôle e</w:t>
      </w:r>
      <w:r w:rsidRPr="00283D95">
        <w:rPr>
          <w:rFonts w:ascii="Times New Roman" w:hAnsi="Times New Roman"/>
          <w:sz w:val="24"/>
        </w:rPr>
        <w:t>n rappelant qu’il « </w:t>
      </w:r>
      <w:r w:rsidRPr="00283D95">
        <w:rPr>
          <w:rFonts w:ascii="Times New Roman" w:hAnsi="Times New Roman"/>
          <w:i/>
          <w:sz w:val="24"/>
        </w:rPr>
        <w:t>n’est pas souhaitable que le Tribunal apprécie la viabilité économique du plan et qu’il revenait aux seuls créanciers de se prononcer sur ce point »</w:t>
      </w:r>
      <w:r w:rsidRPr="00283D95">
        <w:rPr>
          <w:rFonts w:ascii="Times New Roman" w:hAnsi="Times New Roman"/>
          <w:sz w:val="24"/>
        </w:rPr>
        <w:t>. La Cour limite le pouvoir du juge à vérifier : « </w:t>
      </w:r>
      <w:r w:rsidRPr="00283D95">
        <w:rPr>
          <w:rFonts w:ascii="Times New Roman" w:hAnsi="Times New Roman"/>
          <w:i/>
          <w:sz w:val="24"/>
        </w:rPr>
        <w:t>s’il existe une justification raisonnable à ce règlement »</w:t>
      </w:r>
      <w:r w:rsidRPr="00283D95">
        <w:rPr>
          <w:rFonts w:ascii="Times New Roman" w:hAnsi="Times New Roman"/>
          <w:sz w:val="24"/>
        </w:rPr>
        <w:t>. Selon la Cour de Cassation</w:t>
      </w:r>
      <w:r>
        <w:rPr>
          <w:rStyle w:val="Appelnotedebasdep"/>
          <w:rFonts w:ascii="Times New Roman" w:hAnsi="Times New Roman"/>
          <w:sz w:val="24"/>
        </w:rPr>
        <w:footnoteReference w:id="272"/>
      </w:r>
      <w:r w:rsidRPr="00283D95">
        <w:rPr>
          <w:rFonts w:ascii="Times New Roman" w:hAnsi="Times New Roman"/>
          <w:sz w:val="24"/>
        </w:rPr>
        <w:t>, est raisonnable une justification qui se base sur une proportionnalité entre le moyen employé (le type de différence) et le but visé (la continuité de tout ou partie de l’entreprise ou de ses activités). Le but</w:t>
      </w:r>
      <w:r>
        <w:rPr>
          <w:rStyle w:val="Appelnotedebasdep"/>
          <w:rFonts w:ascii="Times New Roman" w:hAnsi="Times New Roman"/>
          <w:sz w:val="24"/>
        </w:rPr>
        <w:footnoteReference w:id="273"/>
      </w:r>
      <w:r w:rsidRPr="00283D95">
        <w:rPr>
          <w:rFonts w:ascii="Times New Roman" w:hAnsi="Times New Roman"/>
          <w:sz w:val="24"/>
        </w:rPr>
        <w:t xml:space="preserve"> doit être fonctionnel, c’est-à-dire, assurer le maintien de l’entreprise, et ne peut pas être disproportionné, ce que je juge constate de manière marginale</w:t>
      </w:r>
      <w:r>
        <w:rPr>
          <w:rStyle w:val="Appelnotedebasdep"/>
          <w:rFonts w:ascii="Times New Roman" w:hAnsi="Times New Roman"/>
          <w:sz w:val="24"/>
        </w:rPr>
        <w:footnoteReference w:id="274"/>
      </w:r>
      <w:r w:rsidRPr="00283D95">
        <w:rPr>
          <w:rFonts w:ascii="Times New Roman" w:hAnsi="Times New Roman"/>
          <w:sz w:val="24"/>
        </w:rPr>
        <w:t>.</w:t>
      </w:r>
    </w:p>
    <w:p w:rsidR="008064D7" w:rsidRDefault="008064D7" w:rsidP="00CA1CFE">
      <w:pPr>
        <w:pStyle w:val="Paragraphedeliste"/>
        <w:spacing w:line="240" w:lineRule="auto"/>
        <w:ind w:left="786"/>
        <w:rPr>
          <w:rFonts w:ascii="Times New Roman" w:hAnsi="Times New Roman"/>
          <w:sz w:val="24"/>
        </w:rPr>
      </w:pPr>
    </w:p>
    <w:p w:rsidR="008064D7" w:rsidRDefault="00283D95" w:rsidP="00CA1CFE">
      <w:pPr>
        <w:pStyle w:val="Paragraphedeliste"/>
        <w:spacing w:line="240" w:lineRule="auto"/>
        <w:ind w:left="786"/>
        <w:rPr>
          <w:rFonts w:ascii="Times New Roman" w:hAnsi="Times New Roman"/>
          <w:i/>
          <w:sz w:val="24"/>
        </w:rPr>
      </w:pPr>
      <w:r>
        <w:rPr>
          <w:rFonts w:ascii="Times New Roman" w:hAnsi="Times New Roman"/>
          <w:sz w:val="24"/>
        </w:rPr>
        <w:t>L’arrêt de l’Assemblée Générale du Conseil d’Etat de ce 28 octobre 2020</w:t>
      </w:r>
      <w:r>
        <w:rPr>
          <w:rStyle w:val="Appelnotedebasdep"/>
          <w:rFonts w:ascii="Times New Roman" w:hAnsi="Times New Roman"/>
          <w:sz w:val="24"/>
        </w:rPr>
        <w:footnoteReference w:id="275"/>
      </w:r>
      <w:r>
        <w:rPr>
          <w:rFonts w:ascii="Times New Roman" w:hAnsi="Times New Roman"/>
          <w:sz w:val="24"/>
        </w:rPr>
        <w:t xml:space="preserve"> rappelle : « </w:t>
      </w:r>
      <w:r>
        <w:rPr>
          <w:rFonts w:ascii="Times New Roman" w:hAnsi="Times New Roman"/>
          <w:i/>
          <w:sz w:val="24"/>
        </w:rPr>
        <w:t>les règles constitutionnelles d’égalité et de non-discrimination, telles qu’elles sont consacrées dans les articles 10 et 11 de la Constitution, requièrent que toutes les personnes se trouvant dans une même situation soient traitées de manière égale. Le principe d’égalité empêche qu’une distinction arbitraire soit opérée entre les citoyens.</w:t>
      </w:r>
    </w:p>
    <w:p w:rsidR="00283D95" w:rsidRDefault="00283D95" w:rsidP="00CA1CFE">
      <w:pPr>
        <w:pStyle w:val="Paragraphedeliste"/>
        <w:spacing w:line="240" w:lineRule="auto"/>
        <w:ind w:left="786"/>
        <w:rPr>
          <w:rFonts w:ascii="Times New Roman" w:hAnsi="Times New Roman"/>
          <w:i/>
          <w:sz w:val="24"/>
        </w:rPr>
      </w:pPr>
    </w:p>
    <w:p w:rsidR="00283D95" w:rsidRPr="00283D95" w:rsidRDefault="00283D95" w:rsidP="00CA1CFE">
      <w:pPr>
        <w:pStyle w:val="Paragraphedeliste"/>
        <w:spacing w:line="240" w:lineRule="auto"/>
        <w:ind w:left="786"/>
        <w:rPr>
          <w:rFonts w:ascii="Times New Roman" w:hAnsi="Times New Roman"/>
          <w:sz w:val="24"/>
        </w:rPr>
      </w:pPr>
      <w:r>
        <w:rPr>
          <w:rFonts w:ascii="Times New Roman" w:hAnsi="Times New Roman"/>
          <w:i/>
          <w:sz w:val="24"/>
        </w:rPr>
        <w:t>Les règles constitutionnelles d’égalité et de non-discrimination n’excluent pas une différence de traitement puisse être instaurée entre certaines catégories de personnes, pour autant que cette différence repose sur un critère objectif et qu’elle soit raisonnablement justifiée. Les mêmes règles s’opposent à ce que des catégories de personnes se trouvant dans des situations fondamentalement différentes par rapport à la mesure attaquée, soient traitées de manière identique sans qu’il existe à cet égard de justification raisonnable. L’existence d’une telle justification doit s’apprécier en tenant compte de l’objectif et des effets de la mesure contestée, ainsi que de la nature des principes en vigueur en la matière. Le principe d’égalité est violé lorsqu’il est établi qu’il n’existe pas de lien raisonnable de proportionnalité entre les moyens utilisés et le but visé. »</w:t>
      </w:r>
      <w:r>
        <w:rPr>
          <w:rFonts w:ascii="Times New Roman" w:hAnsi="Times New Roman"/>
          <w:sz w:val="24"/>
        </w:rPr>
        <w:t>.</w:t>
      </w:r>
    </w:p>
    <w:p w:rsidR="00283D95" w:rsidRDefault="00283D95" w:rsidP="00CA1CFE">
      <w:pPr>
        <w:pStyle w:val="Paragraphedeliste"/>
        <w:spacing w:line="240" w:lineRule="auto"/>
        <w:ind w:left="786"/>
        <w:rPr>
          <w:rFonts w:ascii="Times New Roman" w:hAnsi="Times New Roman"/>
          <w:sz w:val="24"/>
        </w:rPr>
      </w:pPr>
    </w:p>
    <w:p w:rsidR="00283D95" w:rsidRDefault="00283D95" w:rsidP="00CA1CFE">
      <w:pPr>
        <w:pStyle w:val="Paragraphedeliste"/>
        <w:spacing w:line="240" w:lineRule="auto"/>
        <w:ind w:left="786"/>
        <w:rPr>
          <w:rFonts w:ascii="Times New Roman" w:hAnsi="Times New Roman"/>
          <w:sz w:val="24"/>
        </w:rPr>
      </w:pPr>
      <w:r>
        <w:rPr>
          <w:rFonts w:ascii="Times New Roman" w:hAnsi="Times New Roman"/>
          <w:sz w:val="24"/>
        </w:rPr>
        <w:t>Le traitement identique de situations fondamentalement différentes par la mesure est donc, sans justification raisonnable, tout autant critiquable que le traitement différent.</w:t>
      </w:r>
    </w:p>
    <w:p w:rsidR="008064D7" w:rsidRDefault="008064D7" w:rsidP="00CA1CFE">
      <w:pPr>
        <w:pStyle w:val="Paragraphedeliste"/>
        <w:spacing w:line="240" w:lineRule="auto"/>
        <w:ind w:left="786"/>
        <w:rPr>
          <w:rFonts w:ascii="Times New Roman" w:hAnsi="Times New Roman"/>
          <w:sz w:val="24"/>
        </w:rPr>
      </w:pPr>
    </w:p>
    <w:p w:rsidR="00283D95" w:rsidRDefault="008064D7" w:rsidP="00CA1CFE">
      <w:pPr>
        <w:pStyle w:val="Paragraphedeliste"/>
        <w:numPr>
          <w:ilvl w:val="0"/>
          <w:numId w:val="2"/>
        </w:numPr>
        <w:spacing w:line="240" w:lineRule="auto"/>
        <w:rPr>
          <w:rFonts w:ascii="Times New Roman" w:hAnsi="Times New Roman"/>
          <w:sz w:val="24"/>
        </w:rPr>
      </w:pPr>
      <w:r>
        <w:rPr>
          <w:rFonts w:ascii="Times New Roman" w:hAnsi="Times New Roman"/>
          <w:sz w:val="24"/>
          <w:u w:val="single"/>
        </w:rPr>
        <w:t>Proportionnalité en droit Belge.</w:t>
      </w:r>
      <w:r>
        <w:rPr>
          <w:rFonts w:ascii="Times New Roman" w:hAnsi="Times New Roman"/>
          <w:sz w:val="24"/>
        </w:rPr>
        <w:t xml:space="preserve"> </w:t>
      </w:r>
      <w:r w:rsidR="00283D95">
        <w:rPr>
          <w:rFonts w:ascii="Times New Roman" w:hAnsi="Times New Roman"/>
          <w:sz w:val="24"/>
        </w:rPr>
        <w:t>La doctrine a pu écrire que le</w:t>
      </w:r>
      <w:r w:rsidRPr="00EE1371">
        <w:rPr>
          <w:rFonts w:ascii="Times New Roman" w:hAnsi="Times New Roman"/>
          <w:sz w:val="24"/>
        </w:rPr>
        <w:t xml:space="preserve"> remplacement de la règle d’égalité par la règle de proportionnalité se dessine en droit belge</w:t>
      </w:r>
      <w:r>
        <w:rPr>
          <w:rStyle w:val="Appelnotedebasdep"/>
          <w:rFonts w:ascii="Times New Roman" w:hAnsi="Times New Roman"/>
          <w:sz w:val="24"/>
        </w:rPr>
        <w:footnoteReference w:id="276"/>
      </w:r>
      <w:r w:rsidRPr="00EE1371">
        <w:rPr>
          <w:rFonts w:ascii="Times New Roman" w:hAnsi="Times New Roman"/>
          <w:sz w:val="24"/>
        </w:rPr>
        <w:t>.</w:t>
      </w:r>
      <w:r>
        <w:rPr>
          <w:rFonts w:ascii="Times New Roman" w:hAnsi="Times New Roman"/>
          <w:sz w:val="24"/>
        </w:rPr>
        <w:t xml:space="preserve"> </w:t>
      </w:r>
    </w:p>
    <w:p w:rsidR="00283D95" w:rsidRDefault="00283D95" w:rsidP="00283D95">
      <w:pPr>
        <w:pStyle w:val="Paragraphedeliste"/>
        <w:spacing w:line="240" w:lineRule="auto"/>
        <w:ind w:left="786"/>
        <w:rPr>
          <w:rFonts w:ascii="Times New Roman" w:hAnsi="Times New Roman"/>
          <w:sz w:val="24"/>
          <w:u w:val="single"/>
        </w:rPr>
      </w:pPr>
    </w:p>
    <w:p w:rsidR="00283D95" w:rsidRDefault="008064D7" w:rsidP="00283D95">
      <w:pPr>
        <w:pStyle w:val="Paragraphedeliste"/>
        <w:spacing w:line="240" w:lineRule="auto"/>
        <w:ind w:left="786"/>
        <w:rPr>
          <w:rFonts w:ascii="Times New Roman" w:hAnsi="Times New Roman"/>
          <w:sz w:val="24"/>
        </w:rPr>
      </w:pPr>
      <w:r w:rsidRPr="00EE1371">
        <w:rPr>
          <w:rFonts w:ascii="Times New Roman" w:hAnsi="Times New Roman"/>
          <w:sz w:val="24"/>
        </w:rPr>
        <w:t>Cette proportionnalité peut être examinée entre créanciers, mais aussi entre créanciers et actionnaires</w:t>
      </w:r>
      <w:r>
        <w:rPr>
          <w:rStyle w:val="Appelnotedebasdep"/>
          <w:rFonts w:ascii="Times New Roman" w:hAnsi="Times New Roman"/>
          <w:sz w:val="24"/>
        </w:rPr>
        <w:footnoteReference w:id="277"/>
      </w:r>
      <w:r w:rsidRPr="00EE1371">
        <w:rPr>
          <w:rFonts w:ascii="Times New Roman" w:hAnsi="Times New Roman"/>
          <w:sz w:val="24"/>
        </w:rPr>
        <w:t>.</w:t>
      </w:r>
      <w:r>
        <w:rPr>
          <w:rFonts w:ascii="Times New Roman" w:hAnsi="Times New Roman"/>
          <w:sz w:val="24"/>
        </w:rPr>
        <w:t xml:space="preserve"> </w:t>
      </w:r>
      <w:r w:rsidRPr="00EE1371">
        <w:rPr>
          <w:rFonts w:ascii="Times New Roman" w:hAnsi="Times New Roman"/>
          <w:sz w:val="24"/>
        </w:rPr>
        <w:t xml:space="preserve">La contribution à la continuité – et pas au règlement global et adéquat </w:t>
      </w:r>
      <w:r w:rsidRPr="00EE1371">
        <w:rPr>
          <w:rFonts w:ascii="Times New Roman" w:hAnsi="Times New Roman"/>
          <w:sz w:val="24"/>
        </w:rPr>
        <w:lastRenderedPageBreak/>
        <w:t>des créanciers – apprécié</w:t>
      </w:r>
      <w:r w:rsidR="00283D95">
        <w:rPr>
          <w:rFonts w:ascii="Times New Roman" w:hAnsi="Times New Roman"/>
          <w:sz w:val="24"/>
        </w:rPr>
        <w:t>e</w:t>
      </w:r>
      <w:r w:rsidRPr="00EE1371">
        <w:rPr>
          <w:rFonts w:ascii="Times New Roman" w:hAnsi="Times New Roman"/>
          <w:sz w:val="24"/>
        </w:rPr>
        <w:t xml:space="preserve"> par le juge selon la règle du contrôle marginal, suppose quand même du juge d’apprécier la pertinence économique de la continuité.</w:t>
      </w:r>
      <w:r>
        <w:rPr>
          <w:rFonts w:ascii="Times New Roman" w:hAnsi="Times New Roman"/>
          <w:sz w:val="24"/>
        </w:rPr>
        <w:t xml:space="preserve"> </w:t>
      </w:r>
    </w:p>
    <w:p w:rsidR="00283D95" w:rsidRDefault="00283D95" w:rsidP="00283D95">
      <w:pPr>
        <w:pStyle w:val="Paragraphedeliste"/>
        <w:spacing w:line="240" w:lineRule="auto"/>
        <w:ind w:left="786"/>
        <w:rPr>
          <w:rFonts w:ascii="Times New Roman" w:hAnsi="Times New Roman"/>
          <w:sz w:val="24"/>
        </w:rPr>
      </w:pPr>
    </w:p>
    <w:p w:rsidR="008064D7" w:rsidRDefault="008064D7" w:rsidP="00283D95">
      <w:pPr>
        <w:pStyle w:val="Paragraphedeliste"/>
        <w:spacing w:line="240" w:lineRule="auto"/>
        <w:ind w:left="786"/>
        <w:rPr>
          <w:rFonts w:ascii="Times New Roman" w:hAnsi="Times New Roman"/>
          <w:sz w:val="24"/>
        </w:rPr>
      </w:pPr>
      <w:r w:rsidRPr="00FA38AA">
        <w:rPr>
          <w:rFonts w:ascii="Times New Roman" w:hAnsi="Times New Roman"/>
          <w:sz w:val="24"/>
        </w:rPr>
        <w:t>Le régime mis en place par la jurisprudence de la Cour Constitutionnelle et de la Cour de Cassation</w:t>
      </w:r>
      <w:r w:rsidR="00226F83">
        <w:t xml:space="preserve">, </w:t>
      </w:r>
      <w:r w:rsidRPr="00FA38AA">
        <w:rPr>
          <w:rFonts w:ascii="Times New Roman" w:hAnsi="Times New Roman"/>
          <w:sz w:val="24"/>
        </w:rPr>
        <w:t xml:space="preserve">comme l’arrêt PLESSERS l’a mis en exergue – </w:t>
      </w:r>
      <w:r>
        <w:rPr>
          <w:rFonts w:ascii="Times New Roman" w:hAnsi="Times New Roman"/>
          <w:sz w:val="24"/>
        </w:rPr>
        <w:t xml:space="preserve">visant </w:t>
      </w:r>
      <w:r w:rsidRPr="00FA38AA">
        <w:rPr>
          <w:rFonts w:ascii="Times New Roman" w:hAnsi="Times New Roman"/>
          <w:sz w:val="24"/>
        </w:rPr>
        <w:t>avant tout à assurer la continuité de l’entreprise</w:t>
      </w:r>
      <w:r w:rsidR="00226F83">
        <w:rPr>
          <w:rFonts w:ascii="Times New Roman" w:hAnsi="Times New Roman"/>
          <w:sz w:val="24"/>
        </w:rPr>
        <w:t>,</w:t>
      </w:r>
      <w:r w:rsidRPr="00FA38AA">
        <w:rPr>
          <w:rFonts w:ascii="Times New Roman" w:hAnsi="Times New Roman"/>
          <w:sz w:val="24"/>
        </w:rPr>
        <w:t xml:space="preserve"> se fonde aussi sur une analyse de proportionnalité entre l’effort discriminé demandé et le but de préserver cette continuité. </w:t>
      </w:r>
    </w:p>
    <w:p w:rsidR="008064D7" w:rsidRDefault="008064D7" w:rsidP="00CA1CFE">
      <w:pPr>
        <w:pStyle w:val="Paragraphedeliste"/>
        <w:spacing w:line="240" w:lineRule="auto"/>
        <w:ind w:left="786"/>
        <w:rPr>
          <w:rFonts w:ascii="Times New Roman" w:hAnsi="Times New Roman"/>
          <w:sz w:val="24"/>
        </w:rPr>
      </w:pPr>
    </w:p>
    <w:p w:rsidR="008064D7" w:rsidRDefault="008064D7" w:rsidP="009F5A6A">
      <w:pPr>
        <w:pStyle w:val="Paragraphedeliste"/>
        <w:spacing w:line="240" w:lineRule="auto"/>
        <w:ind w:left="786"/>
        <w:rPr>
          <w:rFonts w:ascii="Times New Roman" w:hAnsi="Times New Roman"/>
          <w:sz w:val="24"/>
        </w:rPr>
      </w:pPr>
      <w:r w:rsidRPr="00FA38AA">
        <w:rPr>
          <w:rFonts w:ascii="Times New Roman" w:hAnsi="Times New Roman"/>
          <w:sz w:val="24"/>
        </w:rPr>
        <w:t>La directive</w:t>
      </w:r>
      <w:r w:rsidR="00226F83">
        <w:rPr>
          <w:rFonts w:ascii="Times New Roman" w:hAnsi="Times New Roman"/>
          <w:sz w:val="24"/>
        </w:rPr>
        <w:t>, en ce qu’elle organise la priorité relative,</w:t>
      </w:r>
      <w:r w:rsidRPr="00FA38AA">
        <w:rPr>
          <w:rFonts w:ascii="Times New Roman" w:hAnsi="Times New Roman"/>
          <w:sz w:val="24"/>
        </w:rPr>
        <w:t xml:space="preserve"> a </w:t>
      </w:r>
      <w:r w:rsidR="00226F83">
        <w:rPr>
          <w:rFonts w:ascii="Times New Roman" w:hAnsi="Times New Roman"/>
          <w:sz w:val="24"/>
        </w:rPr>
        <w:t xml:space="preserve">donc </w:t>
      </w:r>
      <w:r w:rsidRPr="00FA38AA">
        <w:rPr>
          <w:rFonts w:ascii="Times New Roman" w:hAnsi="Times New Roman"/>
          <w:sz w:val="24"/>
        </w:rPr>
        <w:t xml:space="preserve">au moins en commun </w:t>
      </w:r>
      <w:r>
        <w:rPr>
          <w:rFonts w:ascii="Times New Roman" w:hAnsi="Times New Roman"/>
          <w:sz w:val="24"/>
        </w:rPr>
        <w:t xml:space="preserve">avec les articles 10 et 11 de la Constitution et </w:t>
      </w:r>
      <w:r w:rsidRPr="00FA38AA">
        <w:rPr>
          <w:rFonts w:ascii="Times New Roman" w:hAnsi="Times New Roman"/>
          <w:sz w:val="24"/>
        </w:rPr>
        <w:t>la règle de proportionnalité à travers le critère « </w:t>
      </w:r>
      <w:r w:rsidRPr="00FA38AA">
        <w:rPr>
          <w:rFonts w:ascii="Times New Roman" w:hAnsi="Times New Roman"/>
          <w:i/>
          <w:sz w:val="24"/>
        </w:rPr>
        <w:t>d’atteinte non-excessive aux droit ou aux intérêts des créanciers »</w:t>
      </w:r>
      <w:r>
        <w:rPr>
          <w:rFonts w:ascii="Times New Roman" w:hAnsi="Times New Roman"/>
          <w:sz w:val="24"/>
        </w:rPr>
        <w:t xml:space="preserve"> qui impose une analyse de proportionnalité, </w:t>
      </w:r>
      <w:r w:rsidR="00226F83">
        <w:rPr>
          <w:rFonts w:ascii="Times New Roman" w:hAnsi="Times New Roman"/>
          <w:sz w:val="24"/>
        </w:rPr>
        <w:t>le critère a peut-être changé : l’objectif est peut-être, avant d’être la continuité du débiteur, l</w:t>
      </w:r>
      <w:r>
        <w:rPr>
          <w:rFonts w:ascii="Times New Roman" w:hAnsi="Times New Roman"/>
          <w:sz w:val="24"/>
        </w:rPr>
        <w:t>’intérêt des créanciers estimée sur base de la valeur de l’entreprise.</w:t>
      </w:r>
      <w:r w:rsidR="00226F83">
        <w:rPr>
          <w:rFonts w:ascii="Times New Roman" w:hAnsi="Times New Roman"/>
          <w:sz w:val="24"/>
        </w:rPr>
        <w:t xml:space="preserve"> </w:t>
      </w:r>
      <w:r w:rsidRPr="009F5A6A">
        <w:rPr>
          <w:rFonts w:ascii="Times New Roman" w:hAnsi="Times New Roman"/>
          <w:sz w:val="24"/>
        </w:rPr>
        <w:t>La directive prend</w:t>
      </w:r>
      <w:r w:rsidR="00226F83">
        <w:rPr>
          <w:rFonts w:ascii="Times New Roman" w:hAnsi="Times New Roman"/>
          <w:sz w:val="24"/>
        </w:rPr>
        <w:t>rait</w:t>
      </w:r>
      <w:r w:rsidRPr="009F5A6A">
        <w:rPr>
          <w:rFonts w:ascii="Times New Roman" w:hAnsi="Times New Roman"/>
          <w:sz w:val="24"/>
        </w:rPr>
        <w:t xml:space="preserve"> donc plus en compte l’intérêt des créanciers en invitant le juge à examiner cette proportionnalité au départ de la valeur </w:t>
      </w:r>
      <w:r w:rsidRPr="009F5A6A">
        <w:rPr>
          <w:rFonts w:ascii="Times New Roman" w:hAnsi="Times New Roman"/>
          <w:i/>
          <w:sz w:val="24"/>
        </w:rPr>
        <w:t xml:space="preserve">going-concern </w:t>
      </w:r>
      <w:r w:rsidRPr="009F5A6A">
        <w:rPr>
          <w:rFonts w:ascii="Times New Roman" w:hAnsi="Times New Roman"/>
          <w:sz w:val="24"/>
        </w:rPr>
        <w:t>et de la valeur liquidative de l’entreprise</w:t>
      </w:r>
      <w:r w:rsidR="00226F83">
        <w:rPr>
          <w:rFonts w:ascii="Times New Roman" w:hAnsi="Times New Roman"/>
          <w:sz w:val="24"/>
        </w:rPr>
        <w:t>, mais après</w:t>
      </w:r>
      <w:r w:rsidRPr="009F5A6A">
        <w:rPr>
          <w:rFonts w:ascii="Times New Roman" w:hAnsi="Times New Roman"/>
          <w:sz w:val="24"/>
        </w:rPr>
        <w:t xml:space="preserve"> avoir porté un jugement </w:t>
      </w:r>
      <w:r w:rsidR="00226F83">
        <w:rPr>
          <w:rFonts w:ascii="Times New Roman" w:hAnsi="Times New Roman"/>
          <w:sz w:val="24"/>
        </w:rPr>
        <w:t>en estimant la</w:t>
      </w:r>
      <w:r w:rsidRPr="009F5A6A">
        <w:rPr>
          <w:rFonts w:ascii="Times New Roman" w:hAnsi="Times New Roman"/>
          <w:sz w:val="24"/>
        </w:rPr>
        <w:t xml:space="preserve"> valeur sur la viabilité de l’entreprise.</w:t>
      </w:r>
      <w:r w:rsidR="00226F83">
        <w:rPr>
          <w:rFonts w:ascii="Times New Roman" w:hAnsi="Times New Roman"/>
          <w:sz w:val="24"/>
        </w:rPr>
        <w:t xml:space="preserve"> Il peut donc être défendu que</w:t>
      </w:r>
      <w:r>
        <w:rPr>
          <w:rFonts w:ascii="Times New Roman" w:hAnsi="Times New Roman"/>
          <w:sz w:val="24"/>
        </w:rPr>
        <w:t xml:space="preserve"> la règle de priorité relative </w:t>
      </w:r>
      <w:r w:rsidR="00226F83">
        <w:rPr>
          <w:rFonts w:ascii="Times New Roman" w:hAnsi="Times New Roman"/>
          <w:sz w:val="24"/>
        </w:rPr>
        <w:t>ne s’écarte</w:t>
      </w:r>
      <w:r>
        <w:rPr>
          <w:rFonts w:ascii="Times New Roman" w:hAnsi="Times New Roman"/>
          <w:sz w:val="24"/>
        </w:rPr>
        <w:t xml:space="preserve"> pas </w:t>
      </w:r>
      <w:r w:rsidR="00226F83">
        <w:rPr>
          <w:rFonts w:ascii="Times New Roman" w:hAnsi="Times New Roman"/>
          <w:sz w:val="24"/>
        </w:rPr>
        <w:t>du</w:t>
      </w:r>
      <w:r>
        <w:rPr>
          <w:rFonts w:ascii="Times New Roman" w:hAnsi="Times New Roman"/>
          <w:sz w:val="24"/>
        </w:rPr>
        <w:t xml:space="preserve"> référentiel à la valeur de l’entreprise. </w:t>
      </w:r>
    </w:p>
    <w:p w:rsidR="00226F83" w:rsidRDefault="00226F83" w:rsidP="009F5A6A">
      <w:pPr>
        <w:pStyle w:val="Paragraphedeliste"/>
        <w:spacing w:line="240" w:lineRule="auto"/>
        <w:ind w:left="786"/>
        <w:rPr>
          <w:rFonts w:ascii="Times New Roman" w:hAnsi="Times New Roman"/>
          <w:sz w:val="24"/>
        </w:rPr>
      </w:pPr>
    </w:p>
    <w:p w:rsidR="009946CA" w:rsidRPr="00BD5DCE" w:rsidRDefault="009946CA" w:rsidP="009946CA">
      <w:pPr>
        <w:pStyle w:val="Paragraphedeliste"/>
        <w:numPr>
          <w:ilvl w:val="0"/>
          <w:numId w:val="2"/>
        </w:numPr>
        <w:spacing w:line="240" w:lineRule="auto"/>
        <w:ind w:left="851" w:hanging="567"/>
        <w:rPr>
          <w:rFonts w:ascii="Times New Roman" w:hAnsi="Times New Roman"/>
          <w:sz w:val="24"/>
          <w:u w:val="single"/>
        </w:rPr>
      </w:pPr>
      <w:r w:rsidRPr="00BD5DCE">
        <w:rPr>
          <w:rFonts w:ascii="Times New Roman" w:hAnsi="Times New Roman"/>
          <w:sz w:val="24"/>
          <w:u w:val="single"/>
        </w:rPr>
        <w:t>Retro</w:t>
      </w:r>
      <w:r>
        <w:rPr>
          <w:rFonts w:ascii="Times New Roman" w:hAnsi="Times New Roman"/>
          <w:sz w:val="24"/>
          <w:u w:val="single"/>
        </w:rPr>
        <w:t>-</w:t>
      </w:r>
      <w:r w:rsidRPr="00BD5DCE">
        <w:rPr>
          <w:rFonts w:ascii="Times New Roman" w:hAnsi="Times New Roman"/>
          <w:sz w:val="24"/>
          <w:u w:val="single"/>
        </w:rPr>
        <w:t>discrimination</w:t>
      </w:r>
      <w:r>
        <w:rPr>
          <w:rFonts w:ascii="Times New Roman" w:hAnsi="Times New Roman"/>
          <w:sz w:val="24"/>
          <w:u w:val="single"/>
        </w:rPr>
        <w:t> ?</w:t>
      </w:r>
      <w:r>
        <w:rPr>
          <w:rFonts w:ascii="Times New Roman" w:hAnsi="Times New Roman"/>
          <w:sz w:val="24"/>
        </w:rPr>
        <w:t xml:space="preserve"> </w:t>
      </w:r>
      <w:r w:rsidRPr="00BD5DCE">
        <w:rPr>
          <w:rFonts w:ascii="Times New Roman" w:hAnsi="Times New Roman"/>
          <w:sz w:val="24"/>
        </w:rPr>
        <w:t xml:space="preserve">Le Livre XX parlant de traitement différencié n’envisage, </w:t>
      </w:r>
      <w:r>
        <w:rPr>
          <w:rFonts w:ascii="Times New Roman" w:hAnsi="Times New Roman"/>
          <w:sz w:val="24"/>
        </w:rPr>
        <w:t>me semble-t-il</w:t>
      </w:r>
      <w:r w:rsidRPr="00BD5DCE">
        <w:rPr>
          <w:rFonts w:ascii="Times New Roman" w:hAnsi="Times New Roman"/>
          <w:sz w:val="24"/>
        </w:rPr>
        <w:t>, que l’hypothèse où le débiteur prop</w:t>
      </w:r>
      <w:r>
        <w:rPr>
          <w:rFonts w:ascii="Times New Roman" w:hAnsi="Times New Roman"/>
          <w:sz w:val="24"/>
        </w:rPr>
        <w:t>ose des situations différentes à ces créanciers sans envisager la situation du traitement différencié entre créanciers et actionnaires, c’est-à-dire, des cas où les actionnaires conservent pour eux-mêmes une part très disproportionnée de la capacité contributive.</w:t>
      </w:r>
    </w:p>
    <w:p w:rsidR="009946CA" w:rsidRDefault="009946CA" w:rsidP="009946CA">
      <w:pPr>
        <w:pStyle w:val="Paragraphedeliste"/>
        <w:spacing w:line="240" w:lineRule="auto"/>
        <w:ind w:left="786"/>
        <w:rPr>
          <w:rFonts w:ascii="Times New Roman" w:hAnsi="Times New Roman"/>
          <w:sz w:val="24"/>
        </w:rPr>
      </w:pPr>
    </w:p>
    <w:p w:rsidR="009946CA" w:rsidRDefault="009946CA" w:rsidP="009946CA">
      <w:pPr>
        <w:pStyle w:val="Paragraphedeliste"/>
        <w:spacing w:line="240" w:lineRule="auto"/>
        <w:ind w:left="786"/>
        <w:rPr>
          <w:rFonts w:ascii="Times New Roman" w:hAnsi="Times New Roman"/>
          <w:sz w:val="24"/>
        </w:rPr>
      </w:pPr>
      <w:r>
        <w:rPr>
          <w:rFonts w:ascii="Times New Roman" w:hAnsi="Times New Roman"/>
          <w:sz w:val="24"/>
        </w:rPr>
        <w:t>La doctrine a déjà admis</w:t>
      </w:r>
      <w:r>
        <w:rPr>
          <w:rStyle w:val="Appelnotedebasdep"/>
          <w:rFonts w:ascii="Times New Roman" w:hAnsi="Times New Roman"/>
          <w:sz w:val="24"/>
        </w:rPr>
        <w:footnoteReference w:id="278"/>
      </w:r>
      <w:r>
        <w:rPr>
          <w:rFonts w:ascii="Times New Roman" w:hAnsi="Times New Roman"/>
          <w:sz w:val="24"/>
        </w:rPr>
        <w:t xml:space="preserve"> comme la jurisprudence d’ailleurs</w:t>
      </w:r>
      <w:r>
        <w:rPr>
          <w:rStyle w:val="Appelnotedebasdep"/>
          <w:rFonts w:ascii="Times New Roman" w:hAnsi="Times New Roman"/>
          <w:sz w:val="24"/>
        </w:rPr>
        <w:footnoteReference w:id="279"/>
      </w:r>
      <w:r>
        <w:rPr>
          <w:rFonts w:ascii="Times New Roman" w:hAnsi="Times New Roman"/>
          <w:sz w:val="24"/>
        </w:rPr>
        <w:t xml:space="preserve"> que : «  </w:t>
      </w:r>
      <w:r w:rsidRPr="00B21B36">
        <w:rPr>
          <w:rFonts w:ascii="Times New Roman" w:hAnsi="Times New Roman"/>
          <w:i/>
          <w:sz w:val="24"/>
        </w:rPr>
        <w:t>la règle de proportionnalité conduit aussi à penser qu’une comparaison entre le</w:t>
      </w:r>
      <w:r>
        <w:rPr>
          <w:rFonts w:ascii="Times New Roman" w:hAnsi="Times New Roman"/>
          <w:i/>
          <w:sz w:val="24"/>
        </w:rPr>
        <w:t>s</w:t>
      </w:r>
      <w:r w:rsidRPr="00B21B36">
        <w:rPr>
          <w:rFonts w:ascii="Times New Roman" w:hAnsi="Times New Roman"/>
          <w:i/>
          <w:sz w:val="24"/>
        </w:rPr>
        <w:t xml:space="preserve"> efforts des actionnaires ou associés et ceux des créanciers n’est pas déplacée, pour dire le moins</w:t>
      </w:r>
      <w:r>
        <w:rPr>
          <w:rFonts w:ascii="Times New Roman" w:hAnsi="Times New Roman"/>
          <w:sz w:val="24"/>
        </w:rPr>
        <w:t> »</w:t>
      </w:r>
      <w:r>
        <w:rPr>
          <w:rStyle w:val="Appelnotedebasdep"/>
          <w:rFonts w:ascii="Times New Roman" w:hAnsi="Times New Roman"/>
          <w:sz w:val="24"/>
        </w:rPr>
        <w:footnoteReference w:id="280"/>
      </w:r>
      <w:r>
        <w:rPr>
          <w:rFonts w:ascii="Times New Roman" w:hAnsi="Times New Roman"/>
          <w:sz w:val="24"/>
        </w:rPr>
        <w:t>. Si le juge devait refuser, pour ce motif, l’homologation, il devrait rouvrir les débats sur base des critères qu’il indique dans sa décision pour permettre une adaptation du plan et la rencontre des critères qu’il aurait ainsi édictés.</w:t>
      </w:r>
    </w:p>
    <w:p w:rsidR="009946CA" w:rsidRDefault="009946CA" w:rsidP="009946CA">
      <w:pPr>
        <w:spacing w:line="240" w:lineRule="auto"/>
        <w:ind w:left="426"/>
        <w:rPr>
          <w:rFonts w:ascii="Times New Roman" w:hAnsi="Times New Roman"/>
          <w:sz w:val="24"/>
        </w:rPr>
      </w:pPr>
    </w:p>
    <w:p w:rsidR="009946CA" w:rsidRDefault="009946CA" w:rsidP="009946CA">
      <w:pPr>
        <w:pStyle w:val="Paragraphedeliste"/>
        <w:spacing w:line="240" w:lineRule="auto"/>
        <w:ind w:left="786"/>
        <w:rPr>
          <w:rFonts w:ascii="Times New Roman" w:hAnsi="Times New Roman"/>
          <w:sz w:val="24"/>
        </w:rPr>
      </w:pPr>
      <w:r>
        <w:rPr>
          <w:rFonts w:ascii="Times New Roman" w:hAnsi="Times New Roman"/>
          <w:sz w:val="24"/>
        </w:rPr>
        <w:t>Cette étude sera plus délicate si on propose aux créanciers une conversion en action. Au cœur de l’augmentation de capital par conversion des créances comme moyen d’accorder à un créancier un intéressement sur les bénéfices futurs et au cœur de la question de la valorisation du gage pour définir l’assiette de la créance extraordinaire se cache également une possible discrimination qui suit le risque de conflit d’intérêt pouvant exister entre l’actionnaire - cherchant à maximaliser sa valeur future et les créanciers dont il faudrait également rechercher la maximalisation de leurs intérêts et entre le créancier convertissant qui a une chance de récupérer 100 %, voire une plus-</w:t>
      </w:r>
      <w:r w:rsidRPr="007C17D3">
        <w:rPr>
          <w:rFonts w:ascii="Times New Roman" w:hAnsi="Times New Roman"/>
          <w:i/>
          <w:sz w:val="24"/>
        </w:rPr>
        <w:t>value</w:t>
      </w:r>
      <w:r>
        <w:rPr>
          <w:rFonts w:ascii="Times New Roman" w:hAnsi="Times New Roman"/>
          <w:sz w:val="24"/>
        </w:rPr>
        <w:t xml:space="preserve"> et le créancier non-convertissant qui sera payé en monnaie de PRJ. </w:t>
      </w:r>
    </w:p>
    <w:p w:rsidR="008064D7" w:rsidRDefault="008064D7" w:rsidP="00CA1CFE">
      <w:pPr>
        <w:pStyle w:val="Paragraphedeliste"/>
        <w:spacing w:line="240" w:lineRule="auto"/>
        <w:ind w:left="786"/>
        <w:rPr>
          <w:rFonts w:ascii="Times New Roman" w:hAnsi="Times New Roman"/>
          <w:sz w:val="24"/>
        </w:rPr>
      </w:pPr>
    </w:p>
    <w:p w:rsidR="008064D7" w:rsidRDefault="008064D7" w:rsidP="00226F83">
      <w:pPr>
        <w:pStyle w:val="Paragraphedeliste"/>
        <w:numPr>
          <w:ilvl w:val="0"/>
          <w:numId w:val="2"/>
        </w:numPr>
        <w:spacing w:line="240" w:lineRule="auto"/>
        <w:ind w:left="851" w:hanging="567"/>
        <w:rPr>
          <w:rFonts w:ascii="Times New Roman" w:hAnsi="Times New Roman"/>
          <w:sz w:val="24"/>
        </w:rPr>
      </w:pPr>
      <w:r>
        <w:rPr>
          <w:rFonts w:ascii="Times New Roman" w:hAnsi="Times New Roman"/>
          <w:sz w:val="24"/>
          <w:u w:val="single"/>
        </w:rPr>
        <w:t xml:space="preserve">Existera-t-il une incompatibilité constitutionnelle d’intégrer la directive ? </w:t>
      </w:r>
      <w:r>
        <w:rPr>
          <w:rFonts w:ascii="Times New Roman" w:hAnsi="Times New Roman"/>
          <w:sz w:val="24"/>
        </w:rPr>
        <w:t>Nous ne le pensons pas pour différentes raisons.</w:t>
      </w:r>
    </w:p>
    <w:p w:rsidR="008064D7" w:rsidRDefault="008064D7" w:rsidP="00CA1CFE">
      <w:pPr>
        <w:pStyle w:val="Paragraphedeliste"/>
        <w:spacing w:line="240" w:lineRule="auto"/>
        <w:ind w:left="786"/>
        <w:rPr>
          <w:rFonts w:ascii="Times New Roman" w:hAnsi="Times New Roman"/>
          <w:sz w:val="24"/>
        </w:rPr>
      </w:pPr>
    </w:p>
    <w:p w:rsidR="008064D7" w:rsidRDefault="008064D7" w:rsidP="00CA1CFE">
      <w:pPr>
        <w:pStyle w:val="Paragraphedeliste"/>
        <w:spacing w:line="240" w:lineRule="auto"/>
        <w:ind w:left="786"/>
        <w:rPr>
          <w:rFonts w:ascii="Times New Roman" w:hAnsi="Times New Roman"/>
          <w:sz w:val="24"/>
        </w:rPr>
      </w:pPr>
      <w:r>
        <w:rPr>
          <w:rFonts w:ascii="Times New Roman" w:hAnsi="Times New Roman"/>
          <w:sz w:val="24"/>
        </w:rPr>
        <w:lastRenderedPageBreak/>
        <w:t xml:space="preserve">La règle de l’interprétation conforme devrait donner la possibilité au juge d’interpréter les critères retenus par la Cour Constitutionnelle au regard du nouveau critère imposé par un ordre juridique européen fondé sur des motifs d’ordre public que sont la protection de l’Union monétaire et financière et la stabilité bancaire. La proportionnalité de l’intérêt défendu par la règle à la mesure concrète de l’inégalité sera examinée par une règle de proportionnalité adaptée (plus seulement en rapport à la continuité de l’entreprise ou la viabilité) mais aussi par rapport aux intérêts ou aux droits des créanciers appréciés par le rapport à la valeur de liquidation ou </w:t>
      </w:r>
      <w:r w:rsidRPr="007C17D3">
        <w:rPr>
          <w:rFonts w:ascii="Times New Roman" w:hAnsi="Times New Roman"/>
          <w:i/>
          <w:sz w:val="24"/>
        </w:rPr>
        <w:t>going-concern</w:t>
      </w:r>
      <w:r>
        <w:rPr>
          <w:rFonts w:ascii="Times New Roman" w:hAnsi="Times New Roman"/>
          <w:sz w:val="24"/>
        </w:rPr>
        <w:t xml:space="preserve"> en tenant compte de la nature et de l’importance de l’affectation de l’intérêt du créancier concerné.</w:t>
      </w:r>
    </w:p>
    <w:p w:rsidR="008064D7" w:rsidRDefault="008064D7" w:rsidP="00CA1CFE">
      <w:pPr>
        <w:spacing w:line="240" w:lineRule="auto"/>
        <w:ind w:left="426"/>
        <w:rPr>
          <w:rFonts w:ascii="Times New Roman" w:hAnsi="Times New Roman"/>
          <w:sz w:val="24"/>
        </w:rPr>
      </w:pPr>
    </w:p>
    <w:p w:rsidR="008064D7" w:rsidRDefault="008064D7" w:rsidP="00CA1CFE">
      <w:pPr>
        <w:spacing w:line="240" w:lineRule="auto"/>
        <w:ind w:left="786"/>
        <w:rPr>
          <w:rFonts w:ascii="Times New Roman" w:hAnsi="Times New Roman"/>
          <w:sz w:val="24"/>
        </w:rPr>
      </w:pPr>
      <w:r w:rsidRPr="004E7FF5">
        <w:rPr>
          <w:rFonts w:ascii="Times New Roman" w:hAnsi="Times New Roman"/>
          <w:sz w:val="24"/>
        </w:rPr>
        <w:t>Le simple fait que deux créanciers aient un traitement différent en raison de garanties différentes ou d’éléments économiques spécifiques différents, que ce soit l’ampleur de la créance ou les droits attachés à celle-ci, ne devrait pas suffire pour justifier d’un traitement inconstitutionnel interprété à la lueur de la directive et des motifs sur laquelle est fondée.</w:t>
      </w:r>
      <w:r>
        <w:rPr>
          <w:rFonts w:ascii="Times New Roman" w:hAnsi="Times New Roman"/>
          <w:sz w:val="24"/>
        </w:rPr>
        <w:t xml:space="preserve"> La directive impose la création de classes de créanciers qui, par définition, entraînent une différenciation sur le critère économique.</w:t>
      </w:r>
      <w:r w:rsidRPr="004E7FF5">
        <w:rPr>
          <w:rFonts w:ascii="Times New Roman" w:hAnsi="Times New Roman"/>
          <w:sz w:val="24"/>
        </w:rPr>
        <w:t xml:space="preserve"> Il est donc possible qu’à travers le critère de la directive, l’examen des traitements différenciés de no</w:t>
      </w:r>
      <w:r>
        <w:rPr>
          <w:rFonts w:ascii="Times New Roman" w:hAnsi="Times New Roman"/>
          <w:sz w:val="24"/>
        </w:rPr>
        <w:t>tre droit interne soit revisité.</w:t>
      </w:r>
    </w:p>
    <w:p w:rsidR="008064D7" w:rsidRDefault="008064D7" w:rsidP="00CA1CFE">
      <w:pPr>
        <w:spacing w:line="240" w:lineRule="auto"/>
        <w:ind w:left="786"/>
        <w:rPr>
          <w:rFonts w:ascii="Times New Roman" w:hAnsi="Times New Roman"/>
          <w:sz w:val="24"/>
        </w:rPr>
      </w:pPr>
    </w:p>
    <w:p w:rsidR="008064D7" w:rsidRDefault="008064D7" w:rsidP="00CA1CFE">
      <w:pPr>
        <w:spacing w:line="240" w:lineRule="auto"/>
        <w:ind w:left="786"/>
        <w:rPr>
          <w:rFonts w:ascii="Times New Roman" w:hAnsi="Times New Roman"/>
          <w:sz w:val="24"/>
        </w:rPr>
      </w:pPr>
      <w:r>
        <w:rPr>
          <w:rFonts w:ascii="Times New Roman" w:hAnsi="Times New Roman"/>
          <w:sz w:val="24"/>
        </w:rPr>
        <w:t xml:space="preserve">En outre, la Cour Constitutionnelle a examiné la question de la proportionnalité au regard du critère de la loi sur le concordat – ou de la continuité – et pourrait devoir le </w:t>
      </w:r>
      <w:r w:rsidR="00C600AA">
        <w:rPr>
          <w:rFonts w:ascii="Times New Roman" w:hAnsi="Times New Roman"/>
          <w:sz w:val="24"/>
        </w:rPr>
        <w:t>faire</w:t>
      </w:r>
      <w:r>
        <w:rPr>
          <w:rFonts w:ascii="Times New Roman" w:hAnsi="Times New Roman"/>
          <w:sz w:val="24"/>
        </w:rPr>
        <w:t xml:space="preserve"> sur base des nouveaux objectifs que la loi qui intègrerait </w:t>
      </w:r>
      <w:r w:rsidR="00C600AA">
        <w:rPr>
          <w:rFonts w:ascii="Times New Roman" w:hAnsi="Times New Roman"/>
          <w:sz w:val="24"/>
        </w:rPr>
        <w:t xml:space="preserve">et que </w:t>
      </w:r>
      <w:r>
        <w:rPr>
          <w:rFonts w:ascii="Times New Roman" w:hAnsi="Times New Roman"/>
          <w:sz w:val="24"/>
        </w:rPr>
        <w:t xml:space="preserve">la directive fixerait.                                                                                                                                                                                                                                                                                                                                                                                                                                                                                                                                                                                                                                                                                                                                                                                                                                                                                                                                                                                                                                                                                                                                                      </w:t>
      </w:r>
    </w:p>
    <w:p w:rsidR="008064D7" w:rsidRDefault="008064D7" w:rsidP="00CA1CFE">
      <w:pPr>
        <w:spacing w:line="240" w:lineRule="auto"/>
        <w:ind w:left="786"/>
        <w:rPr>
          <w:rFonts w:ascii="Times New Roman" w:hAnsi="Times New Roman"/>
          <w:sz w:val="24"/>
        </w:rPr>
      </w:pPr>
    </w:p>
    <w:p w:rsidR="008064D7" w:rsidRDefault="00C600AA" w:rsidP="00CA1CFE">
      <w:pPr>
        <w:pStyle w:val="Titre2"/>
        <w:numPr>
          <w:ilvl w:val="0"/>
          <w:numId w:val="15"/>
        </w:numPr>
        <w:rPr>
          <w:rFonts w:ascii="Times New Roman" w:hAnsi="Times New Roman" w:cs="Times New Roman"/>
        </w:rPr>
      </w:pPr>
      <w:bookmarkStart w:id="40" w:name="_Toc55407485"/>
      <w:r>
        <w:rPr>
          <w:rFonts w:ascii="Times New Roman" w:hAnsi="Times New Roman" w:cs="Times New Roman"/>
        </w:rPr>
        <w:t>Le caractère absolu ou non de la règle de priorité absolue en droit US</w:t>
      </w:r>
      <w:bookmarkEnd w:id="40"/>
    </w:p>
    <w:p w:rsidR="00CF01DE" w:rsidRDefault="00CF01DE" w:rsidP="00C600AA">
      <w:pPr>
        <w:pStyle w:val="Paragraphedeliste"/>
        <w:numPr>
          <w:ilvl w:val="0"/>
          <w:numId w:val="2"/>
        </w:numPr>
        <w:spacing w:line="240" w:lineRule="auto"/>
        <w:ind w:left="851" w:hanging="567"/>
        <w:rPr>
          <w:rFonts w:ascii="Times New Roman" w:hAnsi="Times New Roman"/>
          <w:sz w:val="24"/>
        </w:rPr>
      </w:pPr>
      <w:r>
        <w:rPr>
          <w:rFonts w:ascii="Times New Roman" w:hAnsi="Times New Roman"/>
          <w:sz w:val="24"/>
          <w:u w:val="single"/>
        </w:rPr>
        <w:t>La notion « </w:t>
      </w:r>
      <w:r>
        <w:rPr>
          <w:rFonts w:ascii="Times New Roman" w:hAnsi="Times New Roman"/>
          <w:i/>
          <w:sz w:val="24"/>
          <w:u w:val="single"/>
        </w:rPr>
        <w:t>Fair &amp; equitable »</w:t>
      </w:r>
      <w:r>
        <w:rPr>
          <w:rFonts w:ascii="Times New Roman" w:hAnsi="Times New Roman"/>
          <w:sz w:val="24"/>
          <w:u w:val="single"/>
        </w:rPr>
        <w:t>.</w:t>
      </w:r>
      <w:r>
        <w:rPr>
          <w:rFonts w:ascii="Times New Roman" w:hAnsi="Times New Roman"/>
          <w:sz w:val="24"/>
        </w:rPr>
        <w:t xml:space="preserve"> la </w:t>
      </w:r>
      <w:r w:rsidR="00C600AA" w:rsidRPr="003514D4">
        <w:rPr>
          <w:rFonts w:ascii="Times New Roman" w:hAnsi="Times New Roman"/>
          <w:sz w:val="24"/>
        </w:rPr>
        <w:t>notion de « </w:t>
      </w:r>
      <w:r w:rsidR="00C600AA" w:rsidRPr="00CF01DE">
        <w:rPr>
          <w:rFonts w:ascii="Times New Roman" w:hAnsi="Times New Roman"/>
          <w:i/>
          <w:sz w:val="24"/>
        </w:rPr>
        <w:t>Fair &amp; equitable</w:t>
      </w:r>
      <w:r w:rsidR="00C600AA" w:rsidRPr="003514D4">
        <w:rPr>
          <w:rFonts w:ascii="Times New Roman" w:hAnsi="Times New Roman"/>
          <w:sz w:val="24"/>
        </w:rPr>
        <w:t xml:space="preserve"> » </w:t>
      </w:r>
      <w:r>
        <w:rPr>
          <w:rFonts w:ascii="Times New Roman" w:hAnsi="Times New Roman"/>
          <w:sz w:val="24"/>
        </w:rPr>
        <w:t>est reprise à la section 1129</w:t>
      </w:r>
      <w:r w:rsidR="00C600AA" w:rsidRPr="003514D4">
        <w:rPr>
          <w:rFonts w:ascii="Times New Roman" w:hAnsi="Times New Roman"/>
          <w:sz w:val="24"/>
        </w:rPr>
        <w:t xml:space="preserve">.  Cette notion a une longue histoire fondée sur la loi anglaise </w:t>
      </w:r>
      <w:r>
        <w:rPr>
          <w:rFonts w:ascii="Times New Roman" w:hAnsi="Times New Roman"/>
          <w:sz w:val="24"/>
        </w:rPr>
        <w:t>de 1543 et 1571, celle de 1704</w:t>
      </w:r>
      <w:r w:rsidR="00C600AA" w:rsidRPr="003514D4">
        <w:rPr>
          <w:rFonts w:ascii="Times New Roman" w:hAnsi="Times New Roman"/>
          <w:sz w:val="24"/>
        </w:rPr>
        <w:t xml:space="preserve">, sur les arrêts très anciens </w:t>
      </w:r>
      <w:r w:rsidR="00C600AA">
        <w:rPr>
          <w:rStyle w:val="Appelnotedebasdep"/>
          <w:rFonts w:ascii="Times New Roman" w:hAnsi="Times New Roman"/>
          <w:sz w:val="24"/>
        </w:rPr>
        <w:footnoteReference w:id="281"/>
      </w:r>
      <w:r>
        <w:rPr>
          <w:rFonts w:ascii="Times New Roman" w:hAnsi="Times New Roman"/>
          <w:sz w:val="24"/>
        </w:rPr>
        <w:t xml:space="preserve">, </w:t>
      </w:r>
      <w:r w:rsidR="00C600AA" w:rsidRPr="003514D4">
        <w:rPr>
          <w:rFonts w:ascii="Times New Roman" w:hAnsi="Times New Roman"/>
          <w:sz w:val="24"/>
        </w:rPr>
        <w:t xml:space="preserve">sur de nombreux arrêts </w:t>
      </w:r>
      <w:r>
        <w:rPr>
          <w:rFonts w:ascii="Times New Roman" w:hAnsi="Times New Roman"/>
          <w:sz w:val="24"/>
        </w:rPr>
        <w:t xml:space="preserve">plus récents </w:t>
      </w:r>
      <w:r w:rsidR="00C600AA" w:rsidRPr="003514D4">
        <w:rPr>
          <w:rFonts w:ascii="Times New Roman" w:hAnsi="Times New Roman"/>
          <w:sz w:val="24"/>
        </w:rPr>
        <w:t xml:space="preserve">de la </w:t>
      </w:r>
      <w:r>
        <w:rPr>
          <w:rFonts w:ascii="Times New Roman" w:hAnsi="Times New Roman"/>
          <w:sz w:val="24"/>
        </w:rPr>
        <w:t>C</w:t>
      </w:r>
      <w:r w:rsidR="00C600AA" w:rsidRPr="003514D4">
        <w:rPr>
          <w:rFonts w:ascii="Times New Roman" w:hAnsi="Times New Roman"/>
          <w:sz w:val="24"/>
        </w:rPr>
        <w:t xml:space="preserve">our </w:t>
      </w:r>
      <w:r>
        <w:rPr>
          <w:rFonts w:ascii="Times New Roman" w:hAnsi="Times New Roman"/>
          <w:sz w:val="24"/>
        </w:rPr>
        <w:t>S</w:t>
      </w:r>
      <w:r w:rsidR="00C600AA" w:rsidRPr="003514D4">
        <w:rPr>
          <w:rFonts w:ascii="Times New Roman" w:hAnsi="Times New Roman"/>
          <w:sz w:val="24"/>
        </w:rPr>
        <w:t>uprême</w:t>
      </w:r>
      <w:r w:rsidR="00C600AA">
        <w:rPr>
          <w:rStyle w:val="Appelnotedebasdep"/>
          <w:rFonts w:ascii="Times New Roman" w:hAnsi="Times New Roman"/>
          <w:sz w:val="24"/>
        </w:rPr>
        <w:footnoteReference w:id="282"/>
      </w:r>
      <w:r>
        <w:rPr>
          <w:rFonts w:ascii="Times New Roman" w:hAnsi="Times New Roman"/>
          <w:sz w:val="24"/>
        </w:rPr>
        <w:t>.</w:t>
      </w:r>
    </w:p>
    <w:p w:rsidR="00CF01DE" w:rsidRDefault="00CF01DE" w:rsidP="00CF01DE">
      <w:pPr>
        <w:pStyle w:val="Paragraphedeliste"/>
        <w:spacing w:line="240" w:lineRule="auto"/>
        <w:ind w:left="851"/>
        <w:rPr>
          <w:rFonts w:ascii="Times New Roman" w:hAnsi="Times New Roman"/>
          <w:sz w:val="24"/>
          <w:u w:val="single"/>
        </w:rPr>
      </w:pPr>
    </w:p>
    <w:p w:rsidR="00C600AA" w:rsidRPr="003514D4" w:rsidRDefault="00C600AA" w:rsidP="00CF01DE">
      <w:pPr>
        <w:pStyle w:val="Paragraphedeliste"/>
        <w:spacing w:line="240" w:lineRule="auto"/>
        <w:ind w:left="851"/>
        <w:rPr>
          <w:rFonts w:ascii="Times New Roman" w:hAnsi="Times New Roman"/>
          <w:sz w:val="24"/>
        </w:rPr>
      </w:pPr>
      <w:r w:rsidRPr="003514D4">
        <w:rPr>
          <w:rFonts w:ascii="Times New Roman" w:hAnsi="Times New Roman"/>
          <w:sz w:val="24"/>
        </w:rPr>
        <w:t>Le but</w:t>
      </w:r>
      <w:r w:rsidR="00CF01DE">
        <w:rPr>
          <w:rFonts w:ascii="Times New Roman" w:hAnsi="Times New Roman"/>
          <w:sz w:val="24"/>
        </w:rPr>
        <w:t>,</w:t>
      </w:r>
      <w:r w:rsidRPr="003514D4">
        <w:rPr>
          <w:rFonts w:ascii="Times New Roman" w:hAnsi="Times New Roman"/>
          <w:sz w:val="24"/>
        </w:rPr>
        <w:t xml:space="preserve"> en introduisant en 1978</w:t>
      </w:r>
      <w:r w:rsidR="00CF01DE">
        <w:rPr>
          <w:rFonts w:ascii="Times New Roman" w:hAnsi="Times New Roman"/>
          <w:sz w:val="24"/>
        </w:rPr>
        <w:t xml:space="preserve"> – dans le Code de la faillite - </w:t>
      </w:r>
      <w:r w:rsidRPr="003514D4">
        <w:rPr>
          <w:rFonts w:ascii="Times New Roman" w:hAnsi="Times New Roman"/>
          <w:sz w:val="24"/>
        </w:rPr>
        <w:t>la règle de priorité absolue</w:t>
      </w:r>
      <w:r w:rsidR="00CF01DE">
        <w:rPr>
          <w:rFonts w:ascii="Times New Roman" w:hAnsi="Times New Roman"/>
          <w:sz w:val="24"/>
        </w:rPr>
        <w:t>,</w:t>
      </w:r>
      <w:r w:rsidRPr="003514D4">
        <w:rPr>
          <w:rFonts w:ascii="Times New Roman" w:hAnsi="Times New Roman"/>
          <w:sz w:val="24"/>
        </w:rPr>
        <w:t xml:space="preserve"> a été</w:t>
      </w:r>
      <w:r w:rsidR="00CF01DE">
        <w:rPr>
          <w:rFonts w:ascii="Times New Roman" w:hAnsi="Times New Roman"/>
          <w:sz w:val="24"/>
        </w:rPr>
        <w:t xml:space="preserve"> de donner aux parties un outil souple – plus qu’une règle totalement absolue. Le but n’était pas</w:t>
      </w:r>
      <w:r w:rsidRPr="003514D4">
        <w:rPr>
          <w:rFonts w:ascii="Times New Roman" w:hAnsi="Times New Roman"/>
          <w:sz w:val="24"/>
        </w:rPr>
        <w:t xml:space="preserve"> de supprimer ce principe de droit commun existant depuis fort longtemps</w:t>
      </w:r>
      <w:r w:rsidR="00CF01DE">
        <w:rPr>
          <w:rFonts w:ascii="Times New Roman" w:hAnsi="Times New Roman"/>
          <w:sz w:val="24"/>
        </w:rPr>
        <w:t xml:space="preserve"> mais, au contraire, d’essayer de donner à ce concept par définition général une application concrète</w:t>
      </w:r>
      <w:r w:rsidRPr="003514D4">
        <w:rPr>
          <w:rFonts w:ascii="Times New Roman" w:hAnsi="Times New Roman"/>
          <w:sz w:val="24"/>
        </w:rPr>
        <w:t>.</w:t>
      </w:r>
    </w:p>
    <w:p w:rsidR="00C600AA" w:rsidRDefault="00C600AA" w:rsidP="00C600AA">
      <w:pPr>
        <w:pStyle w:val="Paragraphedeliste"/>
        <w:spacing w:line="240" w:lineRule="auto"/>
        <w:ind w:left="786"/>
        <w:rPr>
          <w:rFonts w:ascii="Times New Roman" w:hAnsi="Times New Roman"/>
          <w:sz w:val="24"/>
        </w:rPr>
      </w:pPr>
    </w:p>
    <w:p w:rsidR="00CF01DE" w:rsidRDefault="00CF01DE" w:rsidP="00C600AA">
      <w:pPr>
        <w:pStyle w:val="Paragraphedeliste"/>
        <w:spacing w:line="240" w:lineRule="auto"/>
        <w:ind w:left="786"/>
        <w:rPr>
          <w:rFonts w:ascii="Times New Roman" w:hAnsi="Times New Roman"/>
          <w:sz w:val="24"/>
        </w:rPr>
      </w:pPr>
      <w:r>
        <w:rPr>
          <w:rFonts w:ascii="Times New Roman" w:hAnsi="Times New Roman"/>
          <w:sz w:val="24"/>
        </w:rPr>
        <w:t>La notion « </w:t>
      </w:r>
      <w:r>
        <w:rPr>
          <w:rFonts w:ascii="Times New Roman" w:hAnsi="Times New Roman"/>
          <w:i/>
          <w:sz w:val="24"/>
        </w:rPr>
        <w:t>Fair &amp; equitable</w:t>
      </w:r>
      <w:r>
        <w:rPr>
          <w:rFonts w:ascii="Times New Roman" w:hAnsi="Times New Roman"/>
          <w:sz w:val="24"/>
        </w:rPr>
        <w:t> »</w:t>
      </w:r>
      <w:r w:rsidR="00C600AA">
        <w:rPr>
          <w:rFonts w:ascii="Times New Roman" w:hAnsi="Times New Roman"/>
          <w:sz w:val="24"/>
        </w:rPr>
        <w:t xml:space="preserve"> n’est pas défini</w:t>
      </w:r>
      <w:r>
        <w:rPr>
          <w:rFonts w:ascii="Times New Roman" w:hAnsi="Times New Roman"/>
          <w:sz w:val="24"/>
        </w:rPr>
        <w:t>e</w:t>
      </w:r>
      <w:r w:rsidR="00C600AA">
        <w:rPr>
          <w:rFonts w:ascii="Times New Roman" w:hAnsi="Times New Roman"/>
          <w:sz w:val="24"/>
        </w:rPr>
        <w:t xml:space="preserve"> au sens strict par le Code </w:t>
      </w:r>
      <w:r w:rsidR="00C600AA">
        <w:rPr>
          <w:rStyle w:val="Appelnotedebasdep"/>
          <w:rFonts w:ascii="Times New Roman" w:hAnsi="Times New Roman"/>
          <w:sz w:val="24"/>
        </w:rPr>
        <w:footnoteReference w:id="283"/>
      </w:r>
      <w:r w:rsidR="00C600AA">
        <w:rPr>
          <w:rFonts w:ascii="Times New Roman" w:hAnsi="Times New Roman"/>
          <w:sz w:val="24"/>
        </w:rPr>
        <w:t xml:space="preserve">. </w:t>
      </w:r>
      <w:r>
        <w:rPr>
          <w:rFonts w:ascii="Times New Roman" w:hAnsi="Times New Roman"/>
          <w:sz w:val="24"/>
        </w:rPr>
        <w:t>La</w:t>
      </w:r>
      <w:r w:rsidR="00C600AA">
        <w:rPr>
          <w:rFonts w:ascii="Times New Roman" w:hAnsi="Times New Roman"/>
          <w:sz w:val="24"/>
        </w:rPr>
        <w:t xml:space="preserve"> règle de priorité absolue est le minimum </w:t>
      </w:r>
      <w:r>
        <w:rPr>
          <w:rFonts w:ascii="Times New Roman" w:hAnsi="Times New Roman"/>
          <w:sz w:val="24"/>
        </w:rPr>
        <w:t>d’un traitement « </w:t>
      </w:r>
      <w:r>
        <w:rPr>
          <w:rFonts w:ascii="Times New Roman" w:hAnsi="Times New Roman"/>
          <w:i/>
          <w:sz w:val="24"/>
        </w:rPr>
        <w:t>Fair &amp; equitable »</w:t>
      </w:r>
      <w:r>
        <w:rPr>
          <w:rFonts w:ascii="Times New Roman" w:hAnsi="Times New Roman"/>
          <w:sz w:val="24"/>
        </w:rPr>
        <w:t xml:space="preserve"> mais n’est pas la seule règle</w:t>
      </w:r>
      <w:r w:rsidR="00C600AA">
        <w:rPr>
          <w:rFonts w:ascii="Times New Roman" w:hAnsi="Times New Roman"/>
          <w:sz w:val="24"/>
        </w:rPr>
        <w:t>. La priorité absolue n’est en effet pas la preuve que le traitement soit nécessairement «</w:t>
      </w:r>
      <w:r w:rsidR="00C600AA" w:rsidRPr="00F54664">
        <w:rPr>
          <w:rFonts w:ascii="Times New Roman" w:hAnsi="Times New Roman"/>
          <w:i/>
          <w:sz w:val="24"/>
        </w:rPr>
        <w:t> Fair et equitable </w:t>
      </w:r>
      <w:r w:rsidR="00C600AA">
        <w:rPr>
          <w:rFonts w:ascii="Times New Roman" w:hAnsi="Times New Roman"/>
          <w:sz w:val="24"/>
        </w:rPr>
        <w:t>»</w:t>
      </w:r>
      <w:r>
        <w:rPr>
          <w:rFonts w:ascii="Times New Roman" w:hAnsi="Times New Roman"/>
          <w:sz w:val="24"/>
        </w:rPr>
        <w:t>.</w:t>
      </w:r>
    </w:p>
    <w:p w:rsidR="00CF01DE" w:rsidRDefault="00CF01DE" w:rsidP="00C600AA">
      <w:pPr>
        <w:pStyle w:val="Paragraphedeliste"/>
        <w:spacing w:line="240" w:lineRule="auto"/>
        <w:ind w:left="786"/>
        <w:rPr>
          <w:rFonts w:ascii="Times New Roman" w:hAnsi="Times New Roman"/>
          <w:sz w:val="24"/>
        </w:rPr>
      </w:pPr>
    </w:p>
    <w:p w:rsidR="00C600AA" w:rsidRDefault="00C600AA" w:rsidP="00C600AA">
      <w:pPr>
        <w:pStyle w:val="Paragraphedeliste"/>
        <w:spacing w:line="240" w:lineRule="auto"/>
        <w:ind w:left="786"/>
        <w:rPr>
          <w:rFonts w:ascii="Times New Roman" w:hAnsi="Times New Roman"/>
          <w:sz w:val="24"/>
        </w:rPr>
      </w:pPr>
      <w:r>
        <w:rPr>
          <w:rFonts w:ascii="Times New Roman" w:hAnsi="Times New Roman"/>
          <w:sz w:val="24"/>
        </w:rPr>
        <w:lastRenderedPageBreak/>
        <w:t xml:space="preserve">Les juges ont </w:t>
      </w:r>
      <w:r w:rsidR="00CF01DE">
        <w:rPr>
          <w:rFonts w:ascii="Times New Roman" w:hAnsi="Times New Roman"/>
          <w:sz w:val="24"/>
        </w:rPr>
        <w:t xml:space="preserve">donc essayer de </w:t>
      </w:r>
      <w:r>
        <w:rPr>
          <w:rFonts w:ascii="Times New Roman" w:hAnsi="Times New Roman"/>
          <w:sz w:val="24"/>
        </w:rPr>
        <w:t>dégag</w:t>
      </w:r>
      <w:r w:rsidR="00CF01DE">
        <w:rPr>
          <w:rFonts w:ascii="Times New Roman" w:hAnsi="Times New Roman"/>
          <w:sz w:val="24"/>
        </w:rPr>
        <w:t>er</w:t>
      </w:r>
      <w:r>
        <w:rPr>
          <w:rFonts w:ascii="Times New Roman" w:hAnsi="Times New Roman"/>
          <w:sz w:val="24"/>
        </w:rPr>
        <w:t xml:space="preserve"> des critères concrets</w:t>
      </w:r>
      <w:r>
        <w:rPr>
          <w:rStyle w:val="Appelnotedebasdep"/>
          <w:rFonts w:ascii="Times New Roman" w:hAnsi="Times New Roman"/>
          <w:sz w:val="24"/>
        </w:rPr>
        <w:footnoteReference w:id="284"/>
      </w:r>
      <w:r>
        <w:rPr>
          <w:rFonts w:ascii="Times New Roman" w:hAnsi="Times New Roman"/>
          <w:sz w:val="24"/>
        </w:rPr>
        <w:t>.</w:t>
      </w:r>
    </w:p>
    <w:p w:rsidR="00C600AA" w:rsidRDefault="00C600AA" w:rsidP="00C600AA">
      <w:pPr>
        <w:pStyle w:val="Paragraphedeliste"/>
        <w:spacing w:line="240" w:lineRule="auto"/>
        <w:ind w:left="786"/>
        <w:rPr>
          <w:rFonts w:ascii="Times New Roman" w:hAnsi="Times New Roman"/>
          <w:sz w:val="24"/>
        </w:rPr>
      </w:pPr>
    </w:p>
    <w:p w:rsidR="0071275D" w:rsidRDefault="00C600AA" w:rsidP="00C600AA">
      <w:pPr>
        <w:pStyle w:val="Paragraphedeliste"/>
        <w:spacing w:line="240" w:lineRule="auto"/>
        <w:ind w:left="786"/>
        <w:rPr>
          <w:rFonts w:ascii="Times New Roman" w:hAnsi="Times New Roman"/>
          <w:sz w:val="24"/>
        </w:rPr>
      </w:pPr>
      <w:r>
        <w:rPr>
          <w:rFonts w:ascii="Times New Roman" w:hAnsi="Times New Roman"/>
          <w:sz w:val="24"/>
        </w:rPr>
        <w:t>Si la classe des créanciers sécurisés ne vote pas le plan,</w:t>
      </w:r>
      <w:r w:rsidR="00CF01DE">
        <w:rPr>
          <w:rFonts w:ascii="Times New Roman" w:hAnsi="Times New Roman"/>
          <w:sz w:val="24"/>
        </w:rPr>
        <w:t xml:space="preserve"> par exemple,</w:t>
      </w:r>
      <w:r>
        <w:rPr>
          <w:rFonts w:ascii="Times New Roman" w:hAnsi="Times New Roman"/>
          <w:sz w:val="24"/>
        </w:rPr>
        <w:t xml:space="preserve"> la </w:t>
      </w:r>
      <w:r w:rsidR="00CF01DE">
        <w:rPr>
          <w:rFonts w:ascii="Times New Roman" w:hAnsi="Times New Roman"/>
          <w:sz w:val="24"/>
        </w:rPr>
        <w:t>C</w:t>
      </w:r>
      <w:r>
        <w:rPr>
          <w:rFonts w:ascii="Times New Roman" w:hAnsi="Times New Roman"/>
          <w:sz w:val="24"/>
        </w:rPr>
        <w:t xml:space="preserve">our peut quand même le leur imposer si le plan ne crée pas de discrimination et s’il est </w:t>
      </w:r>
      <w:r w:rsidRPr="007C17D3">
        <w:rPr>
          <w:rFonts w:ascii="Times New Roman" w:hAnsi="Times New Roman"/>
          <w:i/>
          <w:sz w:val="24"/>
        </w:rPr>
        <w:t>Fair</w:t>
      </w:r>
      <w:r>
        <w:rPr>
          <w:rFonts w:ascii="Times New Roman" w:hAnsi="Times New Roman"/>
          <w:sz w:val="24"/>
        </w:rPr>
        <w:t xml:space="preserve"> </w:t>
      </w:r>
      <w:r w:rsidRPr="00F54664">
        <w:rPr>
          <w:rFonts w:ascii="Times New Roman" w:hAnsi="Times New Roman"/>
          <w:sz w:val="24"/>
        </w:rPr>
        <w:t>et</w:t>
      </w:r>
      <w:r w:rsidRPr="00F54664">
        <w:rPr>
          <w:rFonts w:ascii="Times New Roman" w:hAnsi="Times New Roman"/>
          <w:i/>
          <w:sz w:val="24"/>
        </w:rPr>
        <w:t xml:space="preserve"> equitable</w:t>
      </w:r>
      <w:r>
        <w:rPr>
          <w:rFonts w:ascii="Times New Roman" w:hAnsi="Times New Roman"/>
          <w:sz w:val="24"/>
        </w:rPr>
        <w:t xml:space="preserve"> par rapport à chacun qui ne l’accepte pas si, premier cas,</w:t>
      </w:r>
      <w:r>
        <w:rPr>
          <w:rStyle w:val="Appelnotedebasdep"/>
          <w:rFonts w:ascii="Times New Roman" w:hAnsi="Times New Roman"/>
          <w:sz w:val="24"/>
        </w:rPr>
        <w:footnoteReference w:id="285"/>
      </w:r>
      <w:r>
        <w:rPr>
          <w:rFonts w:ascii="Times New Roman" w:hAnsi="Times New Roman"/>
          <w:sz w:val="24"/>
        </w:rPr>
        <w:t xml:space="preserve"> </w:t>
      </w:r>
      <w:r w:rsidR="00CF01DE">
        <w:rPr>
          <w:rFonts w:ascii="Times New Roman" w:hAnsi="Times New Roman"/>
          <w:sz w:val="24"/>
        </w:rPr>
        <w:t>le créancier sécurisé</w:t>
      </w:r>
      <w:r>
        <w:rPr>
          <w:rFonts w:ascii="Times New Roman" w:hAnsi="Times New Roman"/>
          <w:sz w:val="24"/>
        </w:rPr>
        <w:t xml:space="preserve"> conserve ses </w:t>
      </w:r>
      <w:r w:rsidR="00CF01DE">
        <w:rPr>
          <w:rFonts w:ascii="Times New Roman" w:hAnsi="Times New Roman"/>
          <w:sz w:val="24"/>
        </w:rPr>
        <w:t>« </w:t>
      </w:r>
      <w:r w:rsidRPr="00CF01DE">
        <w:rPr>
          <w:rFonts w:ascii="Times New Roman" w:hAnsi="Times New Roman"/>
          <w:i/>
          <w:sz w:val="24"/>
        </w:rPr>
        <w:t>intérêt</w:t>
      </w:r>
      <w:r w:rsidR="00CF01DE">
        <w:rPr>
          <w:rFonts w:ascii="Times New Roman" w:hAnsi="Times New Roman"/>
          <w:sz w:val="24"/>
        </w:rPr>
        <w:t> »</w:t>
      </w:r>
      <w:r>
        <w:rPr>
          <w:rFonts w:ascii="Times New Roman" w:hAnsi="Times New Roman"/>
          <w:sz w:val="24"/>
        </w:rPr>
        <w:t>s sur sa sureté et reçoit en cash la valeur actuelle de celle-ci (par exemple parce que la propriété lui est cédée)</w:t>
      </w:r>
      <w:r>
        <w:rPr>
          <w:rStyle w:val="Appelnotedebasdep"/>
          <w:rFonts w:ascii="Times New Roman" w:hAnsi="Times New Roman"/>
          <w:sz w:val="24"/>
        </w:rPr>
        <w:footnoteReference w:id="286"/>
      </w:r>
      <w:r>
        <w:rPr>
          <w:rFonts w:ascii="Times New Roman" w:hAnsi="Times New Roman"/>
          <w:sz w:val="24"/>
        </w:rPr>
        <w:t xml:space="preserve"> ou si, second cas</w:t>
      </w:r>
      <w:r>
        <w:rPr>
          <w:rStyle w:val="Appelnotedebasdep"/>
          <w:rFonts w:ascii="Times New Roman" w:hAnsi="Times New Roman"/>
          <w:sz w:val="24"/>
        </w:rPr>
        <w:footnoteReference w:id="287"/>
      </w:r>
      <w:r>
        <w:rPr>
          <w:rFonts w:ascii="Times New Roman" w:hAnsi="Times New Roman"/>
          <w:sz w:val="24"/>
        </w:rPr>
        <w:t>, le plan accorde la vente libre de sureté du bien à une tierce partie ou si la preuve</w:t>
      </w:r>
      <w:r>
        <w:rPr>
          <w:rStyle w:val="Appelnotedebasdep"/>
          <w:rFonts w:ascii="Times New Roman" w:hAnsi="Times New Roman"/>
          <w:sz w:val="24"/>
        </w:rPr>
        <w:footnoteReference w:id="288"/>
      </w:r>
      <w:r>
        <w:rPr>
          <w:rFonts w:ascii="Times New Roman" w:hAnsi="Times New Roman"/>
          <w:sz w:val="24"/>
        </w:rPr>
        <w:t xml:space="preserve"> que le paiement fait est indubitablement équivalent. </w:t>
      </w:r>
    </w:p>
    <w:p w:rsidR="0071275D" w:rsidRDefault="0071275D" w:rsidP="00C600AA">
      <w:pPr>
        <w:pStyle w:val="Paragraphedeliste"/>
        <w:spacing w:line="240" w:lineRule="auto"/>
        <w:ind w:left="786"/>
        <w:rPr>
          <w:rFonts w:ascii="Times New Roman" w:hAnsi="Times New Roman"/>
          <w:sz w:val="24"/>
        </w:rPr>
      </w:pPr>
    </w:p>
    <w:p w:rsidR="0071275D" w:rsidRDefault="0071275D" w:rsidP="00C600AA">
      <w:pPr>
        <w:pStyle w:val="Paragraphedeliste"/>
        <w:spacing w:line="240" w:lineRule="auto"/>
        <w:ind w:left="786"/>
        <w:rPr>
          <w:rFonts w:ascii="Times New Roman" w:hAnsi="Times New Roman"/>
          <w:sz w:val="24"/>
        </w:rPr>
      </w:pPr>
      <w:r>
        <w:rPr>
          <w:rFonts w:ascii="Times New Roman" w:hAnsi="Times New Roman"/>
          <w:sz w:val="24"/>
        </w:rPr>
        <w:t>La Cour S</w:t>
      </w:r>
      <w:r w:rsidR="00C600AA">
        <w:rPr>
          <w:rFonts w:ascii="Times New Roman" w:hAnsi="Times New Roman"/>
          <w:sz w:val="24"/>
        </w:rPr>
        <w:t xml:space="preserve">uprême vient d’interpréter </w:t>
      </w:r>
      <w:r>
        <w:rPr>
          <w:rFonts w:ascii="Times New Roman" w:hAnsi="Times New Roman"/>
          <w:sz w:val="24"/>
        </w:rPr>
        <w:t xml:space="preserve">cette notion </w:t>
      </w:r>
      <w:r w:rsidR="00C600AA">
        <w:rPr>
          <w:rFonts w:ascii="Times New Roman" w:hAnsi="Times New Roman"/>
          <w:sz w:val="24"/>
        </w:rPr>
        <w:t>de manière plus libérale</w:t>
      </w:r>
      <w:r w:rsidR="00C600AA">
        <w:rPr>
          <w:rStyle w:val="Appelnotedebasdep"/>
          <w:rFonts w:ascii="Times New Roman" w:hAnsi="Times New Roman"/>
          <w:sz w:val="24"/>
        </w:rPr>
        <w:footnoteReference w:id="289"/>
      </w:r>
      <w:r w:rsidR="00C600AA">
        <w:rPr>
          <w:rFonts w:ascii="Times New Roman" w:hAnsi="Times New Roman"/>
          <w:sz w:val="24"/>
        </w:rPr>
        <w:t xml:space="preserve">. </w:t>
      </w:r>
    </w:p>
    <w:p w:rsidR="0071275D" w:rsidRDefault="0071275D" w:rsidP="00C600AA">
      <w:pPr>
        <w:pStyle w:val="Paragraphedeliste"/>
        <w:spacing w:line="240" w:lineRule="auto"/>
        <w:ind w:left="786"/>
        <w:rPr>
          <w:rFonts w:ascii="Times New Roman" w:hAnsi="Times New Roman"/>
          <w:sz w:val="24"/>
        </w:rPr>
      </w:pPr>
    </w:p>
    <w:p w:rsidR="00C600AA" w:rsidRDefault="00C600AA" w:rsidP="00C600AA">
      <w:pPr>
        <w:pStyle w:val="Paragraphedeliste"/>
        <w:spacing w:line="240" w:lineRule="auto"/>
        <w:ind w:left="786"/>
        <w:rPr>
          <w:rFonts w:ascii="Times New Roman" w:hAnsi="Times New Roman"/>
          <w:sz w:val="24"/>
        </w:rPr>
      </w:pPr>
      <w:r>
        <w:rPr>
          <w:rFonts w:ascii="Times New Roman" w:hAnsi="Times New Roman"/>
          <w:sz w:val="24"/>
        </w:rPr>
        <w:t>Cette appréciation se fait aussi au regard de la durée des remboursement</w:t>
      </w:r>
      <w:r w:rsidR="0071275D">
        <w:rPr>
          <w:rFonts w:ascii="Times New Roman" w:hAnsi="Times New Roman"/>
          <w:sz w:val="24"/>
        </w:rPr>
        <w:t xml:space="preserve"> </w:t>
      </w:r>
      <w:r>
        <w:rPr>
          <w:rFonts w:ascii="Times New Roman" w:hAnsi="Times New Roman"/>
          <w:sz w:val="24"/>
        </w:rPr>
        <w:t>- en général de 5 à 7 ans</w:t>
      </w:r>
      <w:r w:rsidR="0071275D">
        <w:rPr>
          <w:rFonts w:ascii="Times New Roman" w:hAnsi="Times New Roman"/>
          <w:sz w:val="24"/>
        </w:rPr>
        <w:t xml:space="preserve"> </w:t>
      </w:r>
      <w:r>
        <w:rPr>
          <w:rFonts w:ascii="Times New Roman" w:hAnsi="Times New Roman"/>
          <w:sz w:val="24"/>
        </w:rPr>
        <w:t>- mais parfois, en fonction des circonstances, sur des périodes plus longues</w:t>
      </w:r>
      <w:r w:rsidR="0071275D">
        <w:rPr>
          <w:rFonts w:ascii="Times New Roman" w:hAnsi="Times New Roman"/>
          <w:sz w:val="24"/>
        </w:rPr>
        <w:t>,</w:t>
      </w:r>
      <w:r>
        <w:rPr>
          <w:rFonts w:ascii="Times New Roman" w:hAnsi="Times New Roman"/>
          <w:sz w:val="24"/>
        </w:rPr>
        <w:t xml:space="preserve"> parfois 10 ans</w:t>
      </w:r>
      <w:r>
        <w:rPr>
          <w:rStyle w:val="Appelnotedebasdep"/>
          <w:rFonts w:ascii="Times New Roman" w:hAnsi="Times New Roman"/>
          <w:sz w:val="24"/>
        </w:rPr>
        <w:footnoteReference w:id="290"/>
      </w:r>
      <w:r w:rsidR="0071275D">
        <w:rPr>
          <w:rFonts w:ascii="Times New Roman" w:hAnsi="Times New Roman"/>
          <w:sz w:val="24"/>
        </w:rPr>
        <w:t>,</w:t>
      </w:r>
      <w:r>
        <w:rPr>
          <w:rFonts w:ascii="Times New Roman" w:hAnsi="Times New Roman"/>
          <w:sz w:val="24"/>
        </w:rPr>
        <w:t xml:space="preserve">  parfois plus comme 30 ans</w:t>
      </w:r>
      <w:r>
        <w:rPr>
          <w:rStyle w:val="Appelnotedebasdep"/>
          <w:rFonts w:ascii="Times New Roman" w:hAnsi="Times New Roman"/>
          <w:sz w:val="24"/>
        </w:rPr>
        <w:footnoteReference w:id="291"/>
      </w:r>
      <w:r>
        <w:rPr>
          <w:rFonts w:ascii="Times New Roman" w:hAnsi="Times New Roman"/>
          <w:sz w:val="24"/>
        </w:rPr>
        <w:t xml:space="preserve"> en augmentant alors la valeur pour tenir compte des délais de paiement et enfin</w:t>
      </w:r>
      <w:r w:rsidR="0071275D">
        <w:rPr>
          <w:rFonts w:ascii="Times New Roman" w:hAnsi="Times New Roman"/>
          <w:sz w:val="24"/>
        </w:rPr>
        <w:t>,</w:t>
      </w:r>
      <w:r>
        <w:rPr>
          <w:rFonts w:ascii="Times New Roman" w:hAnsi="Times New Roman"/>
          <w:sz w:val="24"/>
        </w:rPr>
        <w:t xml:space="preserve"> troisième cas</w:t>
      </w:r>
      <w:r>
        <w:rPr>
          <w:rStyle w:val="Appelnotedebasdep"/>
          <w:rFonts w:ascii="Times New Roman" w:hAnsi="Times New Roman"/>
          <w:sz w:val="24"/>
        </w:rPr>
        <w:footnoteReference w:id="292"/>
      </w:r>
      <w:r w:rsidR="0071275D">
        <w:rPr>
          <w:rFonts w:ascii="Times New Roman" w:hAnsi="Times New Roman"/>
          <w:sz w:val="24"/>
        </w:rPr>
        <w:t>,</w:t>
      </w:r>
      <w:r>
        <w:rPr>
          <w:rFonts w:ascii="Times New Roman" w:hAnsi="Times New Roman"/>
          <w:sz w:val="24"/>
        </w:rPr>
        <w:t xml:space="preserve"> si </w:t>
      </w:r>
      <w:r w:rsidR="0071275D">
        <w:rPr>
          <w:rFonts w:ascii="Times New Roman" w:hAnsi="Times New Roman"/>
          <w:sz w:val="24"/>
        </w:rPr>
        <w:t>la proposition faite dans le</w:t>
      </w:r>
      <w:r>
        <w:rPr>
          <w:rFonts w:ascii="Times New Roman" w:hAnsi="Times New Roman"/>
          <w:sz w:val="24"/>
        </w:rPr>
        <w:t xml:space="preserve"> plan est « </w:t>
      </w:r>
      <w:r w:rsidRPr="0071275D">
        <w:rPr>
          <w:rFonts w:ascii="Times New Roman" w:hAnsi="Times New Roman"/>
          <w:i/>
          <w:sz w:val="24"/>
        </w:rPr>
        <w:t>indubitablement équivalente</w:t>
      </w:r>
      <w:r>
        <w:rPr>
          <w:rFonts w:ascii="Times New Roman" w:hAnsi="Times New Roman"/>
          <w:sz w:val="24"/>
        </w:rPr>
        <w:t> », terme non défini qui laisse au juge une gra</w:t>
      </w:r>
      <w:r w:rsidR="0071275D">
        <w:rPr>
          <w:rFonts w:ascii="Times New Roman" w:hAnsi="Times New Roman"/>
          <w:sz w:val="24"/>
        </w:rPr>
        <w:t xml:space="preserve">nde flexibilité au cas par cas. </w:t>
      </w:r>
      <w:r>
        <w:rPr>
          <w:rFonts w:ascii="Times New Roman" w:hAnsi="Times New Roman"/>
          <w:sz w:val="24"/>
        </w:rPr>
        <w:t>Dans ce dernier cas, certaines juridictions utilisent la valeur de liquidation ou des valeurs intermédiaires pour fonder leur jugement</w:t>
      </w:r>
      <w:r>
        <w:rPr>
          <w:rStyle w:val="Appelnotedebasdep"/>
          <w:rFonts w:ascii="Times New Roman" w:hAnsi="Times New Roman"/>
          <w:sz w:val="24"/>
        </w:rPr>
        <w:footnoteReference w:id="293"/>
      </w:r>
      <w:r>
        <w:rPr>
          <w:rFonts w:ascii="Times New Roman" w:hAnsi="Times New Roman"/>
          <w:sz w:val="24"/>
        </w:rPr>
        <w:t>.</w:t>
      </w:r>
    </w:p>
    <w:p w:rsidR="00C600AA" w:rsidRDefault="00C600AA" w:rsidP="00C600AA">
      <w:pPr>
        <w:pStyle w:val="Paragraphedeliste"/>
        <w:spacing w:line="240" w:lineRule="auto"/>
        <w:ind w:left="786"/>
        <w:rPr>
          <w:rFonts w:ascii="Times New Roman" w:hAnsi="Times New Roman"/>
          <w:sz w:val="24"/>
        </w:rPr>
      </w:pPr>
    </w:p>
    <w:p w:rsidR="00C600AA" w:rsidRDefault="00C600AA" w:rsidP="00C600AA">
      <w:pPr>
        <w:pStyle w:val="Paragraphedeliste"/>
        <w:spacing w:line="240" w:lineRule="auto"/>
        <w:ind w:left="786"/>
        <w:rPr>
          <w:rFonts w:ascii="Times New Roman" w:hAnsi="Times New Roman"/>
          <w:sz w:val="24"/>
        </w:rPr>
      </w:pPr>
      <w:r>
        <w:rPr>
          <w:rFonts w:ascii="Times New Roman" w:hAnsi="Times New Roman"/>
          <w:sz w:val="24"/>
        </w:rPr>
        <w:t xml:space="preserve">Si le plan n’est pas adopté par </w:t>
      </w:r>
      <w:r w:rsidR="0071275D">
        <w:rPr>
          <w:rFonts w:ascii="Times New Roman" w:hAnsi="Times New Roman"/>
          <w:sz w:val="24"/>
        </w:rPr>
        <w:t>une classe non-garantie</w:t>
      </w:r>
      <w:r>
        <w:rPr>
          <w:rFonts w:ascii="Times New Roman" w:hAnsi="Times New Roman"/>
          <w:sz w:val="24"/>
        </w:rPr>
        <w:t xml:space="preserve">, la </w:t>
      </w:r>
      <w:r w:rsidR="0071275D">
        <w:rPr>
          <w:rFonts w:ascii="Times New Roman" w:hAnsi="Times New Roman"/>
          <w:sz w:val="24"/>
        </w:rPr>
        <w:t>C</w:t>
      </w:r>
      <w:r>
        <w:rPr>
          <w:rFonts w:ascii="Times New Roman" w:hAnsi="Times New Roman"/>
          <w:sz w:val="24"/>
        </w:rPr>
        <w:t>our peut de même traiter la situation au départ du critère du « </w:t>
      </w:r>
      <w:r w:rsidRPr="007C17D3">
        <w:rPr>
          <w:rFonts w:ascii="Times New Roman" w:hAnsi="Times New Roman"/>
          <w:i/>
          <w:sz w:val="24"/>
        </w:rPr>
        <w:t>Fair</w:t>
      </w:r>
      <w:r>
        <w:rPr>
          <w:rFonts w:ascii="Times New Roman" w:hAnsi="Times New Roman"/>
          <w:sz w:val="24"/>
        </w:rPr>
        <w:t xml:space="preserve"> </w:t>
      </w:r>
      <w:r w:rsidR="0071275D">
        <w:rPr>
          <w:rFonts w:ascii="Times New Roman" w:hAnsi="Times New Roman"/>
          <w:sz w:val="24"/>
        </w:rPr>
        <w:t>&amp;</w:t>
      </w:r>
      <w:r>
        <w:rPr>
          <w:rFonts w:ascii="Times New Roman" w:hAnsi="Times New Roman"/>
          <w:sz w:val="24"/>
        </w:rPr>
        <w:t xml:space="preserve"> </w:t>
      </w:r>
      <w:r w:rsidRPr="00F44831">
        <w:rPr>
          <w:rFonts w:ascii="Times New Roman" w:hAnsi="Times New Roman"/>
          <w:i/>
          <w:sz w:val="24"/>
        </w:rPr>
        <w:t>equitable</w:t>
      </w:r>
      <w:r>
        <w:rPr>
          <w:rFonts w:ascii="Times New Roman" w:hAnsi="Times New Roman"/>
          <w:sz w:val="24"/>
        </w:rPr>
        <w:t> »</w:t>
      </w:r>
      <w:r w:rsidR="0071275D">
        <w:rPr>
          <w:rFonts w:ascii="Times New Roman" w:hAnsi="Times New Roman"/>
          <w:sz w:val="24"/>
        </w:rPr>
        <w:t>.</w:t>
      </w:r>
      <w:r>
        <w:rPr>
          <w:rFonts w:ascii="Times New Roman" w:hAnsi="Times New Roman"/>
          <w:sz w:val="24"/>
        </w:rPr>
        <w:t xml:space="preserve"> Premièrement </w:t>
      </w:r>
      <w:r>
        <w:rPr>
          <w:rStyle w:val="Appelnotedebasdep"/>
          <w:rFonts w:ascii="Times New Roman" w:hAnsi="Times New Roman"/>
          <w:sz w:val="24"/>
        </w:rPr>
        <w:footnoteReference w:id="294"/>
      </w:r>
      <w:r>
        <w:rPr>
          <w:rFonts w:ascii="Times New Roman" w:hAnsi="Times New Roman"/>
          <w:sz w:val="24"/>
        </w:rPr>
        <w:t xml:space="preserve"> si la classe de  créanciers récalcitrants reçoit un paiement (en cash, en bien ou en actions) égal à sa créance et</w:t>
      </w:r>
      <w:r w:rsidR="0071275D">
        <w:rPr>
          <w:rFonts w:ascii="Times New Roman" w:hAnsi="Times New Roman"/>
          <w:sz w:val="24"/>
        </w:rPr>
        <w:t>,</w:t>
      </w:r>
      <w:r>
        <w:rPr>
          <w:rFonts w:ascii="Times New Roman" w:hAnsi="Times New Roman"/>
          <w:sz w:val="24"/>
        </w:rPr>
        <w:t xml:space="preserve"> deuxièmement </w:t>
      </w:r>
      <w:r>
        <w:rPr>
          <w:rStyle w:val="Appelnotedebasdep"/>
          <w:rFonts w:ascii="Times New Roman" w:hAnsi="Times New Roman"/>
          <w:sz w:val="24"/>
        </w:rPr>
        <w:footnoteReference w:id="295"/>
      </w:r>
      <w:r w:rsidR="0071275D">
        <w:rPr>
          <w:rFonts w:ascii="Times New Roman" w:hAnsi="Times New Roman"/>
          <w:sz w:val="24"/>
        </w:rPr>
        <w:t xml:space="preserve">, à l’opposé, </w:t>
      </w:r>
      <w:r>
        <w:rPr>
          <w:rFonts w:ascii="Times New Roman" w:hAnsi="Times New Roman"/>
          <w:sz w:val="24"/>
        </w:rPr>
        <w:t xml:space="preserve">si aucune classe </w:t>
      </w:r>
      <w:r w:rsidRPr="007C17D3">
        <w:rPr>
          <w:rFonts w:ascii="Times New Roman" w:hAnsi="Times New Roman"/>
          <w:i/>
          <w:sz w:val="24"/>
        </w:rPr>
        <w:t>unsecured</w:t>
      </w:r>
      <w:r w:rsidR="0071275D">
        <w:rPr>
          <w:rFonts w:ascii="Times New Roman" w:hAnsi="Times New Roman"/>
          <w:sz w:val="24"/>
        </w:rPr>
        <w:t xml:space="preserve"> ne reçoit un paiement</w:t>
      </w:r>
      <w:r>
        <w:rPr>
          <w:rFonts w:ascii="Times New Roman" w:hAnsi="Times New Roman"/>
          <w:sz w:val="24"/>
        </w:rPr>
        <w:t>66</w:t>
      </w:r>
      <w:r w:rsidR="0071275D">
        <w:rPr>
          <w:rFonts w:ascii="Times New Roman" w:hAnsi="Times New Roman"/>
          <w:sz w:val="24"/>
        </w:rPr>
        <w:t>.</w:t>
      </w:r>
      <w:r>
        <w:rPr>
          <w:rFonts w:ascii="Times New Roman" w:hAnsi="Times New Roman"/>
          <w:sz w:val="24"/>
        </w:rPr>
        <w:t xml:space="preserve"> </w:t>
      </w:r>
    </w:p>
    <w:p w:rsidR="00C600AA" w:rsidRDefault="00C600AA" w:rsidP="00C600AA">
      <w:pPr>
        <w:pStyle w:val="Paragraphedeliste"/>
        <w:spacing w:line="240" w:lineRule="auto"/>
        <w:ind w:left="786"/>
        <w:rPr>
          <w:rFonts w:ascii="Times New Roman" w:hAnsi="Times New Roman"/>
          <w:sz w:val="24"/>
        </w:rPr>
      </w:pPr>
    </w:p>
    <w:p w:rsidR="005601AE" w:rsidRDefault="00C600AA" w:rsidP="00C600AA">
      <w:pPr>
        <w:pStyle w:val="Paragraphedeliste"/>
        <w:spacing w:line="240" w:lineRule="auto"/>
        <w:ind w:left="786"/>
        <w:rPr>
          <w:rFonts w:ascii="Times New Roman" w:hAnsi="Times New Roman"/>
          <w:sz w:val="24"/>
        </w:rPr>
      </w:pPr>
      <w:r>
        <w:rPr>
          <w:rFonts w:ascii="Times New Roman" w:hAnsi="Times New Roman"/>
          <w:sz w:val="24"/>
        </w:rPr>
        <w:t xml:space="preserve">On se </w:t>
      </w:r>
      <w:r w:rsidR="0071275D">
        <w:rPr>
          <w:rFonts w:ascii="Times New Roman" w:hAnsi="Times New Roman"/>
          <w:sz w:val="24"/>
        </w:rPr>
        <w:t>réfèrera</w:t>
      </w:r>
      <w:r w:rsidR="005601AE">
        <w:rPr>
          <w:rFonts w:ascii="Times New Roman" w:hAnsi="Times New Roman"/>
          <w:sz w:val="24"/>
        </w:rPr>
        <w:t>, sur cette notion très importante,</w:t>
      </w:r>
      <w:r>
        <w:rPr>
          <w:rFonts w:ascii="Times New Roman" w:hAnsi="Times New Roman"/>
          <w:sz w:val="24"/>
        </w:rPr>
        <w:t xml:space="preserve"> à l’excellente contribution sur la jurisprudence récente de la Cour</w:t>
      </w:r>
      <w:r w:rsidR="005601AE">
        <w:rPr>
          <w:rFonts w:ascii="Times New Roman" w:hAnsi="Times New Roman"/>
          <w:sz w:val="24"/>
        </w:rPr>
        <w:t xml:space="preserve"> Suprême</w:t>
      </w:r>
      <w:r>
        <w:rPr>
          <w:rFonts w:ascii="Times New Roman" w:hAnsi="Times New Roman"/>
          <w:sz w:val="24"/>
        </w:rPr>
        <w:t xml:space="preserve"> sur cette exception</w:t>
      </w:r>
      <w:r>
        <w:rPr>
          <w:rStyle w:val="Appelnotedebasdep"/>
          <w:rFonts w:ascii="Times New Roman" w:hAnsi="Times New Roman"/>
          <w:sz w:val="24"/>
        </w:rPr>
        <w:footnoteReference w:id="296"/>
      </w:r>
      <w:r>
        <w:rPr>
          <w:rFonts w:ascii="Times New Roman" w:hAnsi="Times New Roman"/>
          <w:sz w:val="24"/>
        </w:rPr>
        <w:t xml:space="preserve"> </w:t>
      </w:r>
      <w:r w:rsidR="005601AE">
        <w:rPr>
          <w:rFonts w:ascii="Times New Roman" w:hAnsi="Times New Roman"/>
          <w:sz w:val="24"/>
        </w:rPr>
        <w:t xml:space="preserve">dans les arrêts </w:t>
      </w:r>
      <w:r>
        <w:rPr>
          <w:rFonts w:ascii="Times New Roman" w:hAnsi="Times New Roman"/>
          <w:sz w:val="24"/>
        </w:rPr>
        <w:t>RadLAX</w:t>
      </w:r>
      <w:r>
        <w:rPr>
          <w:rStyle w:val="Appelnotedebasdep"/>
          <w:rFonts w:ascii="Times New Roman" w:hAnsi="Times New Roman"/>
          <w:sz w:val="24"/>
        </w:rPr>
        <w:footnoteReference w:id="297"/>
      </w:r>
      <w:r>
        <w:rPr>
          <w:rFonts w:ascii="Times New Roman" w:hAnsi="Times New Roman"/>
          <w:sz w:val="24"/>
        </w:rPr>
        <w:t xml:space="preserve"> ou River East</w:t>
      </w:r>
      <w:r>
        <w:rPr>
          <w:rStyle w:val="Appelnotedebasdep"/>
          <w:rFonts w:ascii="Times New Roman" w:hAnsi="Times New Roman"/>
          <w:sz w:val="24"/>
        </w:rPr>
        <w:footnoteReference w:id="298"/>
      </w:r>
      <w:r>
        <w:rPr>
          <w:rFonts w:ascii="Times New Roman" w:hAnsi="Times New Roman"/>
          <w:sz w:val="24"/>
        </w:rPr>
        <w:t xml:space="preserve"> ou encore Pacific Lumber</w:t>
      </w:r>
      <w:r>
        <w:rPr>
          <w:rStyle w:val="Appelnotedebasdep"/>
          <w:rFonts w:ascii="Times New Roman" w:hAnsi="Times New Roman"/>
          <w:sz w:val="24"/>
        </w:rPr>
        <w:footnoteReference w:id="299"/>
      </w:r>
      <w:r>
        <w:rPr>
          <w:rFonts w:ascii="Times New Roman" w:hAnsi="Times New Roman"/>
          <w:sz w:val="24"/>
        </w:rPr>
        <w:t xml:space="preserve"> ou encore Philadelphia Newspaper</w:t>
      </w:r>
      <w:r>
        <w:rPr>
          <w:rStyle w:val="Appelnotedebasdep"/>
          <w:rFonts w:ascii="Times New Roman" w:hAnsi="Times New Roman"/>
          <w:sz w:val="24"/>
        </w:rPr>
        <w:footnoteReference w:id="300"/>
      </w:r>
      <w:r>
        <w:rPr>
          <w:rFonts w:ascii="Times New Roman" w:hAnsi="Times New Roman"/>
          <w:sz w:val="24"/>
        </w:rPr>
        <w:t xml:space="preserve"> pour analyser en détail </w:t>
      </w:r>
      <w:r w:rsidR="005601AE">
        <w:rPr>
          <w:rFonts w:ascii="Times New Roman" w:hAnsi="Times New Roman"/>
          <w:sz w:val="24"/>
        </w:rPr>
        <w:t>cette exception</w:t>
      </w:r>
      <w:r>
        <w:rPr>
          <w:rFonts w:ascii="Times New Roman" w:hAnsi="Times New Roman"/>
          <w:sz w:val="24"/>
        </w:rPr>
        <w:t xml:space="preserve">. </w:t>
      </w:r>
    </w:p>
    <w:p w:rsidR="005601AE" w:rsidRDefault="005601AE" w:rsidP="00C600AA">
      <w:pPr>
        <w:pStyle w:val="Paragraphedeliste"/>
        <w:spacing w:line="240" w:lineRule="auto"/>
        <w:ind w:left="786"/>
        <w:rPr>
          <w:rFonts w:ascii="Times New Roman" w:hAnsi="Times New Roman"/>
          <w:sz w:val="24"/>
        </w:rPr>
      </w:pPr>
    </w:p>
    <w:p w:rsidR="00C600AA" w:rsidRDefault="00C600AA" w:rsidP="00C600AA">
      <w:pPr>
        <w:pStyle w:val="Paragraphedeliste"/>
        <w:spacing w:line="240" w:lineRule="auto"/>
        <w:ind w:left="786"/>
        <w:rPr>
          <w:rFonts w:ascii="Times New Roman" w:hAnsi="Times New Roman"/>
          <w:sz w:val="24"/>
        </w:rPr>
      </w:pPr>
      <w:r>
        <w:rPr>
          <w:rFonts w:ascii="Times New Roman" w:hAnsi="Times New Roman"/>
          <w:sz w:val="24"/>
        </w:rPr>
        <w:t>La conclusion de l’</w:t>
      </w:r>
      <w:r w:rsidR="0071275D">
        <w:rPr>
          <w:rFonts w:ascii="Times New Roman" w:hAnsi="Times New Roman"/>
          <w:sz w:val="24"/>
        </w:rPr>
        <w:t>auteur</w:t>
      </w:r>
      <w:r>
        <w:rPr>
          <w:rFonts w:ascii="Times New Roman" w:hAnsi="Times New Roman"/>
          <w:sz w:val="24"/>
        </w:rPr>
        <w:t xml:space="preserve"> est</w:t>
      </w:r>
      <w:r w:rsidR="005601AE">
        <w:rPr>
          <w:rFonts w:ascii="Times New Roman" w:hAnsi="Times New Roman"/>
          <w:sz w:val="24"/>
        </w:rPr>
        <w:t xml:space="preserve"> que </w:t>
      </w:r>
      <w:r>
        <w:rPr>
          <w:rFonts w:ascii="Times New Roman" w:hAnsi="Times New Roman"/>
          <w:sz w:val="24"/>
        </w:rPr>
        <w:t>le droit de l’insolvabilité</w:t>
      </w:r>
      <w:r w:rsidR="005601AE">
        <w:rPr>
          <w:rFonts w:ascii="Times New Roman" w:hAnsi="Times New Roman"/>
          <w:sz w:val="24"/>
        </w:rPr>
        <w:t>,</w:t>
      </w:r>
      <w:r>
        <w:rPr>
          <w:rFonts w:ascii="Times New Roman" w:hAnsi="Times New Roman"/>
          <w:sz w:val="24"/>
        </w:rPr>
        <w:t xml:space="preserve"> y compris sur cette règle</w:t>
      </w:r>
      <w:r w:rsidR="005601AE">
        <w:rPr>
          <w:rFonts w:ascii="Times New Roman" w:hAnsi="Times New Roman"/>
          <w:sz w:val="24"/>
        </w:rPr>
        <w:t>,</w:t>
      </w:r>
      <w:r>
        <w:rPr>
          <w:rFonts w:ascii="Times New Roman" w:hAnsi="Times New Roman"/>
          <w:sz w:val="24"/>
        </w:rPr>
        <w:t xml:space="preserve"> d</w:t>
      </w:r>
      <w:r w:rsidR="005601AE">
        <w:rPr>
          <w:rFonts w:ascii="Times New Roman" w:hAnsi="Times New Roman"/>
          <w:sz w:val="24"/>
        </w:rPr>
        <w:t>o</w:t>
      </w:r>
      <w:r>
        <w:rPr>
          <w:rFonts w:ascii="Times New Roman" w:hAnsi="Times New Roman"/>
          <w:sz w:val="24"/>
        </w:rPr>
        <w:t xml:space="preserve">it s’adapter à la réalité sociale : si les créanciers sont légitimes </w:t>
      </w:r>
      <w:r w:rsidR="0071275D">
        <w:rPr>
          <w:rFonts w:ascii="Times New Roman" w:hAnsi="Times New Roman"/>
          <w:sz w:val="24"/>
        </w:rPr>
        <w:t>à</w:t>
      </w:r>
      <w:r>
        <w:rPr>
          <w:rFonts w:ascii="Times New Roman" w:hAnsi="Times New Roman"/>
          <w:sz w:val="24"/>
        </w:rPr>
        <w:t xml:space="preserve"> attendre un paiement </w:t>
      </w:r>
      <w:r>
        <w:rPr>
          <w:rFonts w:ascii="Times New Roman" w:hAnsi="Times New Roman"/>
          <w:sz w:val="24"/>
        </w:rPr>
        <w:lastRenderedPageBreak/>
        <w:t>complet, le droit de la faillite est une règle de distribution légitime des pertes en tenant compte des autres détenteurs d’intérêts</w:t>
      </w:r>
      <w:r>
        <w:rPr>
          <w:rStyle w:val="Appelnotedebasdep"/>
          <w:rFonts w:ascii="Times New Roman" w:hAnsi="Times New Roman"/>
          <w:sz w:val="24"/>
        </w:rPr>
        <w:footnoteReference w:id="301"/>
      </w:r>
      <w:r>
        <w:rPr>
          <w:rFonts w:ascii="Times New Roman" w:hAnsi="Times New Roman"/>
          <w:sz w:val="24"/>
        </w:rPr>
        <w:t>. Cette règle « </w:t>
      </w:r>
      <w:r w:rsidRPr="0071275D">
        <w:rPr>
          <w:rFonts w:ascii="Times New Roman" w:hAnsi="Times New Roman"/>
          <w:i/>
          <w:sz w:val="24"/>
        </w:rPr>
        <w:t>distributive</w:t>
      </w:r>
      <w:r>
        <w:rPr>
          <w:rFonts w:ascii="Times New Roman" w:hAnsi="Times New Roman"/>
          <w:sz w:val="24"/>
        </w:rPr>
        <w:t xml:space="preserve"> », </w:t>
      </w:r>
      <w:r w:rsidR="0071275D">
        <w:rPr>
          <w:rFonts w:ascii="Times New Roman" w:hAnsi="Times New Roman"/>
          <w:sz w:val="24"/>
        </w:rPr>
        <w:t>matérialisée</w:t>
      </w:r>
      <w:r>
        <w:rPr>
          <w:rFonts w:ascii="Times New Roman" w:hAnsi="Times New Roman"/>
          <w:sz w:val="24"/>
        </w:rPr>
        <w:t xml:space="preserve"> par la règle « </w:t>
      </w:r>
      <w:r w:rsidR="005601AE" w:rsidRPr="0071275D">
        <w:rPr>
          <w:rFonts w:ascii="Times New Roman" w:hAnsi="Times New Roman"/>
          <w:i/>
          <w:sz w:val="24"/>
        </w:rPr>
        <w:t>Fair</w:t>
      </w:r>
      <w:r w:rsidRPr="0071275D">
        <w:rPr>
          <w:rFonts w:ascii="Times New Roman" w:hAnsi="Times New Roman"/>
          <w:i/>
          <w:sz w:val="24"/>
        </w:rPr>
        <w:t xml:space="preserve"> &amp;</w:t>
      </w:r>
      <w:r>
        <w:rPr>
          <w:rFonts w:ascii="Times New Roman" w:hAnsi="Times New Roman"/>
          <w:sz w:val="24"/>
        </w:rPr>
        <w:t xml:space="preserve"> </w:t>
      </w:r>
      <w:r w:rsidRPr="005601AE">
        <w:rPr>
          <w:rFonts w:ascii="Times New Roman" w:hAnsi="Times New Roman"/>
          <w:i/>
          <w:sz w:val="24"/>
        </w:rPr>
        <w:t>equitable</w:t>
      </w:r>
      <w:r>
        <w:rPr>
          <w:rFonts w:ascii="Times New Roman" w:hAnsi="Times New Roman"/>
          <w:sz w:val="24"/>
        </w:rPr>
        <w:t> »</w:t>
      </w:r>
      <w:r w:rsidR="00021775">
        <w:rPr>
          <w:rFonts w:ascii="Times New Roman" w:hAnsi="Times New Roman"/>
          <w:sz w:val="24"/>
        </w:rPr>
        <w:t>,</w:t>
      </w:r>
      <w:r>
        <w:rPr>
          <w:rFonts w:ascii="Times New Roman" w:hAnsi="Times New Roman"/>
          <w:sz w:val="24"/>
        </w:rPr>
        <w:t xml:space="preserve"> peut signifier la recherche d’une indubitable équivalence entre la règle de priorité absolue et la balance des intérêts de toutes les parties intéressé</w:t>
      </w:r>
      <w:r w:rsidR="00021775">
        <w:rPr>
          <w:rFonts w:ascii="Times New Roman" w:hAnsi="Times New Roman"/>
          <w:sz w:val="24"/>
        </w:rPr>
        <w:t>e</w:t>
      </w:r>
      <w:r>
        <w:rPr>
          <w:rFonts w:ascii="Times New Roman" w:hAnsi="Times New Roman"/>
          <w:sz w:val="24"/>
        </w:rPr>
        <w:t>s.</w:t>
      </w:r>
      <w:r>
        <w:rPr>
          <w:rStyle w:val="Appelnotedebasdep"/>
          <w:rFonts w:ascii="Times New Roman" w:hAnsi="Times New Roman"/>
          <w:sz w:val="24"/>
        </w:rPr>
        <w:footnoteReference w:id="302"/>
      </w:r>
    </w:p>
    <w:p w:rsidR="00C600AA" w:rsidRDefault="00C600AA" w:rsidP="00C600AA">
      <w:pPr>
        <w:spacing w:line="240" w:lineRule="auto"/>
        <w:ind w:left="786"/>
        <w:rPr>
          <w:rFonts w:ascii="Times New Roman" w:hAnsi="Times New Roman"/>
          <w:sz w:val="24"/>
        </w:rPr>
      </w:pPr>
    </w:p>
    <w:p w:rsidR="00C600AA" w:rsidRPr="00021775" w:rsidRDefault="00021775" w:rsidP="00A70B3F">
      <w:pPr>
        <w:pStyle w:val="Paragraphedeliste"/>
        <w:numPr>
          <w:ilvl w:val="0"/>
          <w:numId w:val="2"/>
        </w:numPr>
        <w:spacing w:line="240" w:lineRule="auto"/>
        <w:ind w:left="851" w:hanging="567"/>
      </w:pPr>
      <w:r w:rsidRPr="00021775">
        <w:rPr>
          <w:rFonts w:ascii="Times New Roman" w:hAnsi="Times New Roman"/>
          <w:sz w:val="24"/>
          <w:u w:val="single"/>
        </w:rPr>
        <w:t>La notion du « </w:t>
      </w:r>
      <w:r w:rsidRPr="00021775">
        <w:rPr>
          <w:rFonts w:ascii="Times New Roman" w:hAnsi="Times New Roman"/>
          <w:i/>
          <w:sz w:val="24"/>
          <w:u w:val="single"/>
        </w:rPr>
        <w:t>gifting</w:t>
      </w:r>
      <w:r w:rsidRPr="00021775">
        <w:rPr>
          <w:rFonts w:ascii="Times New Roman" w:hAnsi="Times New Roman"/>
          <w:sz w:val="24"/>
          <w:u w:val="single"/>
        </w:rPr>
        <w:t> »</w:t>
      </w:r>
      <w:r w:rsidR="00C600AA" w:rsidRPr="00021775">
        <w:rPr>
          <w:rFonts w:ascii="Times New Roman" w:hAnsi="Times New Roman"/>
          <w:sz w:val="24"/>
        </w:rPr>
        <w:t xml:space="preserve">. Comme nous l’avons expliqué, le système </w:t>
      </w:r>
      <w:r w:rsidRPr="00021775">
        <w:rPr>
          <w:rFonts w:ascii="Times New Roman" w:hAnsi="Times New Roman"/>
          <w:sz w:val="24"/>
        </w:rPr>
        <w:t xml:space="preserve">américain </w:t>
      </w:r>
      <w:r w:rsidR="00C600AA" w:rsidRPr="00021775">
        <w:rPr>
          <w:rFonts w:ascii="Times New Roman" w:hAnsi="Times New Roman"/>
          <w:sz w:val="24"/>
        </w:rPr>
        <w:t xml:space="preserve">a pour but d’obliger les créanciers </w:t>
      </w:r>
      <w:r w:rsidRPr="00021775">
        <w:rPr>
          <w:rFonts w:ascii="Times New Roman" w:hAnsi="Times New Roman"/>
          <w:sz w:val="24"/>
        </w:rPr>
        <w:t xml:space="preserve">sécurisés et non-sécurisés </w:t>
      </w:r>
      <w:r w:rsidR="00C600AA" w:rsidRPr="00021775">
        <w:rPr>
          <w:rFonts w:ascii="Times New Roman" w:hAnsi="Times New Roman"/>
          <w:sz w:val="24"/>
        </w:rPr>
        <w:t xml:space="preserve">à négocier les valeurs de telles sorte que pour éviter une valeur plus basse que celle des </w:t>
      </w:r>
      <w:r w:rsidR="00C600AA" w:rsidRPr="00021775">
        <w:rPr>
          <w:rFonts w:ascii="Times New Roman" w:hAnsi="Times New Roman"/>
          <w:i/>
          <w:sz w:val="24"/>
        </w:rPr>
        <w:t>secured</w:t>
      </w:r>
      <w:r w:rsidR="00C600AA" w:rsidRPr="00021775">
        <w:rPr>
          <w:rFonts w:ascii="Times New Roman" w:hAnsi="Times New Roman"/>
          <w:sz w:val="24"/>
        </w:rPr>
        <w:t xml:space="preserve"> qui les pénaliserait, cette classe laisse volontairement un paiement aux </w:t>
      </w:r>
      <w:r w:rsidR="00C600AA" w:rsidRPr="00021775">
        <w:rPr>
          <w:rFonts w:ascii="Times New Roman" w:hAnsi="Times New Roman"/>
          <w:i/>
          <w:sz w:val="24"/>
        </w:rPr>
        <w:t>unsecured</w:t>
      </w:r>
      <w:r w:rsidRPr="00021775">
        <w:rPr>
          <w:rFonts w:ascii="Times New Roman" w:hAnsi="Times New Roman"/>
          <w:i/>
          <w:sz w:val="24"/>
        </w:rPr>
        <w:t>,</w:t>
      </w:r>
      <w:r w:rsidR="00C600AA" w:rsidRPr="00021775">
        <w:rPr>
          <w:rFonts w:ascii="Times New Roman" w:hAnsi="Times New Roman"/>
          <w:sz w:val="24"/>
        </w:rPr>
        <w:t xml:space="preserve"> </w:t>
      </w:r>
      <w:r w:rsidRPr="00021775">
        <w:rPr>
          <w:rFonts w:ascii="Times New Roman" w:hAnsi="Times New Roman"/>
          <w:sz w:val="24"/>
        </w:rPr>
        <w:t>c’est ce que</w:t>
      </w:r>
      <w:r w:rsidR="00C600AA" w:rsidRPr="00021775">
        <w:rPr>
          <w:rFonts w:ascii="Times New Roman" w:hAnsi="Times New Roman"/>
          <w:sz w:val="24"/>
        </w:rPr>
        <w:t xml:space="preserve"> la doctrine appelle</w:t>
      </w:r>
      <w:r w:rsidRPr="00021775">
        <w:rPr>
          <w:rFonts w:ascii="Times New Roman" w:hAnsi="Times New Roman"/>
          <w:sz w:val="24"/>
        </w:rPr>
        <w:t xml:space="preserve"> «</w:t>
      </w:r>
      <w:r w:rsidRPr="00021775">
        <w:rPr>
          <w:rFonts w:ascii="Times New Roman" w:hAnsi="Times New Roman"/>
          <w:i/>
          <w:sz w:val="24"/>
        </w:rPr>
        <w:t xml:space="preserve"> Gifting</w:t>
      </w:r>
      <w:r w:rsidR="00C600AA" w:rsidRPr="00021775">
        <w:rPr>
          <w:rFonts w:ascii="Times New Roman" w:hAnsi="Times New Roman"/>
          <w:i/>
          <w:sz w:val="24"/>
        </w:rPr>
        <w:t xml:space="preserve"> doctrine </w:t>
      </w:r>
      <w:r w:rsidRPr="00021775">
        <w:rPr>
          <w:rFonts w:ascii="Times New Roman" w:hAnsi="Times New Roman"/>
          <w:sz w:val="24"/>
        </w:rPr>
        <w:t>». C</w:t>
      </w:r>
      <w:r w:rsidR="00C600AA" w:rsidRPr="00021775">
        <w:rPr>
          <w:rFonts w:ascii="Times New Roman" w:hAnsi="Times New Roman"/>
          <w:sz w:val="24"/>
        </w:rPr>
        <w:t xml:space="preserve">ette </w:t>
      </w:r>
      <w:r w:rsidRPr="00021775">
        <w:rPr>
          <w:rFonts w:ascii="Times New Roman" w:hAnsi="Times New Roman"/>
          <w:sz w:val="24"/>
        </w:rPr>
        <w:t>exception à la règle de priorité absolue</w:t>
      </w:r>
      <w:r w:rsidR="00C600AA" w:rsidRPr="00021775">
        <w:rPr>
          <w:rFonts w:ascii="Times New Roman" w:hAnsi="Times New Roman"/>
          <w:sz w:val="24"/>
        </w:rPr>
        <w:t xml:space="preserve"> est admise par de nombreux tribunaux</w:t>
      </w:r>
      <w:r w:rsidR="00C600AA">
        <w:rPr>
          <w:rStyle w:val="Appelnotedebasdep"/>
          <w:rFonts w:ascii="Times New Roman" w:hAnsi="Times New Roman"/>
          <w:sz w:val="24"/>
        </w:rPr>
        <w:footnoteReference w:id="303"/>
      </w:r>
      <w:r w:rsidR="00C600AA" w:rsidRPr="00021775">
        <w:rPr>
          <w:rFonts w:ascii="Times New Roman" w:hAnsi="Times New Roman"/>
          <w:sz w:val="24"/>
        </w:rPr>
        <w:t xml:space="preserve"> même si </w:t>
      </w:r>
      <w:r w:rsidRPr="00021775">
        <w:rPr>
          <w:rFonts w:ascii="Times New Roman" w:hAnsi="Times New Roman"/>
          <w:sz w:val="24"/>
        </w:rPr>
        <w:t>d’autres</w:t>
      </w:r>
      <w:r w:rsidR="00C600AA" w:rsidRPr="00021775">
        <w:rPr>
          <w:rFonts w:ascii="Times New Roman" w:hAnsi="Times New Roman"/>
          <w:sz w:val="24"/>
        </w:rPr>
        <w:t xml:space="preserve"> la conteste.</w:t>
      </w:r>
    </w:p>
    <w:p w:rsidR="00021775" w:rsidRDefault="00021775" w:rsidP="00021775">
      <w:pPr>
        <w:pStyle w:val="Paragraphedeliste"/>
        <w:spacing w:line="240" w:lineRule="auto"/>
        <w:ind w:left="851"/>
        <w:rPr>
          <w:rFonts w:ascii="Times New Roman" w:hAnsi="Times New Roman"/>
          <w:sz w:val="24"/>
          <w:u w:val="single"/>
        </w:rPr>
      </w:pPr>
    </w:p>
    <w:p w:rsidR="00021775" w:rsidRDefault="00021775" w:rsidP="00021775">
      <w:pPr>
        <w:pStyle w:val="Titre2"/>
        <w:numPr>
          <w:ilvl w:val="0"/>
          <w:numId w:val="15"/>
        </w:numPr>
        <w:spacing w:before="0" w:line="240" w:lineRule="auto"/>
        <w:rPr>
          <w:rFonts w:ascii="Times New Roman" w:hAnsi="Times New Roman" w:cs="Times New Roman"/>
        </w:rPr>
      </w:pPr>
      <w:bookmarkStart w:id="41" w:name="_Toc55407486"/>
      <w:r w:rsidRPr="00021775">
        <w:rPr>
          <w:rFonts w:ascii="Times New Roman" w:hAnsi="Times New Roman" w:cs="Times New Roman"/>
        </w:rPr>
        <w:t>Contestation de la proposition de paiement dans la directive</w:t>
      </w:r>
      <w:bookmarkEnd w:id="41"/>
    </w:p>
    <w:p w:rsidR="00021775" w:rsidRPr="00021775" w:rsidRDefault="00021775" w:rsidP="00021775"/>
    <w:p w:rsidR="00762769" w:rsidRDefault="00762769" w:rsidP="00021775">
      <w:pPr>
        <w:pStyle w:val="Paragraphedeliste"/>
        <w:numPr>
          <w:ilvl w:val="0"/>
          <w:numId w:val="2"/>
        </w:numPr>
        <w:spacing w:line="240" w:lineRule="auto"/>
        <w:ind w:left="851" w:hanging="567"/>
        <w:rPr>
          <w:rFonts w:ascii="Times New Roman" w:hAnsi="Times New Roman"/>
          <w:sz w:val="24"/>
        </w:rPr>
      </w:pPr>
      <w:r w:rsidRPr="00762769">
        <w:rPr>
          <w:rFonts w:ascii="Times New Roman" w:hAnsi="Times New Roman"/>
          <w:sz w:val="24"/>
          <w:u w:val="single"/>
        </w:rPr>
        <w:t>Montant offert aux créanciers</w:t>
      </w:r>
      <w:r>
        <w:rPr>
          <w:rFonts w:ascii="Times New Roman" w:hAnsi="Times New Roman"/>
          <w:sz w:val="24"/>
        </w:rPr>
        <w:t>. La directive ne pose pas, comme principe – pour permettre l’approbation du plan – que les créanciers doivent recevoir plus que la valeur de liquidation, mais soumet l’application interclasse qui permet d’imposer aux créancier un vote majoritaire des classes aux classes dissidentes et la vérification soit de la priorité absolue, soit de la priorité relative.</w:t>
      </w:r>
    </w:p>
    <w:p w:rsidR="00762769" w:rsidRDefault="00762769" w:rsidP="00762769">
      <w:pPr>
        <w:pStyle w:val="Paragraphedeliste"/>
        <w:spacing w:line="240" w:lineRule="auto"/>
        <w:ind w:left="851"/>
        <w:rPr>
          <w:rFonts w:ascii="Times New Roman" w:hAnsi="Times New Roman"/>
          <w:sz w:val="24"/>
          <w:u w:val="single"/>
        </w:rPr>
      </w:pPr>
    </w:p>
    <w:p w:rsidR="00762769" w:rsidRDefault="00762769" w:rsidP="00762769">
      <w:pPr>
        <w:pStyle w:val="Paragraphedeliste"/>
        <w:spacing w:line="240" w:lineRule="auto"/>
        <w:ind w:left="851"/>
        <w:rPr>
          <w:rFonts w:ascii="Times New Roman" w:hAnsi="Times New Roman"/>
          <w:sz w:val="24"/>
        </w:rPr>
      </w:pPr>
      <w:r>
        <w:rPr>
          <w:rFonts w:ascii="Times New Roman" w:hAnsi="Times New Roman"/>
          <w:sz w:val="24"/>
        </w:rPr>
        <w:t>Ainsi, si les créanciers sécurisés ou privilégiés ne reçoivent pas, dans la règle de priorité absolue, le traitement le plus favorable</w:t>
      </w:r>
      <w:r w:rsidR="00A01187">
        <w:rPr>
          <w:rFonts w:ascii="Times New Roman" w:hAnsi="Times New Roman"/>
          <w:sz w:val="24"/>
        </w:rPr>
        <w:t xml:space="preserve"> -</w:t>
      </w:r>
      <w:r>
        <w:rPr>
          <w:rFonts w:ascii="Times New Roman" w:hAnsi="Times New Roman"/>
          <w:sz w:val="24"/>
        </w:rPr>
        <w:t xml:space="preserve"> en réalité, un traitement « </w:t>
      </w:r>
      <w:r>
        <w:rPr>
          <w:rFonts w:ascii="Times New Roman" w:hAnsi="Times New Roman"/>
          <w:i/>
          <w:sz w:val="24"/>
        </w:rPr>
        <w:t>plus favorable</w:t>
      </w:r>
      <w:r>
        <w:rPr>
          <w:rFonts w:ascii="Times New Roman" w:hAnsi="Times New Roman"/>
          <w:sz w:val="24"/>
        </w:rPr>
        <w:t> »</w:t>
      </w:r>
      <w:r w:rsidR="00A01187">
        <w:rPr>
          <w:rFonts w:ascii="Times New Roman" w:hAnsi="Times New Roman"/>
          <w:sz w:val="24"/>
        </w:rPr>
        <w:t xml:space="preserve"> que les classes inférieures -</w:t>
      </w:r>
      <w:r>
        <w:rPr>
          <w:rFonts w:ascii="Times New Roman" w:hAnsi="Times New Roman"/>
          <w:sz w:val="24"/>
        </w:rPr>
        <w:t xml:space="preserve"> le juge devrait refuser l’application interclasse. Cette notion « </w:t>
      </w:r>
      <w:r>
        <w:rPr>
          <w:rFonts w:ascii="Times New Roman" w:hAnsi="Times New Roman"/>
          <w:i/>
          <w:sz w:val="24"/>
        </w:rPr>
        <w:t>plus favorable</w:t>
      </w:r>
      <w:r>
        <w:rPr>
          <w:rFonts w:ascii="Times New Roman" w:hAnsi="Times New Roman"/>
          <w:sz w:val="24"/>
        </w:rPr>
        <w:t xml:space="preserve"> » n’est pas décrite </w:t>
      </w:r>
      <w:r w:rsidR="00A01187">
        <w:rPr>
          <w:rFonts w:ascii="Times New Roman" w:hAnsi="Times New Roman"/>
          <w:sz w:val="24"/>
        </w:rPr>
        <w:t xml:space="preserve">au considérant 55 autrement qu’en précisant que les créanciers affectés dissidents </w:t>
      </w:r>
      <w:r w:rsidR="00A01187">
        <w:rPr>
          <w:rFonts w:ascii="Times New Roman" w:hAnsi="Times New Roman"/>
          <w:sz w:val="24"/>
          <w:u w:val="single"/>
        </w:rPr>
        <w:t>peuvent</w:t>
      </w:r>
      <w:r w:rsidR="00A01187">
        <w:rPr>
          <w:rFonts w:ascii="Times New Roman" w:hAnsi="Times New Roman"/>
          <w:sz w:val="24"/>
        </w:rPr>
        <w:t xml:space="preserve"> être protégés par un </w:t>
      </w:r>
      <w:r w:rsidR="00A01187">
        <w:rPr>
          <w:rFonts w:ascii="Times New Roman" w:hAnsi="Times New Roman"/>
          <w:sz w:val="24"/>
          <w:u w:val="single"/>
        </w:rPr>
        <w:t xml:space="preserve">paiement </w:t>
      </w:r>
      <w:r w:rsidR="00A01187" w:rsidRPr="00A01187">
        <w:rPr>
          <w:rFonts w:ascii="Times New Roman" w:hAnsi="Times New Roman"/>
          <w:sz w:val="24"/>
        </w:rPr>
        <w:t>intégral</w:t>
      </w:r>
      <w:r w:rsidR="00A01187">
        <w:rPr>
          <w:rFonts w:ascii="Times New Roman" w:hAnsi="Times New Roman"/>
          <w:sz w:val="24"/>
        </w:rPr>
        <w:t>, c</w:t>
      </w:r>
      <w:r w:rsidR="00A01187" w:rsidRPr="00A01187">
        <w:rPr>
          <w:rFonts w:ascii="Times New Roman" w:hAnsi="Times New Roman"/>
          <w:sz w:val="24"/>
        </w:rPr>
        <w:t>ette</w:t>
      </w:r>
      <w:r w:rsidR="00A01187">
        <w:rPr>
          <w:rFonts w:ascii="Times New Roman" w:hAnsi="Times New Roman"/>
          <w:sz w:val="24"/>
        </w:rPr>
        <w:t xml:space="preserve"> dernière notion de paiement intégral pouvant être appréciée par la législation nationale : à travers un calendrier, si le montant principal et la valeur de la sûreté est protégée, ou à travers des « </w:t>
      </w:r>
      <w:r w:rsidR="00A01187">
        <w:rPr>
          <w:rFonts w:ascii="Times New Roman" w:hAnsi="Times New Roman"/>
          <w:i/>
          <w:sz w:val="24"/>
        </w:rPr>
        <w:t>moyens équivalents »</w:t>
      </w:r>
      <w:r w:rsidR="00A01187">
        <w:rPr>
          <w:rFonts w:ascii="Times New Roman" w:hAnsi="Times New Roman"/>
          <w:sz w:val="24"/>
        </w:rPr>
        <w:t xml:space="preserve"> à un paiement (par exemple, une rémunération en action).</w:t>
      </w:r>
    </w:p>
    <w:p w:rsidR="00A01187" w:rsidRDefault="00A01187" w:rsidP="00762769">
      <w:pPr>
        <w:pStyle w:val="Paragraphedeliste"/>
        <w:spacing w:line="240" w:lineRule="auto"/>
        <w:ind w:left="851"/>
        <w:rPr>
          <w:rFonts w:ascii="Times New Roman" w:hAnsi="Times New Roman"/>
          <w:sz w:val="24"/>
        </w:rPr>
      </w:pPr>
    </w:p>
    <w:p w:rsidR="00A01187" w:rsidRPr="00A01187" w:rsidRDefault="00A01187" w:rsidP="00762769">
      <w:pPr>
        <w:pStyle w:val="Paragraphedeliste"/>
        <w:spacing w:line="240" w:lineRule="auto"/>
        <w:ind w:left="851"/>
        <w:rPr>
          <w:rFonts w:ascii="Times New Roman" w:hAnsi="Times New Roman"/>
          <w:sz w:val="24"/>
        </w:rPr>
      </w:pPr>
      <w:r>
        <w:rPr>
          <w:rFonts w:ascii="Times New Roman" w:hAnsi="Times New Roman"/>
          <w:sz w:val="24"/>
        </w:rPr>
        <w:t>Le paiement intégral – à la manière de la règle de priorité absolue américaine qui ne permet d’attribuer aux classes inférieures que la partie de valeur qui dépasse la valeur going-concern des classes correspondant à la valeur des créances de classe supérieure – connaît donc deux exceptions : les modalités – calendrier ou moyen équivalent – et règle de priorité relative. Un paiement non-intégral mais qui ne porte pas une atteinte excessive aux créanciers.</w:t>
      </w:r>
    </w:p>
    <w:p w:rsidR="00762769" w:rsidRPr="00762769" w:rsidRDefault="00762769" w:rsidP="00762769">
      <w:pPr>
        <w:pStyle w:val="Paragraphedeliste"/>
        <w:spacing w:line="240" w:lineRule="auto"/>
        <w:ind w:left="851"/>
        <w:rPr>
          <w:rFonts w:ascii="Times New Roman" w:hAnsi="Times New Roman"/>
          <w:sz w:val="24"/>
        </w:rPr>
      </w:pPr>
    </w:p>
    <w:p w:rsidR="008064D7" w:rsidRDefault="008064D7" w:rsidP="00021775">
      <w:pPr>
        <w:pStyle w:val="Paragraphedeliste"/>
        <w:numPr>
          <w:ilvl w:val="0"/>
          <w:numId w:val="2"/>
        </w:numPr>
        <w:spacing w:line="240" w:lineRule="auto"/>
        <w:ind w:left="851" w:hanging="567"/>
        <w:rPr>
          <w:rFonts w:ascii="Times New Roman" w:hAnsi="Times New Roman"/>
          <w:sz w:val="24"/>
        </w:rPr>
      </w:pPr>
      <w:r w:rsidRPr="00044AD7">
        <w:rPr>
          <w:rFonts w:ascii="Times New Roman" w:hAnsi="Times New Roman"/>
          <w:sz w:val="24"/>
          <w:u w:val="single"/>
        </w:rPr>
        <w:t xml:space="preserve">La première appréciation du </w:t>
      </w:r>
      <w:r w:rsidR="00A01187">
        <w:rPr>
          <w:rFonts w:ascii="Times New Roman" w:hAnsi="Times New Roman"/>
          <w:sz w:val="24"/>
          <w:u w:val="single"/>
        </w:rPr>
        <w:t>à faire est donc celle</w:t>
      </w:r>
      <w:r w:rsidRPr="00044AD7">
        <w:rPr>
          <w:rFonts w:ascii="Times New Roman" w:hAnsi="Times New Roman"/>
          <w:sz w:val="24"/>
          <w:u w:val="single"/>
        </w:rPr>
        <w:t xml:space="preserve"> du « </w:t>
      </w:r>
      <w:r w:rsidRPr="007C17D3">
        <w:rPr>
          <w:rFonts w:ascii="Times New Roman" w:hAnsi="Times New Roman"/>
          <w:i/>
          <w:sz w:val="24"/>
          <w:u w:val="single"/>
        </w:rPr>
        <w:t>Best interest</w:t>
      </w:r>
      <w:r w:rsidRPr="00044AD7">
        <w:rPr>
          <w:rFonts w:ascii="Times New Roman" w:hAnsi="Times New Roman"/>
          <w:i/>
          <w:sz w:val="24"/>
          <w:u w:val="single"/>
        </w:rPr>
        <w:t xml:space="preserve"> of creditors</w:t>
      </w:r>
      <w:r w:rsidRPr="00044AD7">
        <w:rPr>
          <w:rFonts w:ascii="Times New Roman" w:hAnsi="Times New Roman"/>
          <w:sz w:val="24"/>
          <w:u w:val="single"/>
        </w:rPr>
        <w:t> </w:t>
      </w:r>
      <w:r w:rsidR="00A01187">
        <w:rPr>
          <w:rFonts w:ascii="Times New Roman" w:hAnsi="Times New Roman"/>
          <w:sz w:val="24"/>
        </w:rPr>
        <w:t>»</w:t>
      </w:r>
      <w:r>
        <w:rPr>
          <w:rFonts w:ascii="Times New Roman" w:hAnsi="Times New Roman"/>
          <w:sz w:val="24"/>
        </w:rPr>
        <w:t xml:space="preserve"> </w:t>
      </w:r>
      <w:r w:rsidR="00A01187">
        <w:rPr>
          <w:rFonts w:ascii="Times New Roman" w:hAnsi="Times New Roman"/>
          <w:sz w:val="24"/>
        </w:rPr>
        <w:t>a</w:t>
      </w:r>
      <w:r>
        <w:rPr>
          <w:rFonts w:ascii="Times New Roman" w:hAnsi="Times New Roman"/>
          <w:sz w:val="24"/>
        </w:rPr>
        <w:t>u départ de la valeur de liquidation dans le meilleur scénario possible</w:t>
      </w:r>
      <w:r w:rsidR="00A01187">
        <w:rPr>
          <w:rFonts w:ascii="Times New Roman" w:hAnsi="Times New Roman"/>
          <w:sz w:val="24"/>
        </w:rPr>
        <w:t>.</w:t>
      </w:r>
      <w:r>
        <w:rPr>
          <w:rFonts w:ascii="Times New Roman" w:hAnsi="Times New Roman"/>
          <w:sz w:val="24"/>
        </w:rPr>
        <w:t xml:space="preserve"> </w:t>
      </w:r>
      <w:r w:rsidR="00A01187">
        <w:rPr>
          <w:rFonts w:ascii="Times New Roman" w:hAnsi="Times New Roman"/>
          <w:sz w:val="24"/>
        </w:rPr>
        <w:t>I</w:t>
      </w:r>
      <w:r>
        <w:rPr>
          <w:rFonts w:ascii="Times New Roman" w:hAnsi="Times New Roman"/>
          <w:sz w:val="24"/>
        </w:rPr>
        <w:t xml:space="preserve">l </w:t>
      </w:r>
      <w:r w:rsidR="00A01187">
        <w:rPr>
          <w:rFonts w:ascii="Times New Roman" w:hAnsi="Times New Roman"/>
          <w:sz w:val="24"/>
        </w:rPr>
        <w:t>faut</w:t>
      </w:r>
      <w:r>
        <w:rPr>
          <w:rFonts w:ascii="Times New Roman" w:hAnsi="Times New Roman"/>
          <w:sz w:val="24"/>
        </w:rPr>
        <w:t xml:space="preserve"> que les créanciers</w:t>
      </w:r>
      <w:r w:rsidR="00A01187">
        <w:rPr>
          <w:rFonts w:ascii="Times New Roman" w:hAnsi="Times New Roman"/>
          <w:sz w:val="24"/>
        </w:rPr>
        <w:t xml:space="preserve"> (tous) reçoivent un paiement au moins équivalent à ce qu’ils auraient </w:t>
      </w:r>
      <w:r w:rsidR="00A01187" w:rsidRPr="00A01187">
        <w:rPr>
          <w:rFonts w:ascii="Times New Roman" w:hAnsi="Times New Roman"/>
          <w:sz w:val="24"/>
          <w:u w:val="single"/>
        </w:rPr>
        <w:t>raisonnablement</w:t>
      </w:r>
      <w:r w:rsidR="00A01187">
        <w:rPr>
          <w:rFonts w:ascii="Times New Roman" w:hAnsi="Times New Roman"/>
          <w:sz w:val="24"/>
        </w:rPr>
        <w:t xml:space="preserve"> eu dans la liquidation.</w:t>
      </w:r>
    </w:p>
    <w:p w:rsidR="008064D7" w:rsidRDefault="008064D7" w:rsidP="00CA1CFE">
      <w:pPr>
        <w:pStyle w:val="Paragraphedeliste"/>
        <w:spacing w:line="240" w:lineRule="auto"/>
        <w:ind w:left="786"/>
        <w:rPr>
          <w:rFonts w:ascii="Times New Roman" w:hAnsi="Times New Roman"/>
          <w:sz w:val="24"/>
        </w:rPr>
      </w:pPr>
    </w:p>
    <w:p w:rsidR="008064D7" w:rsidRDefault="00A01187" w:rsidP="00CA1CFE">
      <w:pPr>
        <w:pStyle w:val="Paragraphedeliste"/>
        <w:spacing w:line="240" w:lineRule="auto"/>
        <w:ind w:left="786"/>
        <w:rPr>
          <w:rFonts w:ascii="Times New Roman" w:hAnsi="Times New Roman"/>
          <w:sz w:val="24"/>
        </w:rPr>
      </w:pPr>
      <w:r>
        <w:rPr>
          <w:rFonts w:ascii="Times New Roman" w:hAnsi="Times New Roman"/>
          <w:sz w:val="24"/>
        </w:rPr>
        <w:t xml:space="preserve">Nous renvoyons à ce qui est décrit </w:t>
      </w:r>
      <w:r w:rsidR="00AE4042">
        <w:rPr>
          <w:rFonts w:ascii="Times New Roman" w:hAnsi="Times New Roman"/>
          <w:sz w:val="24"/>
        </w:rPr>
        <w:t>ci-avant, mais il n’y aurait pas de possibilité d’appliquer la règle de priorité absolue ou même relative à une situation où le créancier reçoit moins que la valeur de liquidation.</w:t>
      </w:r>
    </w:p>
    <w:p w:rsidR="00AE4042" w:rsidRDefault="00AE4042" w:rsidP="00CA1CFE">
      <w:pPr>
        <w:pStyle w:val="Paragraphedeliste"/>
        <w:spacing w:line="240" w:lineRule="auto"/>
        <w:ind w:left="786"/>
        <w:rPr>
          <w:rFonts w:ascii="Times New Roman" w:hAnsi="Times New Roman"/>
          <w:sz w:val="24"/>
        </w:rPr>
      </w:pPr>
    </w:p>
    <w:p w:rsidR="008064D7" w:rsidRPr="00AE4042" w:rsidRDefault="00AE4042" w:rsidP="00226F83">
      <w:pPr>
        <w:pStyle w:val="Paragraphedeliste"/>
        <w:numPr>
          <w:ilvl w:val="0"/>
          <w:numId w:val="2"/>
        </w:numPr>
        <w:spacing w:line="240" w:lineRule="auto"/>
        <w:ind w:left="851" w:hanging="567"/>
        <w:rPr>
          <w:rFonts w:ascii="Times New Roman" w:hAnsi="Times New Roman"/>
          <w:sz w:val="24"/>
        </w:rPr>
      </w:pPr>
      <w:r w:rsidRPr="00AE4042">
        <w:rPr>
          <w:rFonts w:ascii="Times New Roman" w:hAnsi="Times New Roman"/>
          <w:sz w:val="24"/>
        </w:rPr>
        <w:t xml:space="preserve">Si la règle Américaine n’est pas appliquée – si tout le paiement va aux </w:t>
      </w:r>
      <w:r>
        <w:rPr>
          <w:rFonts w:ascii="Times New Roman" w:hAnsi="Times New Roman"/>
          <w:sz w:val="24"/>
        </w:rPr>
        <w:t>créanciers sécurisés pour plus que la valeur de liquidation sans être un paiement intégral et que les classes inférieures n’ont rien (le juge pourrait valider le plan, même si le pairement n’est pas équivalent à la valeur going-concern), il n’en reste pas moins que dans la règle de priorité relative, la valeur going-concern du bien ou plus exactement les parties de la valeur going-concern des biens équivalents au paiement fait aux classes inférieures pourrait être tenu comme une atteinte excessive auxdits créanciers.</w:t>
      </w:r>
    </w:p>
    <w:p w:rsidR="008064D7" w:rsidRDefault="008064D7" w:rsidP="00CA1CFE">
      <w:pPr>
        <w:spacing w:line="240" w:lineRule="auto"/>
        <w:ind w:left="786"/>
        <w:rPr>
          <w:rFonts w:ascii="Times New Roman" w:hAnsi="Times New Roman"/>
          <w:sz w:val="24"/>
        </w:rPr>
      </w:pPr>
    </w:p>
    <w:p w:rsidR="008064D7" w:rsidRPr="00EC15B2" w:rsidRDefault="008064D7" w:rsidP="00AE4042">
      <w:pPr>
        <w:pStyle w:val="Paragraphedeliste"/>
        <w:numPr>
          <w:ilvl w:val="0"/>
          <w:numId w:val="2"/>
        </w:numPr>
        <w:spacing w:line="240" w:lineRule="auto"/>
        <w:ind w:left="851" w:hanging="567"/>
        <w:rPr>
          <w:rFonts w:ascii="Times New Roman" w:hAnsi="Times New Roman"/>
          <w:sz w:val="24"/>
        </w:rPr>
      </w:pPr>
      <w:r>
        <w:rPr>
          <w:rFonts w:ascii="Times New Roman" w:hAnsi="Times New Roman"/>
          <w:sz w:val="24"/>
        </w:rPr>
        <w:t>La</w:t>
      </w:r>
      <w:r w:rsidRPr="00044AD7">
        <w:rPr>
          <w:rFonts w:ascii="Times New Roman" w:hAnsi="Times New Roman"/>
          <w:sz w:val="24"/>
        </w:rPr>
        <w:t xml:space="preserve"> volonté de protéger les créanciers dissidents est le résultat d’un équilibre que la loi nationale devra atteindre : d’une part, il faut s’assurer que les créanciers ne soient pas excessivement lésés en leur assurant une protection suffisante</w:t>
      </w:r>
      <w:r>
        <w:rPr>
          <w:rStyle w:val="Appelnotedebasdep"/>
          <w:rFonts w:ascii="Times New Roman" w:hAnsi="Times New Roman"/>
          <w:sz w:val="24"/>
        </w:rPr>
        <w:footnoteReference w:id="304"/>
      </w:r>
      <w:r>
        <w:rPr>
          <w:rFonts w:ascii="Times New Roman" w:hAnsi="Times New Roman"/>
          <w:sz w:val="24"/>
        </w:rPr>
        <w:t xml:space="preserve"> </w:t>
      </w:r>
      <w:r w:rsidRPr="00044AD7">
        <w:rPr>
          <w:rFonts w:ascii="Times New Roman" w:hAnsi="Times New Roman"/>
          <w:sz w:val="24"/>
        </w:rPr>
        <w:t>mais, d’autre part, il faut atteindre l’objectif qu’ils ne puissent pas bloquer abusivement l’application forcée interclasse. Afin de comparer le traitement des créanciers, le juge pourra prendre en compte plusieurs éléments tels que le pourcentage de la créance payée, le calendrier de remboursement</w:t>
      </w:r>
      <w:r>
        <w:rPr>
          <w:rStyle w:val="Appelnotedebasdep"/>
          <w:rFonts w:ascii="Times New Roman" w:hAnsi="Times New Roman"/>
          <w:sz w:val="24"/>
        </w:rPr>
        <w:footnoteReference w:id="305"/>
      </w:r>
      <w:r w:rsidRPr="00044AD7">
        <w:rPr>
          <w:rFonts w:ascii="Times New Roman" w:hAnsi="Times New Roman"/>
          <w:sz w:val="24"/>
        </w:rPr>
        <w:t xml:space="preserve"> ; en cas de remboursement total, la valeur de la sûreté garantie, les moyens équivalents</w:t>
      </w:r>
      <w:r>
        <w:rPr>
          <w:rStyle w:val="Appelnotedebasdep"/>
          <w:rFonts w:ascii="Times New Roman" w:hAnsi="Times New Roman"/>
          <w:sz w:val="24"/>
        </w:rPr>
        <w:footnoteReference w:id="306"/>
      </w:r>
      <w:r>
        <w:rPr>
          <w:rFonts w:ascii="Times New Roman" w:hAnsi="Times New Roman"/>
          <w:sz w:val="24"/>
        </w:rPr>
        <w:t xml:space="preserve"> </w:t>
      </w:r>
      <w:r w:rsidRPr="00044AD7">
        <w:rPr>
          <w:rFonts w:ascii="Times New Roman" w:hAnsi="Times New Roman"/>
          <w:sz w:val="24"/>
        </w:rPr>
        <w:t xml:space="preserve">à un paiement intégral, … </w:t>
      </w:r>
      <w:r w:rsidRPr="00EC15B2">
        <w:rPr>
          <w:rFonts w:ascii="Times New Roman" w:hAnsi="Times New Roman"/>
          <w:sz w:val="24"/>
        </w:rPr>
        <w:t>Le juge, en appréciant l’atteinte excessive ou non excessive, en appréciant quels sont leurs droits mais aussi leurs intérêts, fera une appréciation qui ne sera pas, selon moi, marginale.</w:t>
      </w:r>
    </w:p>
    <w:p w:rsidR="008064D7" w:rsidRDefault="008064D7" w:rsidP="00CA1CFE">
      <w:pPr>
        <w:pStyle w:val="Paragraphedeliste"/>
        <w:spacing w:line="240" w:lineRule="auto"/>
        <w:ind w:left="786"/>
        <w:rPr>
          <w:rFonts w:ascii="Times New Roman" w:hAnsi="Times New Roman"/>
          <w:sz w:val="24"/>
        </w:rPr>
      </w:pPr>
    </w:p>
    <w:p w:rsidR="008064D7" w:rsidRPr="00AE4042" w:rsidRDefault="00AE4042" w:rsidP="00A70B3F">
      <w:pPr>
        <w:pStyle w:val="Paragraphedeliste"/>
        <w:numPr>
          <w:ilvl w:val="0"/>
          <w:numId w:val="2"/>
        </w:numPr>
        <w:spacing w:line="240" w:lineRule="auto"/>
        <w:ind w:hanging="567"/>
        <w:rPr>
          <w:rFonts w:ascii="Times New Roman" w:hAnsi="Times New Roman"/>
          <w:sz w:val="24"/>
        </w:rPr>
      </w:pPr>
      <w:r w:rsidRPr="00AE4042">
        <w:rPr>
          <w:rFonts w:ascii="Times New Roman" w:hAnsi="Times New Roman"/>
          <w:sz w:val="24"/>
          <w:u w:val="single"/>
        </w:rPr>
        <w:t>Atteinte excessive et insuffisance de la distribution.</w:t>
      </w:r>
      <w:r w:rsidRPr="00AE4042">
        <w:rPr>
          <w:rFonts w:ascii="Times New Roman" w:hAnsi="Times New Roman"/>
          <w:sz w:val="24"/>
        </w:rPr>
        <w:t xml:space="preserve"> </w:t>
      </w:r>
      <w:r w:rsidR="008064D7" w:rsidRPr="00AE4042">
        <w:rPr>
          <w:rFonts w:ascii="Times New Roman" w:hAnsi="Times New Roman"/>
          <w:sz w:val="24"/>
        </w:rPr>
        <w:t xml:space="preserve">En laissant au juge le pouvoir d’apprécier si le traitement porte une atteinte excessive aux droits ou aux intérêts du créancier, la directive attribue au juge </w:t>
      </w:r>
      <w:r w:rsidRPr="00AE4042">
        <w:rPr>
          <w:rFonts w:ascii="Times New Roman" w:hAnsi="Times New Roman"/>
          <w:sz w:val="24"/>
        </w:rPr>
        <w:t>un pouvoir assez large</w:t>
      </w:r>
      <w:r w:rsidR="008064D7" w:rsidRPr="00AE4042">
        <w:rPr>
          <w:rFonts w:ascii="Times New Roman" w:hAnsi="Times New Roman"/>
          <w:sz w:val="24"/>
        </w:rPr>
        <w:t>. Si un créancier a au moins autant qu’en liquidation – dans le moins bon scénario, le juge pourra considérer que l’atteinte aux droits de ce créancier n’est pas une atteinte excessive dès lors qu’en cas de faillite, même dans le meilleur scénario, il n’obtiendrait aucun dividende.</w:t>
      </w:r>
      <w:r>
        <w:rPr>
          <w:rFonts w:ascii="Times New Roman" w:hAnsi="Times New Roman"/>
          <w:sz w:val="24"/>
        </w:rPr>
        <w:t xml:space="preserve"> </w:t>
      </w:r>
      <w:r w:rsidRPr="00AE4042">
        <w:rPr>
          <w:rFonts w:ascii="Times New Roman" w:hAnsi="Times New Roman"/>
          <w:sz w:val="24"/>
        </w:rPr>
        <w:t>Mais inversement, le juge pourrait considérer que le paiement aux créanciers – sécurisés ou non – constitue une atteinte excessive dès lors qu’il l’estimerait insuffisant.</w:t>
      </w:r>
    </w:p>
    <w:p w:rsidR="00AE4042" w:rsidRDefault="00AE4042" w:rsidP="00CA1CFE">
      <w:pPr>
        <w:pStyle w:val="Paragraphedeliste"/>
        <w:spacing w:line="240" w:lineRule="auto"/>
        <w:ind w:left="786"/>
        <w:rPr>
          <w:rFonts w:ascii="Times New Roman" w:hAnsi="Times New Roman"/>
          <w:sz w:val="24"/>
        </w:rPr>
      </w:pPr>
    </w:p>
    <w:p w:rsidR="008064D7" w:rsidRPr="00822525" w:rsidRDefault="008064D7" w:rsidP="00AE4042">
      <w:pPr>
        <w:pStyle w:val="Paragraphedeliste"/>
        <w:numPr>
          <w:ilvl w:val="0"/>
          <w:numId w:val="2"/>
        </w:numPr>
        <w:spacing w:line="240" w:lineRule="auto"/>
        <w:ind w:left="851" w:hanging="567"/>
        <w:rPr>
          <w:rFonts w:ascii="Times New Roman" w:hAnsi="Times New Roman"/>
          <w:sz w:val="24"/>
        </w:rPr>
      </w:pPr>
      <w:r>
        <w:rPr>
          <w:rFonts w:ascii="Times New Roman" w:hAnsi="Times New Roman"/>
          <w:sz w:val="24"/>
        </w:rPr>
        <w:t>L’évaluation de la capacité contributive</w:t>
      </w:r>
      <w:r w:rsidR="00AE4042">
        <w:rPr>
          <w:rFonts w:ascii="Times New Roman" w:hAnsi="Times New Roman"/>
          <w:sz w:val="24"/>
        </w:rPr>
        <w:t xml:space="preserve"> du paiement des créanciers</w:t>
      </w:r>
      <w:r>
        <w:rPr>
          <w:rFonts w:ascii="Times New Roman" w:hAnsi="Times New Roman"/>
          <w:sz w:val="24"/>
        </w:rPr>
        <w:t xml:space="preserve"> résulte d’une analyse des hypothèses factuelles retenues pour le plan d’</w:t>
      </w:r>
      <w:r w:rsidRPr="007C17D3">
        <w:rPr>
          <w:rFonts w:ascii="Times New Roman" w:hAnsi="Times New Roman"/>
          <w:sz w:val="24"/>
        </w:rPr>
        <w:t>affaire</w:t>
      </w:r>
      <w:r>
        <w:rPr>
          <w:rFonts w:ascii="Times New Roman" w:hAnsi="Times New Roman"/>
          <w:sz w:val="24"/>
        </w:rPr>
        <w:t>, qui doivent être décrites et documentées, de la mise en forme économique et financière du plan d’</w:t>
      </w:r>
      <w:r w:rsidRPr="007C17D3">
        <w:rPr>
          <w:rFonts w:ascii="Times New Roman" w:hAnsi="Times New Roman"/>
          <w:sz w:val="24"/>
        </w:rPr>
        <w:t>affaire</w:t>
      </w:r>
      <w:r>
        <w:rPr>
          <w:rFonts w:ascii="Times New Roman" w:hAnsi="Times New Roman"/>
          <w:sz w:val="24"/>
        </w:rPr>
        <w:t xml:space="preserve"> et du plan de trésorerie, et de la prise en compte de la dynamique économique et financière du marché à un moment donné. </w:t>
      </w:r>
      <w:r w:rsidRPr="00822525">
        <w:rPr>
          <w:rFonts w:ascii="Times New Roman" w:hAnsi="Times New Roman"/>
          <w:sz w:val="24"/>
        </w:rPr>
        <w:t>Elle doit également prendre en compte une</w:t>
      </w:r>
      <w:r>
        <w:rPr>
          <w:rFonts w:ascii="Times New Roman" w:hAnsi="Times New Roman"/>
          <w:sz w:val="24"/>
        </w:rPr>
        <w:t xml:space="preserve"> série de paramètres tels que le calcul </w:t>
      </w:r>
      <w:r w:rsidRPr="00822525">
        <w:rPr>
          <w:rFonts w:ascii="Times New Roman" w:hAnsi="Times New Roman"/>
          <w:sz w:val="24"/>
        </w:rPr>
        <w:t>du besoin de fond de roulement</w:t>
      </w:r>
      <w:r>
        <w:rPr>
          <w:rFonts w:ascii="Times New Roman" w:hAnsi="Times New Roman"/>
          <w:sz w:val="24"/>
        </w:rPr>
        <w:t xml:space="preserve"> en rapport avec le fond de roulement</w:t>
      </w:r>
      <w:r w:rsidRPr="00822525">
        <w:rPr>
          <w:rFonts w:ascii="Times New Roman" w:hAnsi="Times New Roman"/>
          <w:sz w:val="24"/>
        </w:rPr>
        <w:t>, l’éventuel anticipation d’une trésorerie à affecter aux investissements et aux désinvestissements ainsi que de la trésorerie à affecter au remboursement des crédits ou à la souscription de nouveaux crédits.</w:t>
      </w:r>
      <w:r>
        <w:rPr>
          <w:rFonts w:ascii="Times New Roman" w:hAnsi="Times New Roman"/>
          <w:sz w:val="24"/>
        </w:rPr>
        <w:t xml:space="preserve"> Elle doit être faite avec la prudence requise renforcée en présence de circonstances particulières comme la corona qui peut conduire à constituer des provisions ou des réserves pour </w:t>
      </w:r>
      <w:r w:rsidR="00AE4042">
        <w:rPr>
          <w:rFonts w:ascii="Times New Roman" w:hAnsi="Times New Roman"/>
          <w:sz w:val="24"/>
        </w:rPr>
        <w:t>faire</w:t>
      </w:r>
      <w:r>
        <w:rPr>
          <w:rFonts w:ascii="Times New Roman" w:hAnsi="Times New Roman"/>
          <w:sz w:val="24"/>
        </w:rPr>
        <w:t xml:space="preserve"> face aux événements futurs incertains. </w:t>
      </w:r>
      <w:r w:rsidR="00AE4042">
        <w:rPr>
          <w:rFonts w:ascii="Times New Roman" w:hAnsi="Times New Roman"/>
          <w:sz w:val="24"/>
        </w:rPr>
        <w:t>En réalité, elle renvoie à la notion de valeur going-concern.</w:t>
      </w:r>
    </w:p>
    <w:p w:rsidR="008064D7" w:rsidRDefault="008064D7" w:rsidP="00CA1CFE">
      <w:pPr>
        <w:pStyle w:val="Paragraphedeliste"/>
        <w:spacing w:line="240" w:lineRule="auto"/>
        <w:ind w:left="786"/>
        <w:rPr>
          <w:rFonts w:ascii="Times New Roman" w:hAnsi="Times New Roman"/>
          <w:sz w:val="24"/>
        </w:rPr>
      </w:pPr>
    </w:p>
    <w:p w:rsidR="008064D7" w:rsidRPr="002D1FFB" w:rsidRDefault="008064D7" w:rsidP="00CA1CFE">
      <w:pPr>
        <w:pStyle w:val="Paragraphedeliste"/>
        <w:spacing w:line="240" w:lineRule="auto"/>
        <w:ind w:left="786"/>
        <w:rPr>
          <w:rFonts w:ascii="Times New Roman" w:hAnsi="Times New Roman"/>
          <w:sz w:val="24"/>
          <w:u w:val="single"/>
        </w:rPr>
      </w:pPr>
      <w:r w:rsidRPr="002D1FFB">
        <w:rPr>
          <w:rFonts w:ascii="Times New Roman" w:hAnsi="Times New Roman"/>
          <w:sz w:val="24"/>
        </w:rPr>
        <w:lastRenderedPageBreak/>
        <w:t xml:space="preserve">En retenant l’atteinte non-excessive aux intérêts des créanciers, la directive </w:t>
      </w:r>
      <w:r>
        <w:rPr>
          <w:rFonts w:ascii="Times New Roman" w:hAnsi="Times New Roman"/>
          <w:sz w:val="24"/>
        </w:rPr>
        <w:t xml:space="preserve">permet au juge de refuser la validation ou l’écrasement des créanciers qui recevraient une valeur trop réduite de la capacité contributive calculée sur base de la valeur </w:t>
      </w:r>
      <w:r w:rsidRPr="007C17D3">
        <w:rPr>
          <w:rFonts w:ascii="Times New Roman" w:hAnsi="Times New Roman"/>
          <w:i/>
          <w:sz w:val="24"/>
        </w:rPr>
        <w:t>going-concern</w:t>
      </w:r>
      <w:r w:rsidRPr="002D1FFB">
        <w:rPr>
          <w:rFonts w:ascii="Times New Roman" w:hAnsi="Times New Roman"/>
          <w:sz w:val="24"/>
        </w:rPr>
        <w:t xml:space="preserve">. </w:t>
      </w:r>
    </w:p>
    <w:p w:rsidR="008064D7" w:rsidRDefault="008064D7" w:rsidP="00CA1CFE">
      <w:pPr>
        <w:pStyle w:val="Paragraphedeliste"/>
        <w:spacing w:line="240" w:lineRule="auto"/>
        <w:ind w:left="786"/>
        <w:rPr>
          <w:rFonts w:ascii="Times New Roman" w:hAnsi="Times New Roman"/>
          <w:sz w:val="24"/>
        </w:rPr>
      </w:pPr>
    </w:p>
    <w:p w:rsidR="008064D7" w:rsidRDefault="008064D7" w:rsidP="00CA1CFE">
      <w:pPr>
        <w:pStyle w:val="Paragraphedeliste"/>
        <w:spacing w:line="240" w:lineRule="auto"/>
        <w:ind w:left="786"/>
        <w:rPr>
          <w:rFonts w:ascii="Times New Roman" w:hAnsi="Times New Roman"/>
          <w:sz w:val="24"/>
        </w:rPr>
      </w:pPr>
      <w:r>
        <w:rPr>
          <w:rFonts w:ascii="Times New Roman" w:hAnsi="Times New Roman"/>
          <w:sz w:val="24"/>
        </w:rPr>
        <w:t>En imposant à l’administrateur d’être fiduciaire de l’intérêt des</w:t>
      </w:r>
      <w:r w:rsidRPr="003B62EB">
        <w:rPr>
          <w:rFonts w:ascii="Times New Roman" w:hAnsi="Times New Roman"/>
          <w:i/>
          <w:sz w:val="24"/>
        </w:rPr>
        <w:t xml:space="preserve"> stakeholders</w:t>
      </w:r>
      <w:r>
        <w:rPr>
          <w:rFonts w:ascii="Times New Roman" w:hAnsi="Times New Roman"/>
          <w:sz w:val="24"/>
        </w:rPr>
        <w:t xml:space="preserve"> et non pas simplement de l’intérêt des actionnaires, la directive impose un exercice objectif. Elle impose à l’avocat et au praticien de l’insolvabilité de procéder à une évaluation indépendante de cette maximalisation. </w:t>
      </w:r>
    </w:p>
    <w:p w:rsidR="008064D7" w:rsidRDefault="008064D7" w:rsidP="00CA1CFE">
      <w:pPr>
        <w:pStyle w:val="Paragraphedeliste"/>
        <w:spacing w:line="240" w:lineRule="auto"/>
        <w:ind w:left="786"/>
        <w:rPr>
          <w:rFonts w:ascii="Times New Roman" w:hAnsi="Times New Roman"/>
          <w:sz w:val="24"/>
        </w:rPr>
      </w:pPr>
    </w:p>
    <w:p w:rsidR="008064D7" w:rsidRDefault="008064D7" w:rsidP="00CA1CFE">
      <w:pPr>
        <w:pStyle w:val="Paragraphedeliste"/>
        <w:spacing w:line="240" w:lineRule="auto"/>
        <w:ind w:left="786"/>
        <w:rPr>
          <w:rFonts w:ascii="Times New Roman" w:hAnsi="Times New Roman"/>
          <w:sz w:val="24"/>
        </w:rPr>
      </w:pPr>
      <w:r>
        <w:rPr>
          <w:rFonts w:ascii="Times New Roman" w:hAnsi="Times New Roman"/>
          <w:sz w:val="24"/>
        </w:rPr>
        <w:t xml:space="preserve">Dans l’hypothèse où le praticien de l’insolvabilité appartient à une profession règlementée et qui est relativement contrôlée, le juge pourrait avoir une confiance légitime dans les recommandations et analyses de ce praticien. Dans l’hypothèse où le praticien de l’insolvabilité n’appartient pas à une telle profession mais n’a que pour lui soit l’indépendance déclarée d’un mandataire de justice, soit l’indépendance affichée du conseil de la société, il pourrait avoir besoin de </w:t>
      </w:r>
      <w:r w:rsidRPr="007C17D3">
        <w:rPr>
          <w:rFonts w:ascii="Times New Roman" w:hAnsi="Times New Roman"/>
          <w:i/>
          <w:sz w:val="24"/>
        </w:rPr>
        <w:t>Fair</w:t>
      </w:r>
      <w:r>
        <w:rPr>
          <w:rFonts w:ascii="Times New Roman" w:hAnsi="Times New Roman"/>
          <w:sz w:val="24"/>
        </w:rPr>
        <w:t>e valider ces valeurs par des praticiens de l’insolvabilité indépendants. Le juge doit donc appréhender, désormais, des questions de valeur. Comme le praticien, il doit pouvoir se faire « </w:t>
      </w:r>
      <w:r>
        <w:rPr>
          <w:rFonts w:ascii="Times New Roman" w:hAnsi="Times New Roman"/>
          <w:i/>
          <w:sz w:val="24"/>
        </w:rPr>
        <w:t>religion »</w:t>
      </w:r>
      <w:r>
        <w:rPr>
          <w:rFonts w:ascii="Times New Roman" w:hAnsi="Times New Roman"/>
          <w:sz w:val="24"/>
        </w:rPr>
        <w:t xml:space="preserve"> sur les différents éléments.</w:t>
      </w:r>
    </w:p>
    <w:p w:rsidR="008064D7" w:rsidRDefault="008064D7" w:rsidP="00CA1CFE">
      <w:pPr>
        <w:pStyle w:val="Paragraphedeliste"/>
        <w:spacing w:line="240" w:lineRule="auto"/>
        <w:ind w:left="786"/>
        <w:rPr>
          <w:rFonts w:ascii="Times New Roman" w:hAnsi="Times New Roman"/>
          <w:sz w:val="24"/>
        </w:rPr>
      </w:pPr>
    </w:p>
    <w:p w:rsidR="00C81D82" w:rsidRDefault="00C81D82" w:rsidP="00C81D82">
      <w:pPr>
        <w:pStyle w:val="Titre2"/>
        <w:numPr>
          <w:ilvl w:val="0"/>
          <w:numId w:val="15"/>
        </w:numPr>
        <w:spacing w:before="0" w:line="240" w:lineRule="auto"/>
        <w:rPr>
          <w:rFonts w:ascii="Times New Roman" w:hAnsi="Times New Roman" w:cs="Times New Roman"/>
        </w:rPr>
      </w:pPr>
      <w:bookmarkStart w:id="42" w:name="_Toc55407487"/>
      <w:r>
        <w:rPr>
          <w:rFonts w:ascii="Times New Roman" w:hAnsi="Times New Roman" w:cs="Times New Roman"/>
        </w:rPr>
        <w:t>Conclusion provisoire</w:t>
      </w:r>
      <w:bookmarkEnd w:id="42"/>
    </w:p>
    <w:p w:rsidR="00C81D82" w:rsidRDefault="00C81D82" w:rsidP="00C81D82">
      <w:pPr>
        <w:pStyle w:val="Titre2"/>
        <w:spacing w:before="0" w:line="240" w:lineRule="auto"/>
        <w:rPr>
          <w:rFonts w:ascii="Times New Roman" w:hAnsi="Times New Roman" w:cs="Times New Roman"/>
        </w:rPr>
      </w:pPr>
    </w:p>
    <w:p w:rsidR="00C81D82" w:rsidRPr="00C81D82" w:rsidRDefault="00C81D82" w:rsidP="00A70B3F">
      <w:pPr>
        <w:pStyle w:val="Paragraphedeliste"/>
        <w:numPr>
          <w:ilvl w:val="0"/>
          <w:numId w:val="2"/>
        </w:numPr>
        <w:spacing w:line="240" w:lineRule="auto"/>
        <w:ind w:left="851" w:hanging="567"/>
        <w:rPr>
          <w:rFonts w:ascii="Times New Roman" w:hAnsi="Times New Roman"/>
          <w:sz w:val="26"/>
          <w:u w:val="single"/>
        </w:rPr>
      </w:pPr>
      <w:r w:rsidRPr="00C81D82">
        <w:rPr>
          <w:rFonts w:ascii="Times New Roman" w:hAnsi="Times New Roman"/>
          <w:sz w:val="24"/>
          <w:u w:val="single"/>
        </w:rPr>
        <w:t>Loi de transposition.</w:t>
      </w:r>
      <w:r w:rsidRPr="00C81D82">
        <w:rPr>
          <w:rFonts w:ascii="Times New Roman" w:hAnsi="Times New Roman"/>
          <w:sz w:val="24"/>
        </w:rPr>
        <w:t xml:space="preserve"> La règle de priorité absolue posera au juge – ou au législateur lorsqu’il définira la liberté utilisable pour constituer les classes – un travail de classement de classe (inférieure, supérieure ou égale), de regroupement de créanciers ayant des rangs de droit national différents et hiérarchisés les uns par rapport aux autres, sur des assiettes parfois différentes.</w:t>
      </w:r>
      <w:r>
        <w:rPr>
          <w:rFonts w:ascii="Times New Roman" w:hAnsi="Times New Roman"/>
          <w:sz w:val="24"/>
        </w:rPr>
        <w:t xml:space="preserve"> </w:t>
      </w:r>
      <w:r w:rsidRPr="00C81D82">
        <w:rPr>
          <w:rFonts w:ascii="Times New Roman" w:hAnsi="Times New Roman"/>
          <w:sz w:val="24"/>
        </w:rPr>
        <w:t>La règle de priorité relative ne posera pas, elle, de difficulté mais imposera au juge un examen de l’atteinte excessive, laquelle – me semble-t-il – implique qu’il puisse estimer le paiement proposé insuffisant – comme constituant une atteinte excessive.</w:t>
      </w:r>
    </w:p>
    <w:p w:rsidR="00C81D82" w:rsidRDefault="00C81D82" w:rsidP="00C81D82">
      <w:pPr>
        <w:pStyle w:val="Paragraphedeliste"/>
        <w:spacing w:line="240" w:lineRule="auto"/>
        <w:ind w:left="851"/>
        <w:rPr>
          <w:rFonts w:ascii="Times New Roman" w:hAnsi="Times New Roman"/>
          <w:sz w:val="24"/>
          <w:u w:val="single"/>
        </w:rPr>
      </w:pPr>
    </w:p>
    <w:p w:rsidR="00F23B8B" w:rsidRDefault="00C81D82" w:rsidP="00C81D82">
      <w:pPr>
        <w:pStyle w:val="Paragraphedeliste"/>
        <w:spacing w:line="240" w:lineRule="auto"/>
        <w:ind w:left="851"/>
        <w:rPr>
          <w:rFonts w:ascii="Times New Roman" w:hAnsi="Times New Roman"/>
          <w:sz w:val="24"/>
        </w:rPr>
      </w:pPr>
      <w:r>
        <w:rPr>
          <w:rFonts w:ascii="Times New Roman" w:hAnsi="Times New Roman"/>
          <w:sz w:val="24"/>
        </w:rPr>
        <w:t>Ainsi, la doctrine Américaine du « </w:t>
      </w:r>
      <w:r>
        <w:rPr>
          <w:rFonts w:ascii="Times New Roman" w:hAnsi="Times New Roman"/>
          <w:i/>
          <w:sz w:val="24"/>
        </w:rPr>
        <w:t>Gifting »</w:t>
      </w:r>
      <w:r>
        <w:rPr>
          <w:rFonts w:ascii="Times New Roman" w:hAnsi="Times New Roman"/>
          <w:sz w:val="24"/>
        </w:rPr>
        <w:t xml:space="preserve"> est intégrée : si les créanciers sécurisés consentent à accorder aux non-sécurisés un paiement, l’application interclasse peut ne pas être utile et, en tout cas, ne pas constituer une atteinte excessive. Le traitement « </w:t>
      </w:r>
      <w:r>
        <w:rPr>
          <w:rFonts w:ascii="Times New Roman" w:hAnsi="Times New Roman"/>
          <w:i/>
          <w:sz w:val="24"/>
        </w:rPr>
        <w:t>Fair &amp; equitable »</w:t>
      </w:r>
      <w:r w:rsidR="00F23B8B">
        <w:rPr>
          <w:rFonts w:ascii="Times New Roman" w:hAnsi="Times New Roman"/>
          <w:sz w:val="24"/>
        </w:rPr>
        <w:t>, qui induit une exception (légère) à al rigueur de la priorité absolue (appliquée absolument), est aussi intégré à travers le concept d’atteinte excessive.</w:t>
      </w:r>
    </w:p>
    <w:p w:rsidR="00F23B8B" w:rsidRDefault="00F23B8B" w:rsidP="00C81D82">
      <w:pPr>
        <w:pStyle w:val="Paragraphedeliste"/>
        <w:spacing w:line="240" w:lineRule="auto"/>
        <w:ind w:left="851"/>
        <w:rPr>
          <w:rFonts w:ascii="Times New Roman" w:hAnsi="Times New Roman"/>
          <w:sz w:val="24"/>
        </w:rPr>
      </w:pPr>
    </w:p>
    <w:p w:rsidR="008064D7" w:rsidRPr="00C81D82" w:rsidRDefault="00F23B8B" w:rsidP="00C81D82">
      <w:pPr>
        <w:pStyle w:val="Paragraphedeliste"/>
        <w:spacing w:line="240" w:lineRule="auto"/>
        <w:ind w:left="851"/>
        <w:rPr>
          <w:rFonts w:ascii="Times New Roman" w:hAnsi="Times New Roman"/>
          <w:sz w:val="26"/>
          <w:u w:val="single"/>
        </w:rPr>
      </w:pPr>
      <w:r>
        <w:rPr>
          <w:rFonts w:ascii="Times New Roman" w:hAnsi="Times New Roman"/>
          <w:sz w:val="24"/>
        </w:rPr>
        <w:t>La priorité relative n’est donc pas une option binaire – le législateur devant choisir l’une ou l’autre – mais bien une option cumulable. Le législateur peut choisir de permettre, dans un cas d’espèce, d’ajouter à la rigueur de la priorité absolue une alternative – la priorité relative – laissant au juge, pour atteinte l’objectif, une marge d’appréciation. Cette marge d’appréciation impliquera d’allouer aussi suffisamment aux créanciers.</w:t>
      </w:r>
      <w:r w:rsidR="008064D7" w:rsidRPr="00C81D82">
        <w:rPr>
          <w:rFonts w:ascii="Times New Roman" w:hAnsi="Times New Roman"/>
          <w:sz w:val="26"/>
          <w:u w:val="single"/>
        </w:rPr>
        <w:br w:type="page"/>
      </w:r>
    </w:p>
    <w:p w:rsidR="008064D7" w:rsidRPr="007E4B97" w:rsidRDefault="008064D7" w:rsidP="00CA1CFE">
      <w:pPr>
        <w:pStyle w:val="Titre1"/>
        <w:numPr>
          <w:ilvl w:val="0"/>
          <w:numId w:val="5"/>
        </w:numPr>
        <w:spacing w:before="0" w:line="240" w:lineRule="auto"/>
        <w:rPr>
          <w:rFonts w:ascii="Times New Roman" w:hAnsi="Times New Roman" w:cs="Times New Roman"/>
          <w14:shadow w14:blurRad="50800" w14:dist="38100" w14:dir="2700000" w14:sx="100000" w14:sy="100000" w14:kx="0" w14:ky="0" w14:algn="tl">
            <w14:srgbClr w14:val="000000">
              <w14:alpha w14:val="60000"/>
            </w14:srgbClr>
          </w14:shadow>
        </w:rPr>
      </w:pPr>
      <w:bookmarkStart w:id="43" w:name="_Toc55407488"/>
      <w:r w:rsidRPr="007E4B97">
        <w:rPr>
          <w:rFonts w:ascii="Times New Roman" w:hAnsi="Times New Roman" w:cs="Times New Roman"/>
          <w14:shadow w14:blurRad="50800" w14:dist="38100" w14:dir="2700000" w14:sx="100000" w14:sy="100000" w14:kx="0" w14:ky="0" w14:algn="tl">
            <w14:srgbClr w14:val="000000">
              <w14:alpha w14:val="60000"/>
            </w14:srgbClr>
          </w14:shadow>
        </w:rPr>
        <w:lastRenderedPageBreak/>
        <w:t xml:space="preserve">La Valeur </w:t>
      </w:r>
      <w:r>
        <w:rPr>
          <w:rFonts w:ascii="Times New Roman" w:hAnsi="Times New Roman" w:cs="Times New Roman"/>
          <w14:shadow w14:blurRad="50800" w14:dist="38100" w14:dir="2700000" w14:sx="100000" w14:sy="100000" w14:kx="0" w14:ky="0" w14:algn="tl">
            <w14:srgbClr w14:val="000000">
              <w14:alpha w14:val="60000"/>
            </w14:srgbClr>
          </w14:shadow>
        </w:rPr>
        <w:t>lors du paiement en actions</w:t>
      </w:r>
      <w:bookmarkEnd w:id="43"/>
      <w:r>
        <w:rPr>
          <w:rFonts w:ascii="Times New Roman" w:hAnsi="Times New Roman" w:cs="Times New Roman"/>
          <w14:shadow w14:blurRad="50800" w14:dist="38100" w14:dir="2700000" w14:sx="100000" w14:sy="100000" w14:kx="0" w14:ky="0" w14:algn="tl">
            <w14:srgbClr w14:val="000000">
              <w14:alpha w14:val="60000"/>
            </w14:srgbClr>
          </w14:shadow>
        </w:rPr>
        <w:t xml:space="preserve"> </w:t>
      </w:r>
      <w:r w:rsidRPr="007E4B97">
        <w:rPr>
          <w:rFonts w:ascii="Times New Roman" w:hAnsi="Times New Roman" w:cs="Times New Roman"/>
          <w14:shadow w14:blurRad="50800" w14:dist="38100" w14:dir="2700000" w14:sx="100000" w14:sy="100000" w14:kx="0" w14:ky="0" w14:algn="tl">
            <w14:srgbClr w14:val="000000">
              <w14:alpha w14:val="60000"/>
            </w14:srgbClr>
          </w14:shadow>
        </w:rPr>
        <w:t xml:space="preserve"> </w:t>
      </w:r>
    </w:p>
    <w:p w:rsidR="008064D7" w:rsidRDefault="008064D7" w:rsidP="00DB4444">
      <w:pPr>
        <w:spacing w:line="240" w:lineRule="auto"/>
        <w:ind w:left="426"/>
        <w:rPr>
          <w:rFonts w:ascii="Times New Roman" w:hAnsi="Times New Roman"/>
          <w:sz w:val="24"/>
        </w:rPr>
      </w:pPr>
    </w:p>
    <w:p w:rsidR="00C07311" w:rsidRPr="00C07311" w:rsidRDefault="00C07311" w:rsidP="00C07311">
      <w:pPr>
        <w:pStyle w:val="Titre2"/>
        <w:numPr>
          <w:ilvl w:val="0"/>
          <w:numId w:val="45"/>
        </w:numPr>
        <w:spacing w:before="0" w:line="240" w:lineRule="auto"/>
        <w:rPr>
          <w:rFonts w:ascii="Times New Roman" w:hAnsi="Times New Roman" w:cs="Times New Roman"/>
        </w:rPr>
      </w:pPr>
      <w:bookmarkStart w:id="44" w:name="_Toc55407489"/>
      <w:r w:rsidRPr="00C07311">
        <w:rPr>
          <w:rFonts w:ascii="Times New Roman" w:hAnsi="Times New Roman" w:cs="Times New Roman"/>
        </w:rPr>
        <w:t>Position de la question</w:t>
      </w:r>
      <w:bookmarkEnd w:id="44"/>
    </w:p>
    <w:p w:rsidR="00C07311" w:rsidRPr="00C07311" w:rsidRDefault="00C07311" w:rsidP="00C07311">
      <w:pPr>
        <w:pStyle w:val="Paragraphedeliste"/>
        <w:spacing w:line="240" w:lineRule="auto"/>
        <w:ind w:left="851"/>
        <w:rPr>
          <w:rFonts w:ascii="Times New Roman" w:hAnsi="Times New Roman"/>
          <w:sz w:val="24"/>
        </w:rPr>
      </w:pPr>
    </w:p>
    <w:p w:rsidR="008064D7" w:rsidRDefault="00C07311" w:rsidP="00A70B3F">
      <w:pPr>
        <w:pStyle w:val="Paragraphedeliste"/>
        <w:numPr>
          <w:ilvl w:val="0"/>
          <w:numId w:val="2"/>
        </w:numPr>
        <w:spacing w:line="240" w:lineRule="auto"/>
        <w:ind w:left="851" w:hanging="567"/>
        <w:rPr>
          <w:rFonts w:ascii="Times New Roman" w:hAnsi="Times New Roman"/>
          <w:sz w:val="24"/>
        </w:rPr>
      </w:pPr>
      <w:r>
        <w:rPr>
          <w:rFonts w:ascii="Times New Roman" w:hAnsi="Times New Roman"/>
          <w:sz w:val="24"/>
        </w:rPr>
        <w:t>En droit interne, l</w:t>
      </w:r>
      <w:r w:rsidR="008064D7">
        <w:rPr>
          <w:rFonts w:ascii="Times New Roman" w:hAnsi="Times New Roman"/>
          <w:sz w:val="24"/>
        </w:rPr>
        <w:t xml:space="preserve">’article XX.72 actuel prévoit que : </w:t>
      </w:r>
      <w:r w:rsidR="008064D7" w:rsidRPr="005A428E">
        <w:rPr>
          <w:rFonts w:ascii="Times New Roman" w:hAnsi="Times New Roman"/>
          <w:i/>
          <w:sz w:val="24"/>
        </w:rPr>
        <w:t>« le plan peut prévoi</w:t>
      </w:r>
      <w:r w:rsidR="008064D7">
        <w:rPr>
          <w:rFonts w:ascii="Times New Roman" w:hAnsi="Times New Roman"/>
          <w:i/>
          <w:sz w:val="24"/>
        </w:rPr>
        <w:t>r, sauf à l’égard des créances des entités visées à l’article XX 1</w:t>
      </w:r>
      <w:r w:rsidR="008064D7" w:rsidRPr="005A428E">
        <w:rPr>
          <w:rFonts w:ascii="Times New Roman" w:hAnsi="Times New Roman"/>
          <w:i/>
          <w:sz w:val="24"/>
          <w:vertAlign w:val="superscript"/>
        </w:rPr>
        <w:t>er</w:t>
      </w:r>
      <w:r w:rsidR="008064D7">
        <w:rPr>
          <w:rFonts w:ascii="Times New Roman" w:hAnsi="Times New Roman"/>
          <w:i/>
          <w:sz w:val="24"/>
        </w:rPr>
        <w:t xml:space="preserve"> §1 al. 2c</w:t>
      </w:r>
      <w:r>
        <w:rPr>
          <w:rFonts w:ascii="Times New Roman" w:hAnsi="Times New Roman"/>
          <w:i/>
          <w:sz w:val="24"/>
        </w:rPr>
        <w:t>,</w:t>
      </w:r>
      <w:r w:rsidR="008064D7">
        <w:rPr>
          <w:rFonts w:ascii="Times New Roman" w:hAnsi="Times New Roman"/>
          <w:i/>
          <w:sz w:val="24"/>
        </w:rPr>
        <w:t xml:space="preserve"> la conversion des créances en actions »</w:t>
      </w:r>
      <w:r w:rsidR="008064D7">
        <w:rPr>
          <w:rFonts w:ascii="Times New Roman" w:hAnsi="Times New Roman"/>
          <w:sz w:val="24"/>
        </w:rPr>
        <w:t xml:space="preserve">.  </w:t>
      </w:r>
    </w:p>
    <w:p w:rsidR="008064D7" w:rsidRDefault="008064D7" w:rsidP="00366DEE">
      <w:pPr>
        <w:pStyle w:val="Paragraphedeliste"/>
        <w:spacing w:line="240" w:lineRule="auto"/>
        <w:ind w:left="786"/>
        <w:rPr>
          <w:rFonts w:ascii="Times New Roman" w:hAnsi="Times New Roman"/>
          <w:sz w:val="24"/>
          <w:u w:val="single"/>
        </w:rPr>
      </w:pPr>
    </w:p>
    <w:p w:rsidR="008064D7" w:rsidRDefault="008064D7" w:rsidP="00366DEE">
      <w:pPr>
        <w:pStyle w:val="Paragraphedeliste"/>
        <w:spacing w:line="240" w:lineRule="auto"/>
        <w:ind w:left="786"/>
        <w:rPr>
          <w:rFonts w:ascii="Times New Roman" w:hAnsi="Times New Roman"/>
          <w:sz w:val="24"/>
        </w:rPr>
      </w:pPr>
      <w:r w:rsidRPr="00BD1399">
        <w:rPr>
          <w:rFonts w:ascii="Times New Roman" w:hAnsi="Times New Roman"/>
          <w:sz w:val="24"/>
        </w:rPr>
        <w:t>Ce texte est précédé par un 1</w:t>
      </w:r>
      <w:r w:rsidRPr="00BD1399">
        <w:rPr>
          <w:rFonts w:ascii="Times New Roman" w:hAnsi="Times New Roman"/>
          <w:sz w:val="24"/>
          <w:vertAlign w:val="superscript"/>
        </w:rPr>
        <w:t>er</w:t>
      </w:r>
      <w:r w:rsidRPr="00BD1399">
        <w:rPr>
          <w:rFonts w:ascii="Times New Roman" w:hAnsi="Times New Roman"/>
          <w:sz w:val="24"/>
        </w:rPr>
        <w:t xml:space="preserve"> paragraphe qui prévoit que le plan indique les délais de paiement et les abattements de créance et par </w:t>
      </w:r>
      <w:r>
        <w:rPr>
          <w:rFonts w:ascii="Times New Roman" w:hAnsi="Times New Roman"/>
          <w:sz w:val="24"/>
        </w:rPr>
        <w:t>paragraphe</w:t>
      </w:r>
      <w:r w:rsidRPr="00BD1399">
        <w:rPr>
          <w:rFonts w:ascii="Times New Roman" w:hAnsi="Times New Roman"/>
          <w:sz w:val="24"/>
        </w:rPr>
        <w:t xml:space="preserve"> subséquent qui prévoit qu’il peut prévoir le règlement différencié de certaines catégories de créances, notamment en fonction de leur nature et leur ampleur. L</w:t>
      </w:r>
      <w:r>
        <w:rPr>
          <w:rFonts w:ascii="Times New Roman" w:hAnsi="Times New Roman"/>
          <w:sz w:val="24"/>
        </w:rPr>
        <w:t>’article XX.</w:t>
      </w:r>
      <w:r w:rsidRPr="00BD1399">
        <w:rPr>
          <w:rFonts w:ascii="Times New Roman" w:hAnsi="Times New Roman"/>
          <w:sz w:val="24"/>
        </w:rPr>
        <w:t xml:space="preserve">73 prévoit que les propositions dans le plan incluent pour tous les créanciers une proposition de paiement qui ne peut être inférieur à 20% du montant de la créance en principal, sauf dérogation spéciale et que si le plan prévoit un traitement différencié des créanciers, il ne peut accorder aux créanciers publics munis d’un privilège général un traitement moins favorable que celui qu’il accorde aux créanciers sursitaires ordinaires </w:t>
      </w:r>
      <w:r w:rsidRPr="00BD1399">
        <w:rPr>
          <w:rFonts w:ascii="Times New Roman" w:hAnsi="Times New Roman"/>
          <w:sz w:val="24"/>
          <w:u w:val="single"/>
        </w:rPr>
        <w:t>les plus favorisés</w:t>
      </w:r>
      <w:r w:rsidRPr="00BD1399">
        <w:rPr>
          <w:rFonts w:ascii="Times New Roman" w:hAnsi="Times New Roman"/>
          <w:sz w:val="24"/>
        </w:rPr>
        <w:t xml:space="preserve">. </w:t>
      </w:r>
      <w:r>
        <w:rPr>
          <w:rFonts w:ascii="Times New Roman" w:hAnsi="Times New Roman"/>
          <w:sz w:val="24"/>
        </w:rPr>
        <w:t xml:space="preserve"> </w:t>
      </w:r>
    </w:p>
    <w:p w:rsidR="008064D7" w:rsidRDefault="008064D7" w:rsidP="00366DEE">
      <w:pPr>
        <w:pStyle w:val="Paragraphedeliste"/>
        <w:spacing w:line="240" w:lineRule="auto"/>
        <w:ind w:left="786"/>
        <w:rPr>
          <w:rFonts w:ascii="Times New Roman" w:hAnsi="Times New Roman"/>
          <w:sz w:val="24"/>
        </w:rPr>
      </w:pPr>
    </w:p>
    <w:p w:rsidR="008064D7" w:rsidRDefault="008064D7" w:rsidP="00366DEE">
      <w:pPr>
        <w:pStyle w:val="Paragraphedeliste"/>
        <w:spacing w:line="240" w:lineRule="auto"/>
        <w:ind w:left="786"/>
        <w:rPr>
          <w:rFonts w:ascii="Times New Roman" w:hAnsi="Times New Roman"/>
          <w:sz w:val="24"/>
        </w:rPr>
      </w:pPr>
      <w:r w:rsidRPr="00EE1371">
        <w:rPr>
          <w:rFonts w:ascii="Times New Roman" w:hAnsi="Times New Roman"/>
          <w:sz w:val="24"/>
        </w:rPr>
        <w:t xml:space="preserve">Le texte ne dit </w:t>
      </w:r>
      <w:r>
        <w:rPr>
          <w:rFonts w:ascii="Times New Roman" w:hAnsi="Times New Roman"/>
          <w:sz w:val="24"/>
        </w:rPr>
        <w:t>donc</w:t>
      </w:r>
      <w:r w:rsidR="00C07311">
        <w:rPr>
          <w:rFonts w:ascii="Times New Roman" w:hAnsi="Times New Roman"/>
          <w:sz w:val="24"/>
        </w:rPr>
        <w:t xml:space="preserve"> rien</w:t>
      </w:r>
      <w:r>
        <w:rPr>
          <w:rFonts w:ascii="Times New Roman" w:hAnsi="Times New Roman"/>
          <w:sz w:val="24"/>
        </w:rPr>
        <w:t xml:space="preserve"> sur les règles à utiliser </w:t>
      </w:r>
      <w:r w:rsidRPr="00EE1371">
        <w:rPr>
          <w:rFonts w:ascii="Times New Roman" w:hAnsi="Times New Roman"/>
          <w:sz w:val="24"/>
        </w:rPr>
        <w:t>pour régler la conversion des créances sursitaires</w:t>
      </w:r>
      <w:r>
        <w:rPr>
          <w:rFonts w:ascii="Times New Roman" w:hAnsi="Times New Roman"/>
          <w:sz w:val="24"/>
        </w:rPr>
        <w:t xml:space="preserve"> subordonnées ou pas</w:t>
      </w:r>
      <w:r w:rsidRPr="00EE1371">
        <w:rPr>
          <w:rFonts w:ascii="Times New Roman" w:hAnsi="Times New Roman"/>
          <w:sz w:val="24"/>
        </w:rPr>
        <w:t xml:space="preserve">, ordinaires ou extraordinaires en action et, en particulier, rien sur la question </w:t>
      </w:r>
      <w:r>
        <w:rPr>
          <w:rFonts w:ascii="Times New Roman" w:hAnsi="Times New Roman"/>
          <w:sz w:val="24"/>
        </w:rPr>
        <w:t>du rapport d’échange à utiliser qui se base sur une valeur de l’entreprise</w:t>
      </w:r>
      <w:r w:rsidRPr="00EE1371">
        <w:rPr>
          <w:rFonts w:ascii="Times New Roman" w:hAnsi="Times New Roman"/>
          <w:sz w:val="24"/>
        </w:rPr>
        <w:t xml:space="preserve">. </w:t>
      </w:r>
    </w:p>
    <w:p w:rsidR="00C07311" w:rsidRDefault="00C07311" w:rsidP="00366DEE">
      <w:pPr>
        <w:pStyle w:val="Paragraphedeliste"/>
        <w:spacing w:line="240" w:lineRule="auto"/>
        <w:ind w:left="786"/>
        <w:rPr>
          <w:rFonts w:ascii="Times New Roman" w:hAnsi="Times New Roman"/>
          <w:sz w:val="24"/>
        </w:rPr>
      </w:pPr>
    </w:p>
    <w:p w:rsidR="00C07311" w:rsidRDefault="00C07311" w:rsidP="00C07311">
      <w:pPr>
        <w:pStyle w:val="Paragraphedeliste"/>
        <w:numPr>
          <w:ilvl w:val="0"/>
          <w:numId w:val="2"/>
        </w:numPr>
        <w:spacing w:line="240" w:lineRule="auto"/>
        <w:ind w:left="851" w:hanging="567"/>
        <w:rPr>
          <w:rFonts w:ascii="Times New Roman" w:hAnsi="Times New Roman"/>
          <w:sz w:val="24"/>
        </w:rPr>
      </w:pPr>
      <w:r>
        <w:rPr>
          <w:rFonts w:ascii="Times New Roman" w:hAnsi="Times New Roman"/>
          <w:sz w:val="24"/>
          <w:u w:val="single"/>
        </w:rPr>
        <w:t>La priorité absolue et relative</w:t>
      </w:r>
      <w:r>
        <w:rPr>
          <w:rFonts w:ascii="Times New Roman" w:hAnsi="Times New Roman"/>
          <w:sz w:val="24"/>
        </w:rPr>
        <w:t>. La règle de priorité absolue n’empêche pas de considérer qu’un paiement fait en action désintéresse une classe de créanciers. Les exceptions reprises dans la règle de priorité relative (art. 11, 2°, 1</w:t>
      </w:r>
      <w:r w:rsidRPr="00C07311">
        <w:rPr>
          <w:rFonts w:ascii="Times New Roman" w:hAnsi="Times New Roman"/>
          <w:sz w:val="24"/>
          <w:vertAlign w:val="superscript"/>
        </w:rPr>
        <w:t>er</w:t>
      </w:r>
      <w:r>
        <w:rPr>
          <w:rFonts w:ascii="Times New Roman" w:hAnsi="Times New Roman"/>
          <w:sz w:val="24"/>
        </w:rPr>
        <w:t xml:space="preserve"> bout de phrase), à savoir un désintéressement par des moyens identiques ou équivalents – comme la référence faite au considérant 55, moyens équivalents qui permettraient d’acquitter intégralement la créance – font clairement référence à un paiement en actions. La liaison entre les considérants 55, 56 et 57 consacrent cette possibilité. Reste à apprécier comment s’opère cette conversion et, dès lors, comment évaluer ce paiement pour la règle de priorité.</w:t>
      </w:r>
    </w:p>
    <w:p w:rsidR="00187B93" w:rsidRDefault="00187B93" w:rsidP="00187B93">
      <w:pPr>
        <w:pStyle w:val="Paragraphedeliste"/>
        <w:spacing w:line="240" w:lineRule="auto"/>
        <w:ind w:left="851"/>
        <w:rPr>
          <w:rFonts w:ascii="Times New Roman" w:hAnsi="Times New Roman"/>
          <w:sz w:val="24"/>
          <w:u w:val="single"/>
        </w:rPr>
      </w:pPr>
    </w:p>
    <w:p w:rsidR="00187B93" w:rsidRPr="00187B93" w:rsidRDefault="00187B93" w:rsidP="00187B93">
      <w:pPr>
        <w:pStyle w:val="Titre2"/>
        <w:numPr>
          <w:ilvl w:val="0"/>
          <w:numId w:val="45"/>
        </w:numPr>
        <w:spacing w:before="0" w:line="240" w:lineRule="auto"/>
        <w:rPr>
          <w:rFonts w:ascii="Times New Roman" w:hAnsi="Times New Roman" w:cs="Times New Roman"/>
        </w:rPr>
      </w:pPr>
      <w:bookmarkStart w:id="45" w:name="_Toc55407490"/>
      <w:r w:rsidRPr="00187B93">
        <w:rPr>
          <w:rFonts w:ascii="Times New Roman" w:hAnsi="Times New Roman" w:cs="Times New Roman"/>
        </w:rPr>
        <w:t>En droit Américain</w:t>
      </w:r>
      <w:bookmarkEnd w:id="45"/>
    </w:p>
    <w:p w:rsidR="008064D7" w:rsidRDefault="008064D7" w:rsidP="00EE1371">
      <w:pPr>
        <w:spacing w:line="240" w:lineRule="auto"/>
        <w:ind w:left="786"/>
        <w:rPr>
          <w:rFonts w:ascii="Times New Roman" w:hAnsi="Times New Roman"/>
          <w:sz w:val="24"/>
        </w:rPr>
      </w:pPr>
    </w:p>
    <w:p w:rsidR="00187B93" w:rsidRDefault="008064D7" w:rsidP="00A70B3F">
      <w:pPr>
        <w:pStyle w:val="Paragraphedeliste"/>
        <w:numPr>
          <w:ilvl w:val="0"/>
          <w:numId w:val="2"/>
        </w:numPr>
        <w:spacing w:line="240" w:lineRule="auto"/>
        <w:ind w:left="851" w:hanging="567"/>
        <w:rPr>
          <w:rFonts w:ascii="Times New Roman" w:hAnsi="Times New Roman"/>
          <w:sz w:val="24"/>
        </w:rPr>
      </w:pPr>
      <w:r>
        <w:rPr>
          <w:rFonts w:ascii="Times New Roman" w:hAnsi="Times New Roman"/>
          <w:sz w:val="24"/>
          <w:u w:val="single"/>
        </w:rPr>
        <w:t>Le droit américain traite des actionnaires</w:t>
      </w:r>
      <w:r>
        <w:rPr>
          <w:rFonts w:ascii="Times New Roman" w:hAnsi="Times New Roman"/>
          <w:sz w:val="24"/>
        </w:rPr>
        <w:t xml:space="preserve">. </w:t>
      </w:r>
      <w:r w:rsidR="00A70B3F">
        <w:rPr>
          <w:rFonts w:ascii="Times New Roman" w:hAnsi="Times New Roman"/>
          <w:sz w:val="24"/>
        </w:rPr>
        <w:t>Dès</w:t>
      </w:r>
      <w:r>
        <w:rPr>
          <w:rFonts w:ascii="Times New Roman" w:hAnsi="Times New Roman"/>
          <w:sz w:val="24"/>
        </w:rPr>
        <w:t xml:space="preserve"> la réforme de 1978, le législateur a </w:t>
      </w:r>
      <w:r w:rsidR="00A70B3F">
        <w:rPr>
          <w:rFonts w:ascii="Times New Roman" w:hAnsi="Times New Roman"/>
          <w:sz w:val="24"/>
        </w:rPr>
        <w:t>permis</w:t>
      </w:r>
      <w:r>
        <w:rPr>
          <w:rFonts w:ascii="Times New Roman" w:hAnsi="Times New Roman"/>
          <w:sz w:val="24"/>
        </w:rPr>
        <w:t xml:space="preserve"> au débiteur de payer ses créanciers autrement qu’en cash par la remise d’actifs et</w:t>
      </w:r>
      <w:r w:rsidR="00187B93">
        <w:rPr>
          <w:rFonts w:ascii="Times New Roman" w:hAnsi="Times New Roman"/>
          <w:sz w:val="24"/>
        </w:rPr>
        <w:t>,</w:t>
      </w:r>
      <w:r>
        <w:rPr>
          <w:rFonts w:ascii="Times New Roman" w:hAnsi="Times New Roman"/>
          <w:sz w:val="24"/>
        </w:rPr>
        <w:t xml:space="preserve"> par conséquent</w:t>
      </w:r>
      <w:r w:rsidR="00187B93">
        <w:rPr>
          <w:rFonts w:ascii="Times New Roman" w:hAnsi="Times New Roman"/>
          <w:sz w:val="24"/>
        </w:rPr>
        <w:t>, notamment</w:t>
      </w:r>
      <w:r>
        <w:rPr>
          <w:rFonts w:ascii="Times New Roman" w:hAnsi="Times New Roman"/>
          <w:sz w:val="24"/>
        </w:rPr>
        <w:t xml:space="preserve"> par la remise d’actions que possédait la société ou par des actions émises à l’occasion d’une augmentation de </w:t>
      </w:r>
      <w:r w:rsidR="00A70B3F">
        <w:rPr>
          <w:rFonts w:ascii="Times New Roman" w:hAnsi="Times New Roman"/>
          <w:sz w:val="24"/>
        </w:rPr>
        <w:t xml:space="preserve">capital. </w:t>
      </w:r>
    </w:p>
    <w:p w:rsidR="00187B93" w:rsidRDefault="00187B93" w:rsidP="00187B93">
      <w:pPr>
        <w:pStyle w:val="Paragraphedeliste"/>
        <w:spacing w:line="240" w:lineRule="auto"/>
        <w:ind w:left="851"/>
        <w:rPr>
          <w:rFonts w:ascii="Times New Roman" w:hAnsi="Times New Roman"/>
          <w:sz w:val="24"/>
          <w:u w:val="single"/>
        </w:rPr>
      </w:pPr>
    </w:p>
    <w:p w:rsidR="00187B93" w:rsidRDefault="00A70B3F" w:rsidP="00187B93">
      <w:pPr>
        <w:pStyle w:val="Paragraphedeliste"/>
        <w:spacing w:line="240" w:lineRule="auto"/>
        <w:ind w:left="851"/>
        <w:rPr>
          <w:rFonts w:ascii="Times New Roman" w:hAnsi="Times New Roman"/>
          <w:sz w:val="24"/>
        </w:rPr>
      </w:pPr>
      <w:r>
        <w:rPr>
          <w:rFonts w:ascii="Times New Roman" w:hAnsi="Times New Roman"/>
          <w:sz w:val="24"/>
        </w:rPr>
        <w:t>La</w:t>
      </w:r>
      <w:r w:rsidR="008064D7">
        <w:rPr>
          <w:rFonts w:ascii="Times New Roman" w:hAnsi="Times New Roman"/>
          <w:sz w:val="24"/>
        </w:rPr>
        <w:t xml:space="preserve"> mise en œuvre de cette </w:t>
      </w:r>
      <w:r>
        <w:rPr>
          <w:rFonts w:ascii="Times New Roman" w:hAnsi="Times New Roman"/>
          <w:sz w:val="24"/>
        </w:rPr>
        <w:t>possibilité</w:t>
      </w:r>
      <w:r w:rsidR="008064D7">
        <w:rPr>
          <w:rFonts w:ascii="Times New Roman" w:hAnsi="Times New Roman"/>
          <w:sz w:val="24"/>
        </w:rPr>
        <w:t xml:space="preserve"> dépend du statut </w:t>
      </w:r>
      <w:r w:rsidR="00187B93">
        <w:rPr>
          <w:rFonts w:ascii="Times New Roman" w:hAnsi="Times New Roman"/>
          <w:sz w:val="24"/>
        </w:rPr>
        <w:t xml:space="preserve">juridique </w:t>
      </w:r>
      <w:r w:rsidR="008064D7">
        <w:rPr>
          <w:rFonts w:ascii="Times New Roman" w:hAnsi="Times New Roman"/>
          <w:sz w:val="24"/>
        </w:rPr>
        <w:t>de la société</w:t>
      </w:r>
      <w:r w:rsidR="00C07311">
        <w:rPr>
          <w:rFonts w:ascii="Times New Roman" w:hAnsi="Times New Roman"/>
          <w:sz w:val="24"/>
        </w:rPr>
        <w:t xml:space="preserve"> </w:t>
      </w:r>
      <w:r w:rsidR="008064D7">
        <w:rPr>
          <w:rFonts w:ascii="Times New Roman" w:hAnsi="Times New Roman"/>
          <w:sz w:val="24"/>
        </w:rPr>
        <w:t>- cotée ou non</w:t>
      </w:r>
      <w:r w:rsidR="00C07311">
        <w:rPr>
          <w:rFonts w:ascii="Times New Roman" w:hAnsi="Times New Roman"/>
          <w:sz w:val="24"/>
        </w:rPr>
        <w:t xml:space="preserve"> -</w:t>
      </w:r>
      <w:r w:rsidR="008064D7">
        <w:rPr>
          <w:rFonts w:ascii="Times New Roman" w:hAnsi="Times New Roman"/>
          <w:sz w:val="24"/>
        </w:rPr>
        <w:t xml:space="preserve"> et par conséquent soumise à la SEC ou non, et du droit national des Etats. </w:t>
      </w:r>
    </w:p>
    <w:p w:rsidR="00187B93" w:rsidRDefault="00187B93" w:rsidP="00187B93">
      <w:pPr>
        <w:pStyle w:val="Paragraphedeliste"/>
        <w:spacing w:line="240" w:lineRule="auto"/>
        <w:ind w:left="851"/>
        <w:rPr>
          <w:rFonts w:ascii="Times New Roman" w:hAnsi="Times New Roman"/>
          <w:sz w:val="24"/>
        </w:rPr>
      </w:pPr>
    </w:p>
    <w:p w:rsidR="00187B93" w:rsidRDefault="008064D7" w:rsidP="00187B93">
      <w:pPr>
        <w:pStyle w:val="Paragraphedeliste"/>
        <w:spacing w:line="240" w:lineRule="auto"/>
        <w:ind w:left="851"/>
        <w:rPr>
          <w:rFonts w:ascii="Times New Roman" w:hAnsi="Times New Roman"/>
          <w:sz w:val="24"/>
        </w:rPr>
      </w:pPr>
      <w:r>
        <w:rPr>
          <w:rFonts w:ascii="Times New Roman" w:hAnsi="Times New Roman"/>
          <w:sz w:val="24"/>
        </w:rPr>
        <w:t xml:space="preserve">Les cas les plus récents et célèbres se sont réalisé dans le cadre </w:t>
      </w:r>
      <w:r w:rsidR="00A70B3F">
        <w:rPr>
          <w:rFonts w:ascii="Times New Roman" w:hAnsi="Times New Roman"/>
          <w:sz w:val="24"/>
        </w:rPr>
        <w:t>des accords</w:t>
      </w:r>
      <w:r>
        <w:rPr>
          <w:rFonts w:ascii="Times New Roman" w:hAnsi="Times New Roman"/>
          <w:sz w:val="24"/>
        </w:rPr>
        <w:t xml:space="preserve"> que permet de consacrer le chapter 11</w:t>
      </w:r>
      <w:r w:rsidR="00C07311">
        <w:rPr>
          <w:rFonts w:ascii="Times New Roman" w:hAnsi="Times New Roman"/>
          <w:sz w:val="24"/>
        </w:rPr>
        <w:t>,</w:t>
      </w:r>
      <w:r>
        <w:rPr>
          <w:rFonts w:ascii="Times New Roman" w:hAnsi="Times New Roman"/>
          <w:sz w:val="24"/>
        </w:rPr>
        <w:t xml:space="preserve"> mais cette solution a été mise en œuvre aussi pour des DIP financing comme dans le cas Hertz que nous citions. </w:t>
      </w:r>
    </w:p>
    <w:p w:rsidR="00187B93" w:rsidRDefault="00187B93" w:rsidP="00187B93">
      <w:pPr>
        <w:pStyle w:val="Paragraphedeliste"/>
        <w:spacing w:line="240" w:lineRule="auto"/>
        <w:ind w:left="851"/>
        <w:rPr>
          <w:rFonts w:ascii="Times New Roman" w:hAnsi="Times New Roman"/>
          <w:sz w:val="24"/>
        </w:rPr>
      </w:pPr>
    </w:p>
    <w:p w:rsidR="008064D7" w:rsidRDefault="008064D7" w:rsidP="00187B93">
      <w:pPr>
        <w:pStyle w:val="Paragraphedeliste"/>
        <w:spacing w:line="240" w:lineRule="auto"/>
        <w:ind w:left="851"/>
        <w:rPr>
          <w:rFonts w:ascii="Times New Roman" w:hAnsi="Times New Roman"/>
          <w:sz w:val="24"/>
        </w:rPr>
      </w:pPr>
      <w:r>
        <w:rPr>
          <w:rFonts w:ascii="Times New Roman" w:hAnsi="Times New Roman"/>
          <w:sz w:val="24"/>
        </w:rPr>
        <w:t>Les actionnaires forment souvent un comité à l’instar du comité des créanciers en disposant des droits procéduraux qui y sont attachés</w:t>
      </w:r>
      <w:r w:rsidR="00C07311">
        <w:rPr>
          <w:rFonts w:ascii="Times New Roman" w:hAnsi="Times New Roman"/>
          <w:sz w:val="24"/>
        </w:rPr>
        <w:t>,</w:t>
      </w:r>
      <w:r>
        <w:rPr>
          <w:rFonts w:ascii="Times New Roman" w:hAnsi="Times New Roman"/>
          <w:sz w:val="24"/>
        </w:rPr>
        <w:t xml:space="preserve"> mais ils peuvent aussi être réunis </w:t>
      </w:r>
      <w:r>
        <w:rPr>
          <w:rFonts w:ascii="Times New Roman" w:hAnsi="Times New Roman"/>
          <w:sz w:val="24"/>
        </w:rPr>
        <w:lastRenderedPageBreak/>
        <w:t xml:space="preserve">dans deux classe (celle des actions de préférence et celle des actions communes) envers qui le plan peut être imposé. </w:t>
      </w:r>
    </w:p>
    <w:p w:rsidR="008064D7" w:rsidRDefault="008064D7" w:rsidP="004A120D">
      <w:pPr>
        <w:pStyle w:val="Paragraphedeliste"/>
        <w:spacing w:line="240" w:lineRule="auto"/>
        <w:ind w:left="786"/>
        <w:rPr>
          <w:rFonts w:ascii="Times New Roman" w:hAnsi="Times New Roman"/>
          <w:sz w:val="24"/>
        </w:rPr>
      </w:pPr>
    </w:p>
    <w:p w:rsidR="00816D26" w:rsidRDefault="00187B93" w:rsidP="004A120D">
      <w:pPr>
        <w:pStyle w:val="Paragraphedeliste"/>
        <w:spacing w:line="240" w:lineRule="auto"/>
        <w:ind w:left="786"/>
        <w:rPr>
          <w:rFonts w:ascii="Times New Roman" w:hAnsi="Times New Roman"/>
          <w:sz w:val="24"/>
        </w:rPr>
      </w:pPr>
      <w:r>
        <w:rPr>
          <w:rFonts w:ascii="Times New Roman" w:hAnsi="Times New Roman"/>
          <w:sz w:val="24"/>
        </w:rPr>
        <w:t>De</w:t>
      </w:r>
      <w:r w:rsidR="008064D7">
        <w:rPr>
          <w:rFonts w:ascii="Times New Roman" w:hAnsi="Times New Roman"/>
          <w:sz w:val="24"/>
        </w:rPr>
        <w:t xml:space="preserve"> nombreuses réorganisations</w:t>
      </w:r>
      <w:r>
        <w:rPr>
          <w:rFonts w:ascii="Times New Roman" w:hAnsi="Times New Roman"/>
          <w:sz w:val="24"/>
        </w:rPr>
        <w:t xml:space="preserve"> américaines </w:t>
      </w:r>
      <w:r w:rsidR="008064D7">
        <w:rPr>
          <w:rFonts w:ascii="Times New Roman" w:hAnsi="Times New Roman"/>
          <w:sz w:val="24"/>
        </w:rPr>
        <w:t>permettent de combiner la conversion en actions de créanciers existants</w:t>
      </w:r>
      <w:r>
        <w:rPr>
          <w:rFonts w:ascii="Times New Roman" w:hAnsi="Times New Roman"/>
          <w:sz w:val="24"/>
        </w:rPr>
        <w:t xml:space="preserve"> </w:t>
      </w:r>
      <w:r w:rsidR="008064D7">
        <w:rPr>
          <w:rFonts w:ascii="Times New Roman" w:hAnsi="Times New Roman"/>
          <w:sz w:val="24"/>
        </w:rPr>
        <w:t>- parfois disposant d’une super</w:t>
      </w:r>
      <w:r w:rsidR="00A70B3F">
        <w:rPr>
          <w:rFonts w:ascii="Times New Roman" w:hAnsi="Times New Roman"/>
          <w:sz w:val="24"/>
        </w:rPr>
        <w:t xml:space="preserve"> priorité (DIP financing) ou d’un gage (</w:t>
      </w:r>
      <w:r w:rsidR="008064D7">
        <w:rPr>
          <w:rFonts w:ascii="Times New Roman" w:hAnsi="Times New Roman"/>
          <w:sz w:val="24"/>
        </w:rPr>
        <w:t xml:space="preserve">secured) et qui </w:t>
      </w:r>
      <w:r>
        <w:rPr>
          <w:rFonts w:ascii="Times New Roman" w:hAnsi="Times New Roman"/>
          <w:sz w:val="24"/>
        </w:rPr>
        <w:t>auraient</w:t>
      </w:r>
      <w:r w:rsidR="008064D7">
        <w:rPr>
          <w:rFonts w:ascii="Times New Roman" w:hAnsi="Times New Roman"/>
          <w:sz w:val="24"/>
        </w:rPr>
        <w:t xml:space="preserve"> été payé</w:t>
      </w:r>
      <w:r>
        <w:rPr>
          <w:rFonts w:ascii="Times New Roman" w:hAnsi="Times New Roman"/>
          <w:sz w:val="24"/>
        </w:rPr>
        <w:t>s</w:t>
      </w:r>
      <w:r w:rsidR="008064D7">
        <w:rPr>
          <w:rFonts w:ascii="Times New Roman" w:hAnsi="Times New Roman"/>
          <w:sz w:val="24"/>
        </w:rPr>
        <w:t xml:space="preserve"> intégralement, avec des créanciers non sécurisé</w:t>
      </w:r>
      <w:r>
        <w:rPr>
          <w:rFonts w:ascii="Times New Roman" w:hAnsi="Times New Roman"/>
          <w:sz w:val="24"/>
        </w:rPr>
        <w:t>s parfois avec</w:t>
      </w:r>
      <w:r w:rsidR="008064D7">
        <w:rPr>
          <w:rFonts w:ascii="Times New Roman" w:hAnsi="Times New Roman"/>
          <w:sz w:val="24"/>
        </w:rPr>
        <w:t>, dans le même temps</w:t>
      </w:r>
      <w:r>
        <w:rPr>
          <w:rFonts w:ascii="Times New Roman" w:hAnsi="Times New Roman"/>
          <w:sz w:val="24"/>
        </w:rPr>
        <w:t>,</w:t>
      </w:r>
      <w:r w:rsidR="008064D7">
        <w:rPr>
          <w:rFonts w:ascii="Times New Roman" w:hAnsi="Times New Roman"/>
          <w:sz w:val="24"/>
        </w:rPr>
        <w:t xml:space="preserve"> de l’apport de new money par des acteurs externes et d’augmentation de capital des actionnaires existants</w:t>
      </w:r>
      <w:r w:rsidR="008064D7">
        <w:rPr>
          <w:rStyle w:val="Appelnotedebasdep"/>
          <w:rFonts w:ascii="Times New Roman" w:hAnsi="Times New Roman"/>
          <w:sz w:val="24"/>
        </w:rPr>
        <w:footnoteReference w:id="307"/>
      </w:r>
      <w:r>
        <w:rPr>
          <w:rFonts w:ascii="Times New Roman" w:hAnsi="Times New Roman"/>
          <w:sz w:val="24"/>
        </w:rPr>
        <w:t>. F</w:t>
      </w:r>
      <w:r w:rsidR="008064D7">
        <w:rPr>
          <w:rFonts w:ascii="Times New Roman" w:hAnsi="Times New Roman"/>
          <w:sz w:val="24"/>
        </w:rPr>
        <w:t xml:space="preserve">aire droit à de telles augmentations de capital </w:t>
      </w:r>
      <w:r>
        <w:rPr>
          <w:rFonts w:ascii="Times New Roman" w:hAnsi="Times New Roman"/>
          <w:sz w:val="24"/>
        </w:rPr>
        <w:t>suppose d’appliquer</w:t>
      </w:r>
      <w:r w:rsidR="008064D7">
        <w:rPr>
          <w:rFonts w:ascii="Times New Roman" w:hAnsi="Times New Roman"/>
          <w:sz w:val="24"/>
        </w:rPr>
        <w:t xml:space="preserve"> la</w:t>
      </w:r>
      <w:r>
        <w:rPr>
          <w:rFonts w:ascii="Times New Roman" w:hAnsi="Times New Roman"/>
          <w:sz w:val="24"/>
        </w:rPr>
        <w:t xml:space="preserve"> règle de priorité absolue. Or, a priori, une application « </w:t>
      </w:r>
      <w:r>
        <w:rPr>
          <w:rFonts w:ascii="Times New Roman" w:hAnsi="Times New Roman"/>
          <w:i/>
          <w:sz w:val="24"/>
        </w:rPr>
        <w:t>absolue »</w:t>
      </w:r>
      <w:r>
        <w:rPr>
          <w:rFonts w:ascii="Times New Roman" w:hAnsi="Times New Roman"/>
          <w:sz w:val="24"/>
        </w:rPr>
        <w:t xml:space="preserve"> devrait rendre impossible ces opérations. La </w:t>
      </w:r>
      <w:r w:rsidR="008064D7">
        <w:rPr>
          <w:rFonts w:ascii="Times New Roman" w:hAnsi="Times New Roman"/>
          <w:sz w:val="24"/>
        </w:rPr>
        <w:t>classe d’actionnaire</w:t>
      </w:r>
      <w:r>
        <w:rPr>
          <w:rFonts w:ascii="Times New Roman" w:hAnsi="Times New Roman"/>
          <w:sz w:val="24"/>
        </w:rPr>
        <w:t>s</w:t>
      </w:r>
      <w:r w:rsidR="008064D7">
        <w:rPr>
          <w:rFonts w:ascii="Times New Roman" w:hAnsi="Times New Roman"/>
          <w:sz w:val="24"/>
        </w:rPr>
        <w:t xml:space="preserve"> est la plus junior</w:t>
      </w:r>
      <w:r>
        <w:rPr>
          <w:rFonts w:ascii="Times New Roman" w:hAnsi="Times New Roman"/>
          <w:sz w:val="24"/>
        </w:rPr>
        <w:t>,</w:t>
      </w:r>
      <w:r w:rsidR="008064D7">
        <w:rPr>
          <w:rFonts w:ascii="Times New Roman" w:hAnsi="Times New Roman"/>
          <w:sz w:val="24"/>
        </w:rPr>
        <w:t xml:space="preserve"> </w:t>
      </w:r>
      <w:r w:rsidR="008064D7" w:rsidRPr="001A1C8F">
        <w:rPr>
          <w:rFonts w:ascii="Times New Roman" w:hAnsi="Times New Roman"/>
          <w:sz w:val="24"/>
        </w:rPr>
        <w:t>ce qui a parfois</w:t>
      </w:r>
      <w:r w:rsidRPr="001A1C8F">
        <w:rPr>
          <w:rFonts w:ascii="Times New Roman" w:hAnsi="Times New Roman"/>
          <w:sz w:val="24"/>
        </w:rPr>
        <w:t xml:space="preserve"> conduit</w:t>
      </w:r>
      <w:r w:rsidR="008064D7" w:rsidRPr="001A1C8F">
        <w:rPr>
          <w:rFonts w:ascii="Times New Roman" w:hAnsi="Times New Roman"/>
          <w:sz w:val="24"/>
        </w:rPr>
        <w:t xml:space="preserve"> la Cour </w:t>
      </w:r>
      <w:r w:rsidRPr="001A1C8F">
        <w:rPr>
          <w:rFonts w:ascii="Times New Roman" w:hAnsi="Times New Roman"/>
          <w:sz w:val="24"/>
        </w:rPr>
        <w:t>S</w:t>
      </w:r>
      <w:r w:rsidR="008064D7" w:rsidRPr="001A1C8F">
        <w:rPr>
          <w:rFonts w:ascii="Times New Roman" w:hAnsi="Times New Roman"/>
          <w:sz w:val="24"/>
        </w:rPr>
        <w:t>uprême</w:t>
      </w:r>
      <w:r w:rsidR="008064D7" w:rsidRPr="001A1C8F">
        <w:rPr>
          <w:rStyle w:val="Appelnotedebasdep"/>
          <w:rFonts w:ascii="Times New Roman" w:hAnsi="Times New Roman"/>
          <w:sz w:val="24"/>
        </w:rPr>
        <w:footnoteReference w:id="308"/>
      </w:r>
      <w:r w:rsidR="001A1C8F">
        <w:rPr>
          <w:rFonts w:ascii="Times New Roman" w:hAnsi="Times New Roman"/>
          <w:sz w:val="24"/>
        </w:rPr>
        <w:t>,</w:t>
      </w:r>
      <w:r w:rsidR="008064D7" w:rsidRPr="001A1C8F">
        <w:rPr>
          <w:rFonts w:ascii="Times New Roman" w:hAnsi="Times New Roman"/>
          <w:sz w:val="24"/>
        </w:rPr>
        <w:t xml:space="preserve"> avant la réforme de 1978</w:t>
      </w:r>
      <w:r w:rsidR="008064D7">
        <w:rPr>
          <w:rStyle w:val="Appelnotedebasdep"/>
          <w:rFonts w:ascii="Times New Roman" w:hAnsi="Times New Roman"/>
          <w:sz w:val="24"/>
        </w:rPr>
        <w:footnoteReference w:id="309"/>
      </w:r>
      <w:r w:rsidR="001A1C8F">
        <w:rPr>
          <w:rFonts w:ascii="Times New Roman" w:hAnsi="Times New Roman"/>
          <w:sz w:val="24"/>
        </w:rPr>
        <w:t>, à sanctionner ces opérations.</w:t>
      </w:r>
      <w:r>
        <w:rPr>
          <w:rFonts w:ascii="Times New Roman" w:hAnsi="Times New Roman"/>
          <w:sz w:val="24"/>
        </w:rPr>
        <w:t xml:space="preserve"> </w:t>
      </w:r>
    </w:p>
    <w:p w:rsidR="00816D26" w:rsidRDefault="00816D26" w:rsidP="004A120D">
      <w:pPr>
        <w:pStyle w:val="Paragraphedeliste"/>
        <w:spacing w:line="240" w:lineRule="auto"/>
        <w:ind w:left="786"/>
        <w:rPr>
          <w:rFonts w:ascii="Times New Roman" w:hAnsi="Times New Roman"/>
          <w:sz w:val="24"/>
        </w:rPr>
      </w:pPr>
    </w:p>
    <w:p w:rsidR="008064D7" w:rsidRDefault="008064D7" w:rsidP="004A120D">
      <w:pPr>
        <w:pStyle w:val="Paragraphedeliste"/>
        <w:spacing w:line="240" w:lineRule="auto"/>
        <w:ind w:left="786"/>
        <w:rPr>
          <w:rFonts w:ascii="Times New Roman" w:hAnsi="Times New Roman"/>
          <w:sz w:val="24"/>
        </w:rPr>
      </w:pPr>
      <w:r>
        <w:rPr>
          <w:rFonts w:ascii="Times New Roman" w:hAnsi="Times New Roman"/>
          <w:sz w:val="24"/>
        </w:rPr>
        <w:t>La solution est donc d’aboutir à un plan consenti à l’</w:t>
      </w:r>
      <w:r w:rsidR="00187B93">
        <w:rPr>
          <w:rFonts w:ascii="Times New Roman" w:hAnsi="Times New Roman"/>
          <w:sz w:val="24"/>
        </w:rPr>
        <w:t>unanimité</w:t>
      </w:r>
      <w:r>
        <w:rPr>
          <w:rFonts w:ascii="Times New Roman" w:hAnsi="Times New Roman"/>
          <w:sz w:val="24"/>
        </w:rPr>
        <w:t xml:space="preserve"> des créanciers affectés </w:t>
      </w:r>
      <w:r>
        <w:rPr>
          <w:rStyle w:val="Appelnotedebasdep"/>
          <w:rFonts w:ascii="Times New Roman" w:hAnsi="Times New Roman"/>
          <w:sz w:val="24"/>
        </w:rPr>
        <w:footnoteReference w:id="310"/>
      </w:r>
      <w:r>
        <w:rPr>
          <w:rFonts w:ascii="Times New Roman" w:hAnsi="Times New Roman"/>
          <w:sz w:val="24"/>
        </w:rPr>
        <w:t>puisque dans ce cas</w:t>
      </w:r>
      <w:r w:rsidR="00187B93">
        <w:rPr>
          <w:rFonts w:ascii="Times New Roman" w:hAnsi="Times New Roman"/>
          <w:sz w:val="24"/>
        </w:rPr>
        <w:t>,</w:t>
      </w:r>
      <w:r>
        <w:rPr>
          <w:rFonts w:ascii="Times New Roman" w:hAnsi="Times New Roman"/>
          <w:sz w:val="24"/>
        </w:rPr>
        <w:t xml:space="preserve"> le plan ne doit pas être examiné à la lueur de la règle de priorité absolue</w:t>
      </w:r>
      <w:r>
        <w:rPr>
          <w:rStyle w:val="Appelnotedebasdep"/>
          <w:rFonts w:ascii="Times New Roman" w:hAnsi="Times New Roman"/>
          <w:sz w:val="24"/>
        </w:rPr>
        <w:footnoteReference w:id="311"/>
      </w:r>
      <w:r w:rsidR="00187B93">
        <w:rPr>
          <w:rFonts w:ascii="Times New Roman" w:hAnsi="Times New Roman"/>
          <w:sz w:val="24"/>
        </w:rPr>
        <w:t>.</w:t>
      </w:r>
    </w:p>
    <w:p w:rsidR="008064D7" w:rsidRDefault="008064D7" w:rsidP="00C12386">
      <w:pPr>
        <w:pStyle w:val="Paragraphedeliste"/>
        <w:spacing w:line="240" w:lineRule="auto"/>
        <w:ind w:left="786"/>
        <w:rPr>
          <w:rFonts w:ascii="Times New Roman" w:hAnsi="Times New Roman"/>
          <w:sz w:val="24"/>
          <w:u w:val="single"/>
        </w:rPr>
      </w:pPr>
    </w:p>
    <w:p w:rsidR="008064D7" w:rsidRDefault="008064D7" w:rsidP="00533AEB">
      <w:pPr>
        <w:pStyle w:val="Paragraphedeliste"/>
        <w:spacing w:line="240" w:lineRule="auto"/>
        <w:ind w:left="786"/>
        <w:rPr>
          <w:rFonts w:ascii="Times New Roman" w:hAnsi="Times New Roman"/>
          <w:sz w:val="24"/>
          <w:u w:val="single"/>
        </w:rPr>
      </w:pPr>
      <w:r>
        <w:rPr>
          <w:rFonts w:ascii="Times New Roman" w:hAnsi="Times New Roman"/>
          <w:sz w:val="24"/>
        </w:rPr>
        <w:t>Dans une étude, un auteur</w:t>
      </w:r>
      <w:r>
        <w:rPr>
          <w:rStyle w:val="Appelnotedebasdep"/>
          <w:rFonts w:ascii="Times New Roman" w:hAnsi="Times New Roman"/>
          <w:sz w:val="24"/>
        </w:rPr>
        <w:footnoteReference w:id="312"/>
      </w:r>
      <w:r>
        <w:rPr>
          <w:rFonts w:ascii="Times New Roman" w:hAnsi="Times New Roman"/>
          <w:sz w:val="24"/>
        </w:rPr>
        <w:t xml:space="preserve"> s’</w:t>
      </w:r>
      <w:r w:rsidR="00187B93">
        <w:rPr>
          <w:rFonts w:ascii="Times New Roman" w:hAnsi="Times New Roman"/>
          <w:sz w:val="24"/>
        </w:rPr>
        <w:t>attaque</w:t>
      </w:r>
      <w:r w:rsidR="001A1C8F">
        <w:rPr>
          <w:rFonts w:ascii="Times New Roman" w:hAnsi="Times New Roman"/>
          <w:sz w:val="24"/>
        </w:rPr>
        <w:t xml:space="preserve"> à cette question. Il note </w:t>
      </w:r>
      <w:r>
        <w:rPr>
          <w:rFonts w:ascii="Times New Roman" w:hAnsi="Times New Roman"/>
          <w:sz w:val="24"/>
        </w:rPr>
        <w:t xml:space="preserve">de suite qu’un conflit d’intérêt majeur existe entre les actionnaires et les créanciers. En effet, en se déchargeant des dettes qui </w:t>
      </w:r>
      <w:r w:rsidR="00187B93">
        <w:rPr>
          <w:rFonts w:ascii="Times New Roman" w:hAnsi="Times New Roman"/>
          <w:sz w:val="24"/>
        </w:rPr>
        <w:t>excèdent</w:t>
      </w:r>
      <w:r>
        <w:rPr>
          <w:rFonts w:ascii="Times New Roman" w:hAnsi="Times New Roman"/>
          <w:sz w:val="24"/>
        </w:rPr>
        <w:t xml:space="preserve"> la valeur going-concern</w:t>
      </w:r>
      <w:r w:rsidR="001A1C8F">
        <w:rPr>
          <w:rFonts w:ascii="Times New Roman" w:hAnsi="Times New Roman"/>
          <w:sz w:val="24"/>
        </w:rPr>
        <w:t xml:space="preserve"> au débiteur</w:t>
      </w:r>
      <w:r>
        <w:rPr>
          <w:rFonts w:ascii="Times New Roman" w:hAnsi="Times New Roman"/>
          <w:sz w:val="24"/>
        </w:rPr>
        <w:t>, les actionnaires peuvent s’</w:t>
      </w:r>
      <w:r w:rsidR="00187B93">
        <w:rPr>
          <w:rFonts w:ascii="Times New Roman" w:hAnsi="Times New Roman"/>
          <w:sz w:val="24"/>
        </w:rPr>
        <w:t>enrichir</w:t>
      </w:r>
      <w:r>
        <w:rPr>
          <w:rFonts w:ascii="Times New Roman" w:hAnsi="Times New Roman"/>
          <w:sz w:val="24"/>
        </w:rPr>
        <w:t xml:space="preserve"> plus que les créanciers alors que dans l’ordre de la priorité absolue</w:t>
      </w:r>
      <w:r w:rsidR="00187B93">
        <w:rPr>
          <w:rFonts w:ascii="Times New Roman" w:hAnsi="Times New Roman"/>
          <w:sz w:val="24"/>
        </w:rPr>
        <w:t>,</w:t>
      </w:r>
      <w:r>
        <w:rPr>
          <w:rFonts w:ascii="Times New Roman" w:hAnsi="Times New Roman"/>
          <w:sz w:val="24"/>
        </w:rPr>
        <w:t xml:space="preserve"> ils seraient la dernière classe</w:t>
      </w:r>
      <w:r w:rsidR="009C5884">
        <w:rPr>
          <w:rFonts w:ascii="Times New Roman" w:hAnsi="Times New Roman"/>
          <w:sz w:val="24"/>
        </w:rPr>
        <w:t xml:space="preserve"> à devoir être payés en droit Américain</w:t>
      </w:r>
      <w:r>
        <w:rPr>
          <w:rFonts w:ascii="Times New Roman" w:hAnsi="Times New Roman"/>
          <w:sz w:val="24"/>
        </w:rPr>
        <w:t>.</w:t>
      </w:r>
      <w:r w:rsidR="00187B93">
        <w:rPr>
          <w:rFonts w:ascii="Times New Roman" w:hAnsi="Times New Roman"/>
          <w:sz w:val="24"/>
        </w:rPr>
        <w:t xml:space="preserve"> Très</w:t>
      </w:r>
      <w:r>
        <w:rPr>
          <w:rFonts w:ascii="Times New Roman" w:hAnsi="Times New Roman"/>
          <w:sz w:val="24"/>
        </w:rPr>
        <w:t xml:space="preserve"> rapidement, les juges américains ont donc conclu que la décision de proposer un plan ne pouvait pas dépendre des actionnaires si un</w:t>
      </w:r>
      <w:r w:rsidR="009C5884">
        <w:rPr>
          <w:rFonts w:ascii="Times New Roman" w:hAnsi="Times New Roman"/>
          <w:sz w:val="24"/>
        </w:rPr>
        <w:t xml:space="preserve"> tel conflit existait mais bien de l’organe de gestion qui se doit d’être indépendant et fiduciaire des intérêts des détenteurs d’intérêts</w:t>
      </w:r>
      <w:r>
        <w:rPr>
          <w:rStyle w:val="Appelnotedebasdep"/>
          <w:rFonts w:ascii="Times New Roman" w:hAnsi="Times New Roman"/>
          <w:sz w:val="24"/>
        </w:rPr>
        <w:footnoteReference w:id="313"/>
      </w:r>
      <w:r w:rsidR="00187B93">
        <w:rPr>
          <w:rFonts w:ascii="Times New Roman" w:hAnsi="Times New Roman"/>
          <w:sz w:val="24"/>
        </w:rPr>
        <w:t>.</w:t>
      </w:r>
    </w:p>
    <w:p w:rsidR="008064D7" w:rsidRDefault="008064D7" w:rsidP="00C12386">
      <w:pPr>
        <w:pStyle w:val="Paragraphedeliste"/>
        <w:spacing w:line="240" w:lineRule="auto"/>
        <w:ind w:left="786"/>
        <w:rPr>
          <w:rFonts w:ascii="Times New Roman" w:hAnsi="Times New Roman"/>
          <w:sz w:val="24"/>
          <w:u w:val="single"/>
        </w:rPr>
      </w:pPr>
    </w:p>
    <w:p w:rsidR="008064D7" w:rsidRDefault="008064D7" w:rsidP="00C12386">
      <w:pPr>
        <w:pStyle w:val="Paragraphedeliste"/>
        <w:spacing w:line="240" w:lineRule="auto"/>
        <w:ind w:left="786"/>
        <w:rPr>
          <w:rFonts w:ascii="Times New Roman" w:hAnsi="Times New Roman"/>
          <w:sz w:val="24"/>
        </w:rPr>
      </w:pPr>
      <w:r>
        <w:rPr>
          <w:rFonts w:ascii="Times New Roman" w:hAnsi="Times New Roman"/>
          <w:sz w:val="24"/>
        </w:rPr>
        <w:t xml:space="preserve">Dans un </w:t>
      </w:r>
      <w:r w:rsidR="00187B93">
        <w:rPr>
          <w:rFonts w:ascii="Times New Roman" w:hAnsi="Times New Roman"/>
          <w:sz w:val="24"/>
        </w:rPr>
        <w:t>dicton</w:t>
      </w:r>
      <w:r>
        <w:rPr>
          <w:rFonts w:ascii="Times New Roman" w:hAnsi="Times New Roman"/>
          <w:sz w:val="24"/>
        </w:rPr>
        <w:t xml:space="preserve"> </w:t>
      </w:r>
      <w:r w:rsidR="00187B93">
        <w:rPr>
          <w:rFonts w:ascii="Times New Roman" w:hAnsi="Times New Roman"/>
          <w:sz w:val="24"/>
        </w:rPr>
        <w:t>célèbre</w:t>
      </w:r>
      <w:r>
        <w:rPr>
          <w:rFonts w:ascii="Times New Roman" w:hAnsi="Times New Roman"/>
          <w:sz w:val="24"/>
        </w:rPr>
        <w:t xml:space="preserve"> </w:t>
      </w:r>
      <w:r>
        <w:rPr>
          <w:rStyle w:val="Appelnotedebasdep"/>
          <w:rFonts w:ascii="Times New Roman" w:hAnsi="Times New Roman"/>
          <w:sz w:val="24"/>
        </w:rPr>
        <w:footnoteReference w:id="314"/>
      </w:r>
      <w:r>
        <w:rPr>
          <w:rFonts w:ascii="Times New Roman" w:hAnsi="Times New Roman"/>
          <w:sz w:val="24"/>
        </w:rPr>
        <w:t xml:space="preserve"> de la </w:t>
      </w:r>
      <w:r w:rsidR="00187B93">
        <w:rPr>
          <w:rFonts w:ascii="Times New Roman" w:hAnsi="Times New Roman"/>
          <w:sz w:val="24"/>
        </w:rPr>
        <w:t>Cour S</w:t>
      </w:r>
      <w:r w:rsidR="009C5884">
        <w:rPr>
          <w:rFonts w:ascii="Times New Roman" w:hAnsi="Times New Roman"/>
          <w:sz w:val="24"/>
        </w:rPr>
        <w:t>uprême de 1939, le juge D</w:t>
      </w:r>
      <w:r>
        <w:rPr>
          <w:rFonts w:ascii="Times New Roman" w:hAnsi="Times New Roman"/>
          <w:sz w:val="24"/>
        </w:rPr>
        <w:t xml:space="preserve">ouglas partait de l’idée que la rémunération en capital devait être équivalente à ce qu’elle </w:t>
      </w:r>
      <w:r w:rsidR="009C5884">
        <w:rPr>
          <w:rFonts w:ascii="Times New Roman" w:hAnsi="Times New Roman"/>
          <w:sz w:val="24"/>
        </w:rPr>
        <w:t>pourrait</w:t>
      </w:r>
      <w:r>
        <w:rPr>
          <w:rFonts w:ascii="Times New Roman" w:hAnsi="Times New Roman"/>
          <w:sz w:val="24"/>
        </w:rPr>
        <w:t xml:space="preserve"> générer en retour</w:t>
      </w:r>
      <w:r w:rsidR="009C5884">
        <w:rPr>
          <w:rFonts w:ascii="Times New Roman" w:hAnsi="Times New Roman"/>
          <w:sz w:val="24"/>
        </w:rPr>
        <w:t>.</w:t>
      </w:r>
      <w:r>
        <w:rPr>
          <w:rFonts w:ascii="Times New Roman" w:hAnsi="Times New Roman"/>
          <w:sz w:val="24"/>
        </w:rPr>
        <w:t xml:space="preserve"> </w:t>
      </w:r>
      <w:r w:rsidR="009C5884">
        <w:rPr>
          <w:rFonts w:ascii="Times New Roman" w:hAnsi="Times New Roman"/>
          <w:sz w:val="24"/>
        </w:rPr>
        <w:t>O</w:t>
      </w:r>
      <w:r>
        <w:rPr>
          <w:rFonts w:ascii="Times New Roman" w:hAnsi="Times New Roman"/>
          <w:sz w:val="24"/>
        </w:rPr>
        <w:t>r , en vertu de la règle de priorité absolue</w:t>
      </w:r>
      <w:r w:rsidR="009C5884">
        <w:rPr>
          <w:rFonts w:ascii="Times New Roman" w:hAnsi="Times New Roman"/>
          <w:sz w:val="24"/>
        </w:rPr>
        <w:t>,</w:t>
      </w:r>
      <w:r>
        <w:rPr>
          <w:rFonts w:ascii="Times New Roman" w:hAnsi="Times New Roman"/>
          <w:sz w:val="24"/>
        </w:rPr>
        <w:t xml:space="preserve"> lorsque les créanciers ont obtenu ce qu’il</w:t>
      </w:r>
      <w:r w:rsidR="009C5884">
        <w:rPr>
          <w:rFonts w:ascii="Times New Roman" w:hAnsi="Times New Roman"/>
          <w:sz w:val="24"/>
        </w:rPr>
        <w:t>s</w:t>
      </w:r>
      <w:r>
        <w:rPr>
          <w:rFonts w:ascii="Times New Roman" w:hAnsi="Times New Roman"/>
          <w:sz w:val="24"/>
        </w:rPr>
        <w:t xml:space="preserve"> pourrai</w:t>
      </w:r>
      <w:r w:rsidR="009C5884">
        <w:rPr>
          <w:rFonts w:ascii="Times New Roman" w:hAnsi="Times New Roman"/>
          <w:sz w:val="24"/>
        </w:rPr>
        <w:t>en</w:t>
      </w:r>
      <w:r>
        <w:rPr>
          <w:rFonts w:ascii="Times New Roman" w:hAnsi="Times New Roman"/>
          <w:sz w:val="24"/>
        </w:rPr>
        <w:t>t obtenir de la valeur going-concern, le débiteur est déchargé du surplus des dettes, ce qui conduit à considérer que les actions reçues à ce moment ne peuvent pas dépasser la valeur going</w:t>
      </w:r>
      <w:r w:rsidR="00930593">
        <w:rPr>
          <w:rFonts w:ascii="Times New Roman" w:hAnsi="Times New Roman"/>
          <w:sz w:val="24"/>
        </w:rPr>
        <w:t>-</w:t>
      </w:r>
      <w:r>
        <w:rPr>
          <w:rFonts w:ascii="Times New Roman" w:hAnsi="Times New Roman"/>
          <w:sz w:val="24"/>
        </w:rPr>
        <w:t>concern de ce moment. La conversion en action n’a d’ailleurs de sens que si la valeur de l’entreprise dépasse la valeur de liquidation</w:t>
      </w:r>
      <w:r w:rsidR="009C5884">
        <w:rPr>
          <w:rFonts w:ascii="Times New Roman" w:hAnsi="Times New Roman"/>
          <w:sz w:val="24"/>
        </w:rPr>
        <w:t>,</w:t>
      </w:r>
      <w:r>
        <w:rPr>
          <w:rFonts w:ascii="Times New Roman" w:hAnsi="Times New Roman"/>
          <w:sz w:val="24"/>
        </w:rPr>
        <w:t xml:space="preserve"> car il n’y aurait aucun sens à attribuer aux créanciers des actions d’une société non viable selon un plan non </w:t>
      </w:r>
      <w:r w:rsidR="00930593">
        <w:rPr>
          <w:rFonts w:ascii="Times New Roman" w:hAnsi="Times New Roman"/>
          <w:sz w:val="24"/>
        </w:rPr>
        <w:t>faisable</w:t>
      </w:r>
      <w:r>
        <w:rPr>
          <w:rFonts w:ascii="Times New Roman" w:hAnsi="Times New Roman"/>
          <w:sz w:val="24"/>
        </w:rPr>
        <w:t>, sauf évidement accord de ces créanciers.</w:t>
      </w:r>
    </w:p>
    <w:p w:rsidR="008064D7" w:rsidRDefault="008064D7" w:rsidP="00C12386">
      <w:pPr>
        <w:pStyle w:val="Paragraphedeliste"/>
        <w:spacing w:line="240" w:lineRule="auto"/>
        <w:ind w:left="786"/>
        <w:rPr>
          <w:rFonts w:ascii="Times New Roman" w:hAnsi="Times New Roman"/>
          <w:sz w:val="24"/>
        </w:rPr>
      </w:pPr>
    </w:p>
    <w:p w:rsidR="009C5884" w:rsidRDefault="008064D7" w:rsidP="00C12386">
      <w:pPr>
        <w:pStyle w:val="Paragraphedeliste"/>
        <w:spacing w:line="240" w:lineRule="auto"/>
        <w:ind w:left="786"/>
        <w:rPr>
          <w:rFonts w:ascii="Times New Roman" w:hAnsi="Times New Roman"/>
          <w:sz w:val="24"/>
        </w:rPr>
      </w:pPr>
      <w:r>
        <w:rPr>
          <w:rFonts w:ascii="Times New Roman" w:hAnsi="Times New Roman"/>
          <w:sz w:val="24"/>
        </w:rPr>
        <w:t xml:space="preserve">C’est </w:t>
      </w:r>
      <w:r w:rsidR="009C5884">
        <w:rPr>
          <w:rFonts w:ascii="Times New Roman" w:hAnsi="Times New Roman"/>
          <w:sz w:val="24"/>
        </w:rPr>
        <w:t>dans</w:t>
      </w:r>
      <w:r>
        <w:rPr>
          <w:rFonts w:ascii="Times New Roman" w:hAnsi="Times New Roman"/>
          <w:sz w:val="24"/>
        </w:rPr>
        <w:t xml:space="preserve"> ce cadre que </w:t>
      </w:r>
      <w:r w:rsidR="009C5884">
        <w:rPr>
          <w:rFonts w:ascii="Times New Roman" w:hAnsi="Times New Roman"/>
          <w:sz w:val="24"/>
        </w:rPr>
        <w:t>la</w:t>
      </w:r>
      <w:r>
        <w:rPr>
          <w:rFonts w:ascii="Times New Roman" w:hAnsi="Times New Roman"/>
          <w:sz w:val="24"/>
        </w:rPr>
        <w:t xml:space="preserve"> doctrine de la </w:t>
      </w:r>
      <w:r w:rsidRPr="009C5884">
        <w:rPr>
          <w:rFonts w:ascii="Times New Roman" w:hAnsi="Times New Roman"/>
          <w:i/>
          <w:sz w:val="24"/>
        </w:rPr>
        <w:t>New</w:t>
      </w:r>
      <w:r>
        <w:rPr>
          <w:rFonts w:ascii="Times New Roman" w:hAnsi="Times New Roman"/>
          <w:sz w:val="24"/>
        </w:rPr>
        <w:t xml:space="preserve"> </w:t>
      </w:r>
      <w:r w:rsidRPr="007C17D3">
        <w:rPr>
          <w:rFonts w:ascii="Times New Roman" w:hAnsi="Times New Roman"/>
          <w:i/>
          <w:sz w:val="24"/>
        </w:rPr>
        <w:t>value</w:t>
      </w:r>
      <w:r>
        <w:rPr>
          <w:rFonts w:ascii="Times New Roman" w:hAnsi="Times New Roman"/>
          <w:i/>
          <w:sz w:val="24"/>
        </w:rPr>
        <w:t xml:space="preserve"> </w:t>
      </w:r>
      <w:r w:rsidR="009C5884">
        <w:rPr>
          <w:rFonts w:ascii="Times New Roman" w:hAnsi="Times New Roman"/>
          <w:sz w:val="24"/>
        </w:rPr>
        <w:t>s’est</w:t>
      </w:r>
      <w:r>
        <w:rPr>
          <w:rFonts w:ascii="Times New Roman" w:hAnsi="Times New Roman"/>
          <w:sz w:val="24"/>
        </w:rPr>
        <w:t xml:space="preserve"> dégagée </w:t>
      </w:r>
      <w:r w:rsidR="009C5884">
        <w:rPr>
          <w:rFonts w:ascii="Times New Roman" w:hAnsi="Times New Roman"/>
          <w:sz w:val="24"/>
        </w:rPr>
        <w:t>dans les arrêts de</w:t>
      </w:r>
      <w:r>
        <w:rPr>
          <w:rFonts w:ascii="Times New Roman" w:hAnsi="Times New Roman"/>
          <w:sz w:val="24"/>
        </w:rPr>
        <w:t xml:space="preserve"> la Cour suprême</w:t>
      </w:r>
      <w:r>
        <w:rPr>
          <w:rStyle w:val="Appelnotedebasdep"/>
          <w:rFonts w:ascii="Times New Roman" w:hAnsi="Times New Roman"/>
          <w:sz w:val="24"/>
        </w:rPr>
        <w:footnoteReference w:id="315"/>
      </w:r>
      <w:r w:rsidR="009C5884">
        <w:rPr>
          <w:rFonts w:ascii="Times New Roman" w:hAnsi="Times New Roman"/>
          <w:sz w:val="24"/>
        </w:rPr>
        <w:t>. E</w:t>
      </w:r>
      <w:r>
        <w:rPr>
          <w:rFonts w:ascii="Times New Roman" w:hAnsi="Times New Roman"/>
          <w:sz w:val="24"/>
        </w:rPr>
        <w:t xml:space="preserve">lle reconnait le droit aux actionnaires d’acheter des actions </w:t>
      </w:r>
      <w:r>
        <w:rPr>
          <w:rFonts w:ascii="Times New Roman" w:hAnsi="Times New Roman"/>
          <w:sz w:val="24"/>
        </w:rPr>
        <w:lastRenderedPageBreak/>
        <w:t>nouvelles dans certaines conditions – apport de nouvelle money ou en travail ou en apport nécessaire à la poursuite des affaires</w:t>
      </w:r>
      <w:r w:rsidR="009C5884">
        <w:rPr>
          <w:rFonts w:ascii="Times New Roman" w:hAnsi="Times New Roman"/>
          <w:sz w:val="24"/>
        </w:rPr>
        <w:t>, apports</w:t>
      </w:r>
      <w:r>
        <w:rPr>
          <w:rFonts w:ascii="Times New Roman" w:hAnsi="Times New Roman"/>
          <w:sz w:val="24"/>
        </w:rPr>
        <w:t xml:space="preserve"> raisonnablement nécessaire</w:t>
      </w:r>
      <w:r w:rsidR="009C5884">
        <w:rPr>
          <w:rFonts w:ascii="Times New Roman" w:hAnsi="Times New Roman"/>
          <w:sz w:val="24"/>
        </w:rPr>
        <w:t>s</w:t>
      </w:r>
      <w:r>
        <w:rPr>
          <w:rFonts w:ascii="Times New Roman" w:hAnsi="Times New Roman"/>
          <w:sz w:val="24"/>
        </w:rPr>
        <w:t xml:space="preserve"> et </w:t>
      </w:r>
      <w:r w:rsidR="009C5884">
        <w:rPr>
          <w:rFonts w:ascii="Times New Roman" w:hAnsi="Times New Roman"/>
          <w:sz w:val="24"/>
        </w:rPr>
        <w:t>équivalents</w:t>
      </w:r>
      <w:r>
        <w:rPr>
          <w:rFonts w:ascii="Times New Roman" w:hAnsi="Times New Roman"/>
          <w:sz w:val="24"/>
        </w:rPr>
        <w:t xml:space="preserve"> à des apports en argent.</w:t>
      </w:r>
      <w:r>
        <w:rPr>
          <w:rStyle w:val="Appelnotedebasdep"/>
          <w:rFonts w:ascii="Times New Roman" w:hAnsi="Times New Roman"/>
          <w:sz w:val="24"/>
        </w:rPr>
        <w:footnoteReference w:id="316"/>
      </w:r>
      <w:r>
        <w:rPr>
          <w:rFonts w:ascii="Times New Roman" w:hAnsi="Times New Roman"/>
          <w:sz w:val="24"/>
        </w:rPr>
        <w:t xml:space="preserve"> </w:t>
      </w:r>
    </w:p>
    <w:p w:rsidR="009C5884" w:rsidRDefault="009C5884" w:rsidP="00C12386">
      <w:pPr>
        <w:pStyle w:val="Paragraphedeliste"/>
        <w:spacing w:line="240" w:lineRule="auto"/>
        <w:ind w:left="786"/>
        <w:rPr>
          <w:rFonts w:ascii="Times New Roman" w:hAnsi="Times New Roman"/>
          <w:sz w:val="24"/>
        </w:rPr>
      </w:pPr>
    </w:p>
    <w:p w:rsidR="009C5884" w:rsidRDefault="008064D7" w:rsidP="00C12386">
      <w:pPr>
        <w:pStyle w:val="Paragraphedeliste"/>
        <w:spacing w:line="240" w:lineRule="auto"/>
        <w:ind w:left="786"/>
        <w:rPr>
          <w:rFonts w:ascii="Times New Roman" w:hAnsi="Times New Roman"/>
          <w:sz w:val="24"/>
        </w:rPr>
      </w:pPr>
      <w:r>
        <w:rPr>
          <w:rFonts w:ascii="Times New Roman" w:hAnsi="Times New Roman"/>
          <w:sz w:val="24"/>
        </w:rPr>
        <w:t>Même lorsque l’argument de la rège d</w:t>
      </w:r>
      <w:r w:rsidR="009C5884">
        <w:rPr>
          <w:rFonts w:ascii="Times New Roman" w:hAnsi="Times New Roman"/>
          <w:sz w:val="24"/>
        </w:rPr>
        <w:t>e priorité absolue a été opposé</w:t>
      </w:r>
      <w:r>
        <w:rPr>
          <w:rFonts w:ascii="Times New Roman" w:hAnsi="Times New Roman"/>
          <w:sz w:val="24"/>
        </w:rPr>
        <w:t xml:space="preserve">, des juges ont </w:t>
      </w:r>
      <w:r w:rsidR="009C5884">
        <w:rPr>
          <w:rFonts w:ascii="Times New Roman" w:hAnsi="Times New Roman"/>
          <w:sz w:val="24"/>
        </w:rPr>
        <w:t xml:space="preserve">pu </w:t>
      </w:r>
      <w:r>
        <w:rPr>
          <w:rFonts w:ascii="Times New Roman" w:hAnsi="Times New Roman"/>
          <w:sz w:val="24"/>
        </w:rPr>
        <w:t>considér</w:t>
      </w:r>
      <w:r w:rsidR="009C5884">
        <w:rPr>
          <w:rFonts w:ascii="Times New Roman" w:hAnsi="Times New Roman"/>
          <w:sz w:val="24"/>
        </w:rPr>
        <w:t>er</w:t>
      </w:r>
      <w:r>
        <w:rPr>
          <w:rFonts w:ascii="Times New Roman" w:hAnsi="Times New Roman"/>
          <w:sz w:val="24"/>
        </w:rPr>
        <w:t xml:space="preserve"> qu’elle pouvait ne pas trouver à s’appliquer </w:t>
      </w:r>
      <w:r w:rsidR="009C5884">
        <w:rPr>
          <w:rFonts w:ascii="Times New Roman" w:hAnsi="Times New Roman"/>
          <w:sz w:val="24"/>
        </w:rPr>
        <w:t>du fait de cette doctrine</w:t>
      </w:r>
      <w:r>
        <w:rPr>
          <w:rStyle w:val="Appelnotedebasdep"/>
          <w:rFonts w:ascii="Times New Roman" w:hAnsi="Times New Roman"/>
          <w:sz w:val="24"/>
        </w:rPr>
        <w:footnoteReference w:id="317"/>
      </w:r>
      <w:r w:rsidR="009C5884">
        <w:rPr>
          <w:rFonts w:ascii="Times New Roman" w:hAnsi="Times New Roman"/>
          <w:sz w:val="24"/>
        </w:rPr>
        <w:t>.</w:t>
      </w:r>
    </w:p>
    <w:p w:rsidR="009C5884" w:rsidRDefault="009C5884" w:rsidP="00C12386">
      <w:pPr>
        <w:pStyle w:val="Paragraphedeliste"/>
        <w:spacing w:line="240" w:lineRule="auto"/>
        <w:ind w:left="786"/>
        <w:rPr>
          <w:rFonts w:ascii="Times New Roman" w:hAnsi="Times New Roman"/>
          <w:sz w:val="24"/>
        </w:rPr>
      </w:pPr>
    </w:p>
    <w:p w:rsidR="009C5884" w:rsidRDefault="008064D7" w:rsidP="00C12386">
      <w:pPr>
        <w:pStyle w:val="Paragraphedeliste"/>
        <w:spacing w:line="240" w:lineRule="auto"/>
        <w:ind w:left="786"/>
        <w:rPr>
          <w:rFonts w:ascii="Times New Roman" w:hAnsi="Times New Roman"/>
          <w:sz w:val="24"/>
        </w:rPr>
      </w:pPr>
      <w:r>
        <w:rPr>
          <w:rFonts w:ascii="Times New Roman" w:hAnsi="Times New Roman"/>
          <w:sz w:val="24"/>
        </w:rPr>
        <w:t xml:space="preserve">La </w:t>
      </w:r>
      <w:r w:rsidR="009C5884">
        <w:rPr>
          <w:rFonts w:ascii="Times New Roman" w:hAnsi="Times New Roman"/>
          <w:sz w:val="24"/>
        </w:rPr>
        <w:t>doctrine</w:t>
      </w:r>
      <w:r>
        <w:rPr>
          <w:rFonts w:ascii="Times New Roman" w:hAnsi="Times New Roman"/>
          <w:sz w:val="24"/>
        </w:rPr>
        <w:t xml:space="preserve"> de la New Value</w:t>
      </w:r>
      <w:r>
        <w:rPr>
          <w:rStyle w:val="Appelnotedebasdep"/>
          <w:rFonts w:ascii="Times New Roman" w:hAnsi="Times New Roman"/>
          <w:sz w:val="24"/>
        </w:rPr>
        <w:footnoteReference w:id="318"/>
      </w:r>
      <w:r>
        <w:rPr>
          <w:rFonts w:ascii="Times New Roman" w:hAnsi="Times New Roman"/>
          <w:sz w:val="24"/>
        </w:rPr>
        <w:t xml:space="preserve"> repose donc sur une autre règle que la règle de priorité absolue si ce que </w:t>
      </w:r>
      <w:r w:rsidR="009C5884">
        <w:rPr>
          <w:rFonts w:ascii="Times New Roman" w:hAnsi="Times New Roman"/>
          <w:sz w:val="24"/>
        </w:rPr>
        <w:t>reçoit</w:t>
      </w:r>
      <w:r>
        <w:rPr>
          <w:rFonts w:ascii="Times New Roman" w:hAnsi="Times New Roman"/>
          <w:sz w:val="24"/>
        </w:rPr>
        <w:t xml:space="preserve"> l’actionnaire n’est pas seulement et strictement la compensation de ces droits antérieurs</w:t>
      </w:r>
      <w:r>
        <w:rPr>
          <w:rStyle w:val="Appelnotedebasdep"/>
          <w:rFonts w:ascii="Times New Roman" w:hAnsi="Times New Roman"/>
          <w:sz w:val="24"/>
        </w:rPr>
        <w:footnoteReference w:id="319"/>
      </w:r>
      <w:r w:rsidR="009C5884">
        <w:rPr>
          <w:rFonts w:ascii="Times New Roman" w:hAnsi="Times New Roman"/>
          <w:sz w:val="24"/>
        </w:rPr>
        <w:t>, mais bien la rémunération d’un autre apport.</w:t>
      </w:r>
      <w:r>
        <w:rPr>
          <w:rFonts w:ascii="Times New Roman" w:hAnsi="Times New Roman"/>
          <w:sz w:val="24"/>
        </w:rPr>
        <w:t xml:space="preserve"> </w:t>
      </w:r>
    </w:p>
    <w:p w:rsidR="009C5884" w:rsidRDefault="009C5884" w:rsidP="00C12386">
      <w:pPr>
        <w:pStyle w:val="Paragraphedeliste"/>
        <w:spacing w:line="240" w:lineRule="auto"/>
        <w:ind w:left="786"/>
        <w:rPr>
          <w:rFonts w:ascii="Times New Roman" w:hAnsi="Times New Roman"/>
          <w:sz w:val="24"/>
        </w:rPr>
      </w:pPr>
    </w:p>
    <w:p w:rsidR="009C5884" w:rsidRDefault="008064D7" w:rsidP="00C12386">
      <w:pPr>
        <w:pStyle w:val="Paragraphedeliste"/>
        <w:spacing w:line="240" w:lineRule="auto"/>
        <w:ind w:left="786"/>
        <w:rPr>
          <w:rFonts w:ascii="Times New Roman" w:hAnsi="Times New Roman"/>
          <w:sz w:val="24"/>
        </w:rPr>
      </w:pPr>
      <w:r>
        <w:rPr>
          <w:rFonts w:ascii="Times New Roman" w:hAnsi="Times New Roman"/>
          <w:sz w:val="24"/>
        </w:rPr>
        <w:t>La forme de cet apport a fait l’objet de décisions  parfois positive</w:t>
      </w:r>
      <w:r w:rsidR="009C5884">
        <w:rPr>
          <w:rFonts w:ascii="Times New Roman" w:hAnsi="Times New Roman"/>
          <w:sz w:val="24"/>
        </w:rPr>
        <w:t>s</w:t>
      </w:r>
      <w:r>
        <w:rPr>
          <w:rFonts w:ascii="Times New Roman" w:hAnsi="Times New Roman"/>
          <w:sz w:val="24"/>
        </w:rPr>
        <w:t xml:space="preserve"> parfois négative</w:t>
      </w:r>
      <w:r w:rsidR="009C5884">
        <w:rPr>
          <w:rFonts w:ascii="Times New Roman" w:hAnsi="Times New Roman"/>
          <w:sz w:val="24"/>
        </w:rPr>
        <w:t>s</w:t>
      </w:r>
      <w:r>
        <w:rPr>
          <w:rFonts w:ascii="Times New Roman" w:hAnsi="Times New Roman"/>
          <w:sz w:val="24"/>
        </w:rPr>
        <w:t xml:space="preserve"> selon les faits</w:t>
      </w:r>
      <w:r w:rsidR="009C5884">
        <w:rPr>
          <w:rFonts w:ascii="Times New Roman" w:hAnsi="Times New Roman"/>
          <w:sz w:val="24"/>
        </w:rPr>
        <w:t xml:space="preserve">. Ont été admis </w:t>
      </w:r>
      <w:r>
        <w:rPr>
          <w:rFonts w:ascii="Times New Roman" w:hAnsi="Times New Roman"/>
          <w:sz w:val="24"/>
        </w:rPr>
        <w:t>– « </w:t>
      </w:r>
      <w:r w:rsidRPr="009C5884">
        <w:rPr>
          <w:rFonts w:ascii="Times New Roman" w:hAnsi="Times New Roman"/>
          <w:i/>
          <w:sz w:val="24"/>
        </w:rPr>
        <w:t>un soutien financier et un support dans la communauté par la continuité d’un management fort</w:t>
      </w:r>
      <w:r>
        <w:rPr>
          <w:rFonts w:ascii="Times New Roman" w:hAnsi="Times New Roman"/>
          <w:sz w:val="24"/>
        </w:rPr>
        <w:t> »</w:t>
      </w:r>
      <w:r>
        <w:rPr>
          <w:rStyle w:val="Appelnotedebasdep"/>
          <w:rFonts w:ascii="Times New Roman" w:hAnsi="Times New Roman"/>
          <w:sz w:val="24"/>
        </w:rPr>
        <w:footnoteReference w:id="320"/>
      </w:r>
      <w:r>
        <w:rPr>
          <w:rFonts w:ascii="Times New Roman" w:hAnsi="Times New Roman"/>
          <w:sz w:val="24"/>
        </w:rPr>
        <w:t xml:space="preserve"> «  </w:t>
      </w:r>
      <w:r w:rsidRPr="009C5884">
        <w:rPr>
          <w:rFonts w:ascii="Times New Roman" w:hAnsi="Times New Roman"/>
          <w:i/>
          <w:sz w:val="24"/>
        </w:rPr>
        <w:t>des contributions en travail, expérience et expertise</w:t>
      </w:r>
      <w:r>
        <w:rPr>
          <w:rFonts w:ascii="Times New Roman" w:hAnsi="Times New Roman"/>
          <w:sz w:val="24"/>
        </w:rPr>
        <w:t> »</w:t>
      </w:r>
      <w:r>
        <w:rPr>
          <w:rStyle w:val="Appelnotedebasdep"/>
          <w:rFonts w:ascii="Times New Roman" w:hAnsi="Times New Roman"/>
          <w:sz w:val="24"/>
        </w:rPr>
        <w:footnoteReference w:id="321"/>
      </w:r>
      <w:r>
        <w:rPr>
          <w:rFonts w:ascii="Times New Roman" w:hAnsi="Times New Roman"/>
          <w:sz w:val="24"/>
        </w:rPr>
        <w:t xml:space="preserve"> . </w:t>
      </w:r>
    </w:p>
    <w:p w:rsidR="009C5884" w:rsidRDefault="009C5884" w:rsidP="00C12386">
      <w:pPr>
        <w:pStyle w:val="Paragraphedeliste"/>
        <w:spacing w:line="240" w:lineRule="auto"/>
        <w:ind w:left="786"/>
        <w:rPr>
          <w:rFonts w:ascii="Times New Roman" w:hAnsi="Times New Roman"/>
          <w:sz w:val="24"/>
        </w:rPr>
      </w:pPr>
    </w:p>
    <w:p w:rsidR="008064D7" w:rsidRDefault="008064D7" w:rsidP="00C12386">
      <w:pPr>
        <w:pStyle w:val="Paragraphedeliste"/>
        <w:spacing w:line="240" w:lineRule="auto"/>
        <w:ind w:left="786"/>
        <w:rPr>
          <w:rFonts w:ascii="Times New Roman" w:hAnsi="Times New Roman"/>
          <w:sz w:val="24"/>
        </w:rPr>
      </w:pPr>
      <w:r>
        <w:rPr>
          <w:rFonts w:ascii="Times New Roman" w:hAnsi="Times New Roman"/>
          <w:sz w:val="24"/>
        </w:rPr>
        <w:t xml:space="preserve">Ces </w:t>
      </w:r>
      <w:r w:rsidR="009C5884">
        <w:rPr>
          <w:rFonts w:ascii="Times New Roman" w:hAnsi="Times New Roman"/>
          <w:sz w:val="24"/>
        </w:rPr>
        <w:t xml:space="preserve">différentes </w:t>
      </w:r>
      <w:r>
        <w:rPr>
          <w:rFonts w:ascii="Times New Roman" w:hAnsi="Times New Roman"/>
          <w:sz w:val="24"/>
        </w:rPr>
        <w:t xml:space="preserve">formes ont été examinée de manière plus </w:t>
      </w:r>
      <w:r w:rsidR="009C5884">
        <w:rPr>
          <w:rFonts w:ascii="Times New Roman" w:hAnsi="Times New Roman"/>
          <w:sz w:val="24"/>
        </w:rPr>
        <w:t>générique (pour conclure au rejet en l’espèce)</w:t>
      </w:r>
      <w:r>
        <w:rPr>
          <w:rFonts w:ascii="Times New Roman" w:hAnsi="Times New Roman"/>
          <w:sz w:val="24"/>
        </w:rPr>
        <w:t xml:space="preserve"> par le 7</w:t>
      </w:r>
      <w:r w:rsidRPr="009874BE">
        <w:rPr>
          <w:rFonts w:ascii="Times New Roman" w:hAnsi="Times New Roman"/>
          <w:sz w:val="24"/>
          <w:vertAlign w:val="superscript"/>
        </w:rPr>
        <w:t>ème</w:t>
      </w:r>
      <w:r>
        <w:rPr>
          <w:rFonts w:ascii="Times New Roman" w:hAnsi="Times New Roman"/>
          <w:sz w:val="24"/>
        </w:rPr>
        <w:t xml:space="preserve"> circuit dans l’affaire </w:t>
      </w:r>
      <w:r w:rsidR="009C5884">
        <w:rPr>
          <w:rFonts w:ascii="Times New Roman" w:hAnsi="Times New Roman"/>
          <w:sz w:val="24"/>
        </w:rPr>
        <w:t>Khat</w:t>
      </w:r>
      <w:r>
        <w:rPr>
          <w:rStyle w:val="Appelnotedebasdep"/>
          <w:rFonts w:ascii="Times New Roman" w:hAnsi="Times New Roman"/>
          <w:sz w:val="24"/>
        </w:rPr>
        <w:footnoteReference w:id="322"/>
      </w:r>
      <w:r>
        <w:rPr>
          <w:rFonts w:ascii="Times New Roman" w:hAnsi="Times New Roman"/>
          <w:sz w:val="24"/>
        </w:rPr>
        <w:t xml:space="preserve"> au départ d’un cas où l’actionnaire avait gara</w:t>
      </w:r>
      <w:r w:rsidR="009C5884">
        <w:rPr>
          <w:rFonts w:ascii="Times New Roman" w:hAnsi="Times New Roman"/>
          <w:sz w:val="24"/>
        </w:rPr>
        <w:t>nti un prêt post réorganisation. D</w:t>
      </w:r>
      <w:r>
        <w:rPr>
          <w:rFonts w:ascii="Times New Roman" w:hAnsi="Times New Roman"/>
          <w:sz w:val="24"/>
        </w:rPr>
        <w:t>’autres décisions admettent des « </w:t>
      </w:r>
      <w:r w:rsidRPr="009C5884">
        <w:rPr>
          <w:rFonts w:ascii="Times New Roman" w:hAnsi="Times New Roman"/>
          <w:i/>
          <w:sz w:val="24"/>
        </w:rPr>
        <w:t>apports</w:t>
      </w:r>
      <w:r>
        <w:rPr>
          <w:rFonts w:ascii="Times New Roman" w:hAnsi="Times New Roman"/>
          <w:sz w:val="24"/>
        </w:rPr>
        <w:t> » plus intangibles . Les juge ont examiné la proportion entre la rémunération et la valeur réelle de l’apport</w:t>
      </w:r>
      <w:r>
        <w:rPr>
          <w:rStyle w:val="Appelnotedebasdep"/>
          <w:rFonts w:ascii="Times New Roman" w:hAnsi="Times New Roman"/>
          <w:sz w:val="24"/>
        </w:rPr>
        <w:footnoteReference w:id="323"/>
      </w:r>
      <w:r>
        <w:rPr>
          <w:rFonts w:ascii="Times New Roman" w:hAnsi="Times New Roman"/>
          <w:sz w:val="24"/>
        </w:rPr>
        <w:t xml:space="preserve"> et estimé que cette exception ne jouait que pour des </w:t>
      </w:r>
      <w:r w:rsidR="009C5884">
        <w:rPr>
          <w:rFonts w:ascii="Times New Roman" w:hAnsi="Times New Roman"/>
          <w:sz w:val="24"/>
        </w:rPr>
        <w:t xml:space="preserve">apports </w:t>
      </w:r>
      <w:r>
        <w:rPr>
          <w:rFonts w:ascii="Times New Roman" w:hAnsi="Times New Roman"/>
          <w:sz w:val="24"/>
        </w:rPr>
        <w:t xml:space="preserve"> </w:t>
      </w:r>
      <w:r w:rsidR="009C5884">
        <w:rPr>
          <w:rFonts w:ascii="Times New Roman" w:hAnsi="Times New Roman"/>
          <w:sz w:val="24"/>
        </w:rPr>
        <w:t>suffisamment</w:t>
      </w:r>
      <w:r>
        <w:rPr>
          <w:rFonts w:ascii="Times New Roman" w:hAnsi="Times New Roman"/>
          <w:sz w:val="24"/>
        </w:rPr>
        <w:t xml:space="preserve"> « </w:t>
      </w:r>
      <w:r w:rsidRPr="009C5884">
        <w:rPr>
          <w:rFonts w:ascii="Times New Roman" w:hAnsi="Times New Roman"/>
          <w:i/>
          <w:sz w:val="24"/>
        </w:rPr>
        <w:t>substantiels</w:t>
      </w:r>
      <w:r>
        <w:rPr>
          <w:rFonts w:ascii="Times New Roman" w:hAnsi="Times New Roman"/>
          <w:sz w:val="24"/>
        </w:rPr>
        <w:t> »</w:t>
      </w:r>
      <w:r>
        <w:rPr>
          <w:rStyle w:val="Appelnotedebasdep"/>
          <w:rFonts w:ascii="Times New Roman" w:hAnsi="Times New Roman"/>
          <w:sz w:val="24"/>
        </w:rPr>
        <w:footnoteReference w:id="324"/>
      </w:r>
      <w:r w:rsidR="009C5884">
        <w:rPr>
          <w:rFonts w:ascii="Times New Roman" w:hAnsi="Times New Roman"/>
          <w:sz w:val="24"/>
        </w:rPr>
        <w:t>.</w:t>
      </w:r>
    </w:p>
    <w:p w:rsidR="008064D7" w:rsidRDefault="008064D7" w:rsidP="002F07B8">
      <w:pPr>
        <w:pStyle w:val="Paragraphedeliste"/>
        <w:spacing w:line="240" w:lineRule="auto"/>
        <w:ind w:left="786"/>
        <w:rPr>
          <w:rFonts w:ascii="Times New Roman" w:hAnsi="Times New Roman"/>
          <w:sz w:val="24"/>
          <w:u w:val="single"/>
        </w:rPr>
      </w:pPr>
    </w:p>
    <w:p w:rsidR="00376175" w:rsidRDefault="009C5884" w:rsidP="00EE1371">
      <w:pPr>
        <w:spacing w:line="240" w:lineRule="auto"/>
        <w:ind w:left="786"/>
        <w:rPr>
          <w:rFonts w:ascii="Times New Roman" w:hAnsi="Times New Roman"/>
          <w:sz w:val="24"/>
        </w:rPr>
      </w:pPr>
      <w:r>
        <w:rPr>
          <w:rFonts w:ascii="Times New Roman" w:hAnsi="Times New Roman"/>
          <w:sz w:val="24"/>
        </w:rPr>
        <w:t>L</w:t>
      </w:r>
      <w:r w:rsidR="008064D7">
        <w:rPr>
          <w:rFonts w:ascii="Times New Roman" w:hAnsi="Times New Roman"/>
          <w:sz w:val="24"/>
        </w:rPr>
        <w:t xml:space="preserve">es juges ont </w:t>
      </w:r>
      <w:r>
        <w:rPr>
          <w:rFonts w:ascii="Times New Roman" w:hAnsi="Times New Roman"/>
          <w:sz w:val="24"/>
        </w:rPr>
        <w:t>exigé</w:t>
      </w:r>
      <w:r w:rsidR="008064D7">
        <w:rPr>
          <w:rFonts w:ascii="Times New Roman" w:hAnsi="Times New Roman"/>
          <w:sz w:val="24"/>
        </w:rPr>
        <w:t xml:space="preserve"> que le « </w:t>
      </w:r>
      <w:r w:rsidR="008064D7" w:rsidRPr="009C5884">
        <w:rPr>
          <w:rFonts w:ascii="Times New Roman" w:hAnsi="Times New Roman"/>
          <w:i/>
          <w:sz w:val="24"/>
        </w:rPr>
        <w:t>prix</w:t>
      </w:r>
      <w:r w:rsidR="008064D7">
        <w:rPr>
          <w:rFonts w:ascii="Times New Roman" w:hAnsi="Times New Roman"/>
          <w:sz w:val="24"/>
        </w:rPr>
        <w:t> » de ces actions souscrites par les anciens actionnaires soit suffisant pour couvrir les futures pertes de l’entreprise</w:t>
      </w:r>
      <w:r w:rsidR="00376175">
        <w:rPr>
          <w:rFonts w:ascii="Times New Roman" w:hAnsi="Times New Roman"/>
          <w:sz w:val="24"/>
        </w:rPr>
        <w:t>,</w:t>
      </w:r>
      <w:r w:rsidR="008064D7">
        <w:rPr>
          <w:rFonts w:ascii="Times New Roman" w:hAnsi="Times New Roman"/>
          <w:sz w:val="24"/>
        </w:rPr>
        <w:t xml:space="preserve"> c’est-à-dire</w:t>
      </w:r>
      <w:r w:rsidR="00376175">
        <w:rPr>
          <w:rFonts w:ascii="Times New Roman" w:hAnsi="Times New Roman"/>
          <w:sz w:val="24"/>
        </w:rPr>
        <w:t>,</w:t>
      </w:r>
      <w:r w:rsidR="008064D7">
        <w:rPr>
          <w:rFonts w:ascii="Times New Roman" w:hAnsi="Times New Roman"/>
          <w:sz w:val="24"/>
        </w:rPr>
        <w:t xml:space="preserve"> ne se calcule pas ni sur la valeur going-concern de l’entreprise ni sur la valeur après abandon des dettes</w:t>
      </w:r>
      <w:r w:rsidR="00376175">
        <w:rPr>
          <w:rFonts w:ascii="Times New Roman" w:hAnsi="Times New Roman"/>
          <w:sz w:val="24"/>
        </w:rPr>
        <w:t>,</w:t>
      </w:r>
      <w:r w:rsidR="008064D7">
        <w:rPr>
          <w:rFonts w:ascii="Times New Roman" w:hAnsi="Times New Roman"/>
          <w:sz w:val="24"/>
        </w:rPr>
        <w:t xml:space="preserve"> mais bien sur la valeur nécessaire à réussir le plan d’affaire</w:t>
      </w:r>
      <w:r w:rsidR="008064D7">
        <w:rPr>
          <w:rStyle w:val="Appelnotedebasdep"/>
          <w:rFonts w:ascii="Times New Roman" w:hAnsi="Times New Roman"/>
          <w:sz w:val="24"/>
        </w:rPr>
        <w:footnoteReference w:id="325"/>
      </w:r>
      <w:r w:rsidR="00376175">
        <w:rPr>
          <w:rFonts w:ascii="Times New Roman" w:hAnsi="Times New Roman"/>
          <w:sz w:val="24"/>
        </w:rPr>
        <w:t>,</w:t>
      </w:r>
      <w:r w:rsidR="008064D7">
        <w:rPr>
          <w:rFonts w:ascii="Times New Roman" w:hAnsi="Times New Roman"/>
          <w:sz w:val="24"/>
        </w:rPr>
        <w:t xml:space="preserve"> ce qui laisse au juge un pouvoir d’appréciation </w:t>
      </w:r>
      <w:r w:rsidR="00376175">
        <w:rPr>
          <w:rFonts w:ascii="Times New Roman" w:hAnsi="Times New Roman"/>
          <w:sz w:val="24"/>
        </w:rPr>
        <w:t xml:space="preserve">assez large </w:t>
      </w:r>
      <w:r w:rsidR="008064D7">
        <w:rPr>
          <w:rFonts w:ascii="Times New Roman" w:hAnsi="Times New Roman"/>
          <w:sz w:val="24"/>
        </w:rPr>
        <w:t>sur cette valeur</w:t>
      </w:r>
      <w:r w:rsidR="008064D7">
        <w:rPr>
          <w:rStyle w:val="Appelnotedebasdep"/>
          <w:rFonts w:ascii="Times New Roman" w:hAnsi="Times New Roman"/>
          <w:sz w:val="24"/>
        </w:rPr>
        <w:footnoteReference w:id="326"/>
      </w:r>
      <w:r w:rsidR="008064D7">
        <w:rPr>
          <w:rFonts w:ascii="Times New Roman" w:hAnsi="Times New Roman"/>
          <w:sz w:val="24"/>
        </w:rPr>
        <w:t xml:space="preserve"> qu’il ne manque pas d’utiliser dans de nombreux cas </w:t>
      </w:r>
      <w:r w:rsidR="008064D7">
        <w:rPr>
          <w:rStyle w:val="Appelnotedebasdep"/>
          <w:rFonts w:ascii="Times New Roman" w:hAnsi="Times New Roman"/>
          <w:sz w:val="24"/>
        </w:rPr>
        <w:footnoteReference w:id="327"/>
      </w:r>
      <w:r w:rsidR="008064D7">
        <w:rPr>
          <w:rFonts w:ascii="Times New Roman" w:hAnsi="Times New Roman"/>
          <w:sz w:val="24"/>
        </w:rPr>
        <w:t xml:space="preserve">. </w:t>
      </w:r>
    </w:p>
    <w:p w:rsidR="00376175" w:rsidRDefault="00376175" w:rsidP="00EE1371">
      <w:pPr>
        <w:spacing w:line="240" w:lineRule="auto"/>
        <w:ind w:left="786"/>
        <w:rPr>
          <w:rFonts w:ascii="Times New Roman" w:hAnsi="Times New Roman"/>
          <w:sz w:val="24"/>
        </w:rPr>
      </w:pPr>
    </w:p>
    <w:p w:rsidR="008064D7" w:rsidRDefault="008064D7" w:rsidP="00EE1371">
      <w:pPr>
        <w:spacing w:line="240" w:lineRule="auto"/>
        <w:ind w:left="786"/>
        <w:rPr>
          <w:rFonts w:ascii="Times New Roman" w:hAnsi="Times New Roman"/>
          <w:sz w:val="24"/>
        </w:rPr>
      </w:pPr>
      <w:r>
        <w:rPr>
          <w:rFonts w:ascii="Times New Roman" w:hAnsi="Times New Roman"/>
          <w:sz w:val="24"/>
        </w:rPr>
        <w:t>Le juge</w:t>
      </w:r>
      <w:r w:rsidR="00376175">
        <w:rPr>
          <w:rFonts w:ascii="Times New Roman" w:hAnsi="Times New Roman"/>
          <w:sz w:val="24"/>
        </w:rPr>
        <w:t>, c</w:t>
      </w:r>
      <w:r>
        <w:rPr>
          <w:rFonts w:ascii="Times New Roman" w:hAnsi="Times New Roman"/>
          <w:sz w:val="24"/>
        </w:rPr>
        <w:t xml:space="preserve">e faisant, use de la règle de </w:t>
      </w:r>
      <w:r w:rsidRPr="00376175">
        <w:rPr>
          <w:rFonts w:ascii="Times New Roman" w:hAnsi="Times New Roman"/>
          <w:sz w:val="24"/>
          <w:u w:val="single"/>
        </w:rPr>
        <w:t>faisabilité</w:t>
      </w:r>
      <w:r>
        <w:rPr>
          <w:rStyle w:val="Appelnotedebasdep"/>
          <w:rFonts w:ascii="Times New Roman" w:hAnsi="Times New Roman"/>
          <w:sz w:val="24"/>
        </w:rPr>
        <w:footnoteReference w:id="328"/>
      </w:r>
      <w:r>
        <w:rPr>
          <w:rFonts w:ascii="Times New Roman" w:hAnsi="Times New Roman"/>
          <w:sz w:val="24"/>
        </w:rPr>
        <w:t>. Le juge peut aussi conclure que le montant de l’apport n’est pas suffisant sur base de cette même règle</w:t>
      </w:r>
      <w:r>
        <w:rPr>
          <w:rStyle w:val="Appelnotedebasdep"/>
          <w:rFonts w:ascii="Times New Roman" w:hAnsi="Times New Roman"/>
          <w:sz w:val="24"/>
        </w:rPr>
        <w:footnoteReference w:id="329"/>
      </w:r>
      <w:r w:rsidR="00376175">
        <w:rPr>
          <w:rFonts w:ascii="Times New Roman" w:hAnsi="Times New Roman"/>
          <w:sz w:val="24"/>
        </w:rPr>
        <w:t>.</w:t>
      </w:r>
    </w:p>
    <w:p w:rsidR="008064D7" w:rsidRDefault="008064D7" w:rsidP="00EE1371">
      <w:pPr>
        <w:spacing w:line="240" w:lineRule="auto"/>
        <w:ind w:left="786"/>
        <w:rPr>
          <w:rFonts w:ascii="Times New Roman" w:hAnsi="Times New Roman"/>
          <w:sz w:val="24"/>
        </w:rPr>
      </w:pPr>
    </w:p>
    <w:p w:rsidR="008064D7" w:rsidRDefault="008064D7" w:rsidP="009A5EC2">
      <w:pPr>
        <w:spacing w:line="240" w:lineRule="auto"/>
        <w:ind w:left="786"/>
        <w:rPr>
          <w:rFonts w:ascii="Times New Roman" w:hAnsi="Times New Roman"/>
          <w:sz w:val="24"/>
        </w:rPr>
      </w:pPr>
    </w:p>
    <w:p w:rsidR="008064D7" w:rsidRPr="00235E93" w:rsidRDefault="008064D7" w:rsidP="00376175">
      <w:pPr>
        <w:pStyle w:val="Titre2"/>
        <w:numPr>
          <w:ilvl w:val="0"/>
          <w:numId w:val="45"/>
        </w:numPr>
        <w:spacing w:before="0" w:line="240" w:lineRule="auto"/>
        <w:rPr>
          <w:rFonts w:ascii="Times New Roman" w:hAnsi="Times New Roman" w:cs="Times New Roman"/>
        </w:rPr>
      </w:pPr>
      <w:bookmarkStart w:id="46" w:name="_Toc55407491"/>
      <w:r>
        <w:rPr>
          <w:rFonts w:ascii="Times New Roman" w:hAnsi="Times New Roman" w:cs="Times New Roman"/>
        </w:rPr>
        <w:lastRenderedPageBreak/>
        <w:t>Est-</w:t>
      </w:r>
      <w:r w:rsidRPr="00235E93">
        <w:rPr>
          <w:rFonts w:ascii="Times New Roman" w:hAnsi="Times New Roman" w:cs="Times New Roman"/>
        </w:rPr>
        <w:t>ce que la conversion est un traitement différencié ?</w:t>
      </w:r>
      <w:bookmarkEnd w:id="46"/>
      <w:r w:rsidRPr="00235E93">
        <w:rPr>
          <w:rFonts w:ascii="Times New Roman" w:hAnsi="Times New Roman" w:cs="Times New Roman"/>
        </w:rPr>
        <w:t xml:space="preserve"> </w:t>
      </w:r>
    </w:p>
    <w:p w:rsidR="008064D7" w:rsidRDefault="008064D7" w:rsidP="009A5EC2">
      <w:pPr>
        <w:spacing w:line="240" w:lineRule="auto"/>
        <w:ind w:left="786"/>
        <w:rPr>
          <w:rFonts w:ascii="Times New Roman" w:hAnsi="Times New Roman"/>
          <w:sz w:val="24"/>
        </w:rPr>
      </w:pPr>
    </w:p>
    <w:p w:rsidR="00376175" w:rsidRPr="00376175" w:rsidRDefault="00376175" w:rsidP="00376175">
      <w:pPr>
        <w:pStyle w:val="Paragraphedeliste"/>
        <w:numPr>
          <w:ilvl w:val="0"/>
          <w:numId w:val="2"/>
        </w:numPr>
        <w:spacing w:line="240" w:lineRule="auto"/>
        <w:ind w:left="851" w:hanging="567"/>
        <w:rPr>
          <w:rFonts w:ascii="Times New Roman" w:hAnsi="Times New Roman"/>
          <w:sz w:val="24"/>
          <w:u w:val="single"/>
        </w:rPr>
      </w:pPr>
      <w:r w:rsidRPr="00376175">
        <w:rPr>
          <w:rFonts w:ascii="Times New Roman" w:hAnsi="Times New Roman"/>
          <w:sz w:val="24"/>
          <w:u w:val="single"/>
        </w:rPr>
        <w:t>L’examen de la directive doit être fait au regard des articles 10 et 11 de la Constitution</w:t>
      </w:r>
      <w:r w:rsidRPr="00376175">
        <w:rPr>
          <w:rFonts w:ascii="Times New Roman" w:hAnsi="Times New Roman"/>
          <w:sz w:val="24"/>
        </w:rPr>
        <w:t xml:space="preserve">. </w:t>
      </w:r>
      <w:r w:rsidR="008064D7" w:rsidRPr="00376175">
        <w:rPr>
          <w:rFonts w:ascii="Times New Roman" w:hAnsi="Times New Roman"/>
          <w:sz w:val="24"/>
        </w:rPr>
        <w:t>Une 1</w:t>
      </w:r>
      <w:r w:rsidR="008064D7" w:rsidRPr="00376175">
        <w:rPr>
          <w:rFonts w:ascii="Times New Roman" w:hAnsi="Times New Roman"/>
          <w:sz w:val="24"/>
          <w:vertAlign w:val="superscript"/>
        </w:rPr>
        <w:t>ère</w:t>
      </w:r>
      <w:r w:rsidR="008064D7" w:rsidRPr="00376175">
        <w:rPr>
          <w:rFonts w:ascii="Times New Roman" w:hAnsi="Times New Roman"/>
          <w:sz w:val="24"/>
        </w:rPr>
        <w:t xml:space="preserve"> question est de savoir si la proposition de conversion d’une créance en action contenue dans </w:t>
      </w:r>
      <w:r w:rsidRPr="00376175">
        <w:rPr>
          <w:rFonts w:ascii="Times New Roman" w:hAnsi="Times New Roman"/>
          <w:sz w:val="24"/>
        </w:rPr>
        <w:t>un</w:t>
      </w:r>
      <w:r w:rsidR="008064D7" w:rsidRPr="00376175">
        <w:rPr>
          <w:rFonts w:ascii="Times New Roman" w:hAnsi="Times New Roman"/>
          <w:sz w:val="24"/>
        </w:rPr>
        <w:t xml:space="preserve"> plan </w:t>
      </w:r>
      <w:r w:rsidRPr="00376175">
        <w:rPr>
          <w:rFonts w:ascii="Times New Roman" w:hAnsi="Times New Roman"/>
          <w:sz w:val="24"/>
        </w:rPr>
        <w:t xml:space="preserve">actuel </w:t>
      </w:r>
      <w:r w:rsidR="008064D7" w:rsidRPr="00376175">
        <w:rPr>
          <w:rFonts w:ascii="Times New Roman" w:hAnsi="Times New Roman"/>
          <w:sz w:val="24"/>
        </w:rPr>
        <w:t>est – en soi et indépendamment de ses modalités</w:t>
      </w:r>
      <w:r w:rsidRPr="00376175">
        <w:rPr>
          <w:rFonts w:ascii="Times New Roman" w:hAnsi="Times New Roman"/>
          <w:sz w:val="24"/>
        </w:rPr>
        <w:t xml:space="preserve"> </w:t>
      </w:r>
      <w:r w:rsidR="008064D7" w:rsidRPr="00376175">
        <w:rPr>
          <w:rFonts w:ascii="Times New Roman" w:hAnsi="Times New Roman"/>
          <w:sz w:val="24"/>
        </w:rPr>
        <w:t>- un traitement différencié au sens de l’article XX.72.</w:t>
      </w:r>
      <w:r w:rsidR="008064D7" w:rsidRPr="00AA36AC">
        <w:rPr>
          <w:rFonts w:ascii="Times New Roman" w:hAnsi="Times New Roman"/>
          <w:sz w:val="24"/>
        </w:rPr>
        <w:t xml:space="preserve"> </w:t>
      </w:r>
      <w:r w:rsidR="008064D7">
        <w:rPr>
          <w:rFonts w:ascii="Times New Roman" w:hAnsi="Times New Roman"/>
          <w:sz w:val="24"/>
        </w:rPr>
        <w:t xml:space="preserve">Proposer à des créanciers de devenir actionnaire pourrait être considéré comme un traitement différencié dès lors qu’au moment où cette conversion est proposée, cette proposition s’adresse </w:t>
      </w:r>
      <w:r w:rsidR="008064D7" w:rsidRPr="00376175">
        <w:rPr>
          <w:rFonts w:ascii="Times New Roman" w:hAnsi="Times New Roman"/>
          <w:sz w:val="24"/>
          <w:u w:val="single"/>
        </w:rPr>
        <w:t>aux créanciers</w:t>
      </w:r>
      <w:r>
        <w:rPr>
          <w:rFonts w:ascii="Times New Roman" w:hAnsi="Times New Roman"/>
          <w:sz w:val="24"/>
        </w:rPr>
        <w:t>, les uns ayant un paiement en cash, les autres en actions, soit un paiement différent et dans la nature et dans la valeur.</w:t>
      </w:r>
    </w:p>
    <w:p w:rsidR="00376175" w:rsidRDefault="00376175" w:rsidP="00376175">
      <w:pPr>
        <w:pStyle w:val="Paragraphedeliste"/>
        <w:spacing w:line="240" w:lineRule="auto"/>
        <w:ind w:left="851"/>
        <w:rPr>
          <w:rFonts w:ascii="Times New Roman" w:hAnsi="Times New Roman"/>
          <w:sz w:val="24"/>
          <w:u w:val="single"/>
        </w:rPr>
      </w:pPr>
    </w:p>
    <w:p w:rsidR="008064D7" w:rsidRPr="003059FB" w:rsidRDefault="008064D7" w:rsidP="00376175">
      <w:pPr>
        <w:pStyle w:val="Paragraphedeliste"/>
        <w:spacing w:line="240" w:lineRule="auto"/>
        <w:ind w:left="851"/>
        <w:rPr>
          <w:rFonts w:ascii="Times New Roman" w:hAnsi="Times New Roman"/>
          <w:sz w:val="24"/>
          <w:u w:val="single"/>
        </w:rPr>
      </w:pPr>
      <w:r w:rsidRPr="003059FB">
        <w:rPr>
          <w:rFonts w:ascii="Times New Roman" w:hAnsi="Times New Roman"/>
          <w:sz w:val="24"/>
        </w:rPr>
        <w:t>S’il s’agit d’un traitement différencié, la jurisprudence de la Cour Constitutionnelle</w:t>
      </w:r>
      <w:r w:rsidR="00376175">
        <w:rPr>
          <w:rFonts w:ascii="Times New Roman" w:hAnsi="Times New Roman"/>
          <w:sz w:val="24"/>
        </w:rPr>
        <w:t>,</w:t>
      </w:r>
      <w:r w:rsidRPr="003059FB">
        <w:rPr>
          <w:rFonts w:ascii="Times New Roman" w:hAnsi="Times New Roman"/>
          <w:sz w:val="24"/>
        </w:rPr>
        <w:t xml:space="preserve"> </w:t>
      </w:r>
      <w:r>
        <w:rPr>
          <w:rFonts w:ascii="Times New Roman" w:hAnsi="Times New Roman"/>
          <w:sz w:val="24"/>
        </w:rPr>
        <w:t>fondée sur les articles 10 et 11 de la Constitution</w:t>
      </w:r>
      <w:r w:rsidR="00376175">
        <w:rPr>
          <w:rFonts w:ascii="Times New Roman" w:hAnsi="Times New Roman"/>
          <w:sz w:val="24"/>
        </w:rPr>
        <w:t>,</w:t>
      </w:r>
      <w:r>
        <w:rPr>
          <w:rFonts w:ascii="Times New Roman" w:hAnsi="Times New Roman"/>
          <w:sz w:val="24"/>
        </w:rPr>
        <w:t xml:space="preserve"> </w:t>
      </w:r>
      <w:r w:rsidR="00376175">
        <w:rPr>
          <w:rFonts w:ascii="Times New Roman" w:hAnsi="Times New Roman"/>
          <w:sz w:val="24"/>
        </w:rPr>
        <w:t>devrait être</w:t>
      </w:r>
      <w:r w:rsidRPr="003059FB">
        <w:rPr>
          <w:rFonts w:ascii="Times New Roman" w:hAnsi="Times New Roman"/>
          <w:sz w:val="24"/>
        </w:rPr>
        <w:t xml:space="preserve"> appliquée tandis que s’il y a traitement différencié, les institutionnels pourraient demander l’application de l’article XX</w:t>
      </w:r>
      <w:r>
        <w:rPr>
          <w:rFonts w:ascii="Times New Roman" w:hAnsi="Times New Roman"/>
          <w:sz w:val="24"/>
        </w:rPr>
        <w:t>.</w:t>
      </w:r>
      <w:r w:rsidRPr="003059FB">
        <w:rPr>
          <w:rFonts w:ascii="Times New Roman" w:hAnsi="Times New Roman"/>
          <w:sz w:val="24"/>
        </w:rPr>
        <w:t xml:space="preserve">73, al.2 qui prévoit qu’ils ne peuvent pas avoir un traitement moins favorable. Dans ce dernier cas, il s’agirait de savoir ce que veut dire </w:t>
      </w:r>
      <w:r w:rsidRPr="003059FB">
        <w:rPr>
          <w:rFonts w:ascii="Times New Roman" w:hAnsi="Times New Roman"/>
          <w:sz w:val="24"/>
          <w:u w:val="single"/>
        </w:rPr>
        <w:t>ce traitement moins favorable</w:t>
      </w:r>
      <w:r w:rsidRPr="003059FB">
        <w:rPr>
          <w:rFonts w:ascii="Times New Roman" w:hAnsi="Times New Roman"/>
          <w:sz w:val="24"/>
        </w:rPr>
        <w:t xml:space="preserve"> et comment l’é</w:t>
      </w:r>
      <w:r w:rsidRPr="007C17D3">
        <w:rPr>
          <w:rFonts w:ascii="Times New Roman" w:hAnsi="Times New Roman"/>
          <w:i/>
          <w:sz w:val="24"/>
        </w:rPr>
        <w:t>value</w:t>
      </w:r>
      <w:r w:rsidRPr="003059FB">
        <w:rPr>
          <w:rFonts w:ascii="Times New Roman" w:hAnsi="Times New Roman"/>
          <w:sz w:val="24"/>
        </w:rPr>
        <w:t xml:space="preserve">r. </w:t>
      </w:r>
    </w:p>
    <w:p w:rsidR="008064D7" w:rsidRPr="00BD1399" w:rsidRDefault="008064D7" w:rsidP="00BD1399">
      <w:pPr>
        <w:pStyle w:val="Paragraphedeliste"/>
        <w:spacing w:line="240" w:lineRule="auto"/>
        <w:ind w:left="786"/>
        <w:rPr>
          <w:rFonts w:ascii="Times New Roman" w:hAnsi="Times New Roman"/>
          <w:sz w:val="24"/>
          <w:u w:val="single"/>
        </w:rPr>
      </w:pPr>
    </w:p>
    <w:p w:rsidR="008064D7" w:rsidRDefault="008064D7" w:rsidP="009629E7">
      <w:pPr>
        <w:pStyle w:val="Paragraphedeliste"/>
        <w:spacing w:line="240" w:lineRule="auto"/>
        <w:ind w:left="786"/>
        <w:rPr>
          <w:rFonts w:ascii="Times New Roman" w:hAnsi="Times New Roman"/>
          <w:sz w:val="24"/>
        </w:rPr>
      </w:pPr>
      <w:r w:rsidRPr="008E748A">
        <w:rPr>
          <w:rFonts w:ascii="Times New Roman" w:hAnsi="Times New Roman"/>
          <w:sz w:val="24"/>
          <w:u w:val="single"/>
        </w:rPr>
        <w:t>La première hypothèse est celle où la conversion est proposée à tous les créanciers sur base de la valeur abattue de la créance</w:t>
      </w:r>
      <w:r>
        <w:rPr>
          <w:rFonts w:ascii="Times New Roman" w:hAnsi="Times New Roman"/>
          <w:sz w:val="24"/>
        </w:rPr>
        <w:t>. Le</w:t>
      </w:r>
      <w:r w:rsidRPr="00BD1399">
        <w:rPr>
          <w:rFonts w:ascii="Times New Roman" w:hAnsi="Times New Roman"/>
          <w:sz w:val="24"/>
        </w:rPr>
        <w:t xml:space="preserve"> créancier</w:t>
      </w:r>
      <w:r>
        <w:rPr>
          <w:rFonts w:ascii="Times New Roman" w:hAnsi="Times New Roman"/>
          <w:sz w:val="24"/>
        </w:rPr>
        <w:t xml:space="preserve">, </w:t>
      </w:r>
      <w:r w:rsidRPr="00BD1399">
        <w:rPr>
          <w:rFonts w:ascii="Times New Roman" w:hAnsi="Times New Roman"/>
          <w:sz w:val="24"/>
        </w:rPr>
        <w:t xml:space="preserve">après la conversion, cessera d’être créancier pour devenir actionnaire. </w:t>
      </w:r>
      <w:r w:rsidR="00376175">
        <w:rPr>
          <w:rFonts w:ascii="Times New Roman" w:hAnsi="Times New Roman"/>
          <w:sz w:val="24"/>
        </w:rPr>
        <w:t xml:space="preserve">Son </w:t>
      </w:r>
      <w:r w:rsidRPr="00BD1399">
        <w:rPr>
          <w:rFonts w:ascii="Times New Roman" w:hAnsi="Times New Roman"/>
          <w:sz w:val="24"/>
        </w:rPr>
        <w:t>titre</w:t>
      </w:r>
      <w:r>
        <w:rPr>
          <w:rFonts w:ascii="Times New Roman" w:hAnsi="Times New Roman"/>
          <w:sz w:val="24"/>
        </w:rPr>
        <w:t xml:space="preserve"> de « </w:t>
      </w:r>
      <w:r>
        <w:rPr>
          <w:rFonts w:ascii="Times New Roman" w:hAnsi="Times New Roman"/>
          <w:i/>
          <w:sz w:val="24"/>
        </w:rPr>
        <w:t>créance</w:t>
      </w:r>
      <w:r>
        <w:rPr>
          <w:rFonts w:ascii="Times New Roman" w:hAnsi="Times New Roman"/>
          <w:sz w:val="24"/>
        </w:rPr>
        <w:t> »</w:t>
      </w:r>
      <w:r w:rsidRPr="00BD1399">
        <w:rPr>
          <w:rFonts w:ascii="Times New Roman" w:hAnsi="Times New Roman"/>
          <w:sz w:val="24"/>
        </w:rPr>
        <w:t xml:space="preserve"> </w:t>
      </w:r>
      <w:r>
        <w:rPr>
          <w:rFonts w:ascii="Times New Roman" w:hAnsi="Times New Roman"/>
          <w:sz w:val="24"/>
        </w:rPr>
        <w:t xml:space="preserve">sera devenu </w:t>
      </w:r>
      <w:r w:rsidR="00376175">
        <w:rPr>
          <w:rFonts w:ascii="Times New Roman" w:hAnsi="Times New Roman"/>
          <w:sz w:val="24"/>
        </w:rPr>
        <w:t xml:space="preserve">un titre </w:t>
      </w:r>
      <w:r w:rsidR="005459C1">
        <w:rPr>
          <w:rFonts w:ascii="Times New Roman" w:hAnsi="Times New Roman"/>
          <w:sz w:val="24"/>
        </w:rPr>
        <w:t>d’ « </w:t>
      </w:r>
      <w:r w:rsidRPr="005459C1">
        <w:rPr>
          <w:rFonts w:ascii="Times New Roman" w:hAnsi="Times New Roman"/>
          <w:i/>
          <w:sz w:val="24"/>
        </w:rPr>
        <w:t>action</w:t>
      </w:r>
      <w:r w:rsidR="005459C1">
        <w:rPr>
          <w:rFonts w:ascii="Times New Roman" w:hAnsi="Times New Roman"/>
          <w:sz w:val="24"/>
        </w:rPr>
        <w:t> »</w:t>
      </w:r>
      <w:r>
        <w:rPr>
          <w:rFonts w:ascii="Times New Roman" w:hAnsi="Times New Roman"/>
          <w:sz w:val="24"/>
        </w:rPr>
        <w:t xml:space="preserve">, qui est un titre </w:t>
      </w:r>
      <w:r w:rsidRPr="00BD1399">
        <w:rPr>
          <w:rFonts w:ascii="Times New Roman" w:hAnsi="Times New Roman"/>
          <w:sz w:val="24"/>
        </w:rPr>
        <w:t>différent</w:t>
      </w:r>
      <w:r w:rsidR="00376175">
        <w:rPr>
          <w:rFonts w:ascii="Times New Roman" w:hAnsi="Times New Roman"/>
          <w:sz w:val="24"/>
        </w:rPr>
        <w:t>,</w:t>
      </w:r>
      <w:r>
        <w:rPr>
          <w:rFonts w:ascii="Times New Roman" w:hAnsi="Times New Roman"/>
          <w:sz w:val="24"/>
        </w:rPr>
        <w:t xml:space="preserve"> car u</w:t>
      </w:r>
      <w:r w:rsidRPr="00BD1399">
        <w:rPr>
          <w:rFonts w:ascii="Times New Roman" w:hAnsi="Times New Roman"/>
          <w:sz w:val="24"/>
        </w:rPr>
        <w:t xml:space="preserve">ne action est un titre soumis à un aléa économique (le bénéfice ou la perte) subordonné au paiement des créanciers (par le test de solvabilité ou de liquidation ou par les règles en matière de fonds propres) </w:t>
      </w:r>
      <w:r w:rsidR="005459C1">
        <w:rPr>
          <w:rFonts w:ascii="Times New Roman" w:hAnsi="Times New Roman"/>
          <w:sz w:val="24"/>
        </w:rPr>
        <w:t xml:space="preserve">et </w:t>
      </w:r>
      <w:r w:rsidRPr="00BD1399">
        <w:rPr>
          <w:rFonts w:ascii="Times New Roman" w:hAnsi="Times New Roman"/>
          <w:sz w:val="24"/>
        </w:rPr>
        <w:t xml:space="preserve">partiellement </w:t>
      </w:r>
      <w:r>
        <w:rPr>
          <w:rFonts w:ascii="Times New Roman" w:hAnsi="Times New Roman"/>
          <w:sz w:val="24"/>
        </w:rPr>
        <w:t>illiquide</w:t>
      </w:r>
      <w:r w:rsidRPr="00BD1399">
        <w:rPr>
          <w:rFonts w:ascii="Times New Roman" w:hAnsi="Times New Roman"/>
          <w:sz w:val="24"/>
        </w:rPr>
        <w:t xml:space="preserve"> à la différence d’une créance</w:t>
      </w:r>
      <w:r>
        <w:rPr>
          <w:rFonts w:ascii="Times New Roman" w:hAnsi="Times New Roman"/>
          <w:sz w:val="24"/>
        </w:rPr>
        <w:t>. La créance</w:t>
      </w:r>
      <w:r w:rsidRPr="00BD1399">
        <w:rPr>
          <w:rFonts w:ascii="Times New Roman" w:hAnsi="Times New Roman"/>
          <w:sz w:val="24"/>
        </w:rPr>
        <w:t xml:space="preserve"> est un titre liquide à l’exigibilité convenue dans le plan et certain.</w:t>
      </w:r>
      <w:r>
        <w:rPr>
          <w:rFonts w:ascii="Times New Roman" w:hAnsi="Times New Roman"/>
          <w:sz w:val="24"/>
        </w:rPr>
        <w:t xml:space="preserve"> Rémunérer l’apport de la créance en action, dans ce cas, si le titre ou les modalités qui accompagne</w:t>
      </w:r>
      <w:r w:rsidR="005459C1">
        <w:rPr>
          <w:rFonts w:ascii="Times New Roman" w:hAnsi="Times New Roman"/>
          <w:sz w:val="24"/>
        </w:rPr>
        <w:t>nt</w:t>
      </w:r>
      <w:r>
        <w:rPr>
          <w:rFonts w:ascii="Times New Roman" w:hAnsi="Times New Roman"/>
          <w:sz w:val="24"/>
        </w:rPr>
        <w:t xml:space="preserve"> l’émission d’action ne génère</w:t>
      </w:r>
      <w:r w:rsidR="005459C1">
        <w:rPr>
          <w:rFonts w:ascii="Times New Roman" w:hAnsi="Times New Roman"/>
          <w:sz w:val="24"/>
        </w:rPr>
        <w:t>nt</w:t>
      </w:r>
      <w:r>
        <w:rPr>
          <w:rFonts w:ascii="Times New Roman" w:hAnsi="Times New Roman"/>
          <w:sz w:val="24"/>
        </w:rPr>
        <w:t xml:space="preserve"> pas un droit certain et assez rapide à un paiement, n’est pas un paiement. </w:t>
      </w:r>
    </w:p>
    <w:p w:rsidR="008064D7" w:rsidRDefault="008064D7" w:rsidP="009629E7">
      <w:pPr>
        <w:pStyle w:val="Paragraphedeliste"/>
        <w:spacing w:line="240" w:lineRule="auto"/>
        <w:ind w:left="786"/>
        <w:rPr>
          <w:rFonts w:ascii="Times New Roman" w:hAnsi="Times New Roman"/>
          <w:sz w:val="24"/>
        </w:rPr>
      </w:pPr>
    </w:p>
    <w:p w:rsidR="008064D7" w:rsidRDefault="008064D7" w:rsidP="009629E7">
      <w:pPr>
        <w:pStyle w:val="Paragraphedeliste"/>
        <w:spacing w:line="240" w:lineRule="auto"/>
        <w:ind w:left="786"/>
        <w:rPr>
          <w:rFonts w:ascii="Times New Roman" w:hAnsi="Times New Roman"/>
          <w:sz w:val="24"/>
        </w:rPr>
      </w:pPr>
      <w:r>
        <w:rPr>
          <w:rFonts w:ascii="Times New Roman" w:hAnsi="Times New Roman"/>
          <w:sz w:val="24"/>
        </w:rPr>
        <w:t xml:space="preserve">A titre personnel, je serais donc tenté de soutenir que même si le créancier convertissant a </w:t>
      </w:r>
      <w:r w:rsidRPr="005459C1">
        <w:rPr>
          <w:rFonts w:ascii="Times New Roman" w:hAnsi="Times New Roman"/>
          <w:sz w:val="24"/>
          <w:u w:val="single"/>
        </w:rPr>
        <w:t>une chance</w:t>
      </w:r>
      <w:r>
        <w:rPr>
          <w:rFonts w:ascii="Times New Roman" w:hAnsi="Times New Roman"/>
          <w:sz w:val="24"/>
        </w:rPr>
        <w:t xml:space="preserve"> de récupérer 100%, voire une plus-</w:t>
      </w:r>
      <w:r w:rsidRPr="005459C1">
        <w:rPr>
          <w:rFonts w:ascii="Times New Roman" w:hAnsi="Times New Roman"/>
          <w:sz w:val="24"/>
        </w:rPr>
        <w:t>value</w:t>
      </w:r>
      <w:r>
        <w:rPr>
          <w:rFonts w:ascii="Times New Roman" w:hAnsi="Times New Roman"/>
          <w:sz w:val="24"/>
        </w:rPr>
        <w:t xml:space="preserve"> sur le montant nominal de sa créance convertie sur base d’une valeur abattue comme les autres créances, il ne me se</w:t>
      </w:r>
      <w:r w:rsidR="005459C1">
        <w:rPr>
          <w:rFonts w:ascii="Times New Roman" w:hAnsi="Times New Roman"/>
          <w:sz w:val="24"/>
        </w:rPr>
        <w:t>mble pas qu’il s’agisse d’un traitement différencié puisque</w:t>
      </w:r>
      <w:r>
        <w:rPr>
          <w:rFonts w:ascii="Times New Roman" w:hAnsi="Times New Roman"/>
          <w:sz w:val="24"/>
        </w:rPr>
        <w:t xml:space="preserve"> cet action</w:t>
      </w:r>
      <w:r w:rsidR="005459C1">
        <w:rPr>
          <w:rFonts w:ascii="Times New Roman" w:hAnsi="Times New Roman"/>
          <w:sz w:val="24"/>
        </w:rPr>
        <w:t>naire pourrait ne rien recevoir</w:t>
      </w:r>
      <w:r>
        <w:rPr>
          <w:rFonts w:ascii="Times New Roman" w:hAnsi="Times New Roman"/>
          <w:sz w:val="24"/>
        </w:rPr>
        <w:t xml:space="preserve"> </w:t>
      </w:r>
      <w:r w:rsidR="005459C1">
        <w:rPr>
          <w:rFonts w:ascii="Times New Roman" w:hAnsi="Times New Roman"/>
          <w:sz w:val="24"/>
        </w:rPr>
        <w:t>de son action et que le</w:t>
      </w:r>
      <w:r>
        <w:rPr>
          <w:rFonts w:ascii="Times New Roman" w:hAnsi="Times New Roman"/>
          <w:sz w:val="24"/>
        </w:rPr>
        <w:t xml:space="preserve"> créancier </w:t>
      </w:r>
      <w:r w:rsidR="005459C1">
        <w:rPr>
          <w:rFonts w:ascii="Times New Roman" w:hAnsi="Times New Roman"/>
          <w:sz w:val="24"/>
        </w:rPr>
        <w:t xml:space="preserve">a </w:t>
      </w:r>
      <w:r>
        <w:rPr>
          <w:rFonts w:ascii="Times New Roman" w:hAnsi="Times New Roman"/>
          <w:sz w:val="24"/>
        </w:rPr>
        <w:t xml:space="preserve">choisi de perdre sa qualité de créancier et n’obtient en contrepartie qu’un droit aléatoire sur le bénéfice futur. </w:t>
      </w:r>
    </w:p>
    <w:p w:rsidR="008064D7" w:rsidRPr="009629E7" w:rsidRDefault="008064D7" w:rsidP="009629E7">
      <w:pPr>
        <w:pStyle w:val="Paragraphedeliste"/>
        <w:spacing w:line="240" w:lineRule="auto"/>
        <w:ind w:left="786"/>
        <w:rPr>
          <w:rFonts w:ascii="Times New Roman" w:hAnsi="Times New Roman"/>
          <w:sz w:val="24"/>
          <w:u w:val="single"/>
        </w:rPr>
      </w:pPr>
    </w:p>
    <w:p w:rsidR="008064D7" w:rsidRDefault="008064D7" w:rsidP="00852447">
      <w:pPr>
        <w:spacing w:line="240" w:lineRule="auto"/>
        <w:ind w:left="786"/>
        <w:rPr>
          <w:rFonts w:ascii="Times New Roman" w:hAnsi="Times New Roman"/>
          <w:sz w:val="24"/>
        </w:rPr>
      </w:pPr>
      <w:r>
        <w:rPr>
          <w:rFonts w:ascii="Times New Roman" w:hAnsi="Times New Roman"/>
          <w:sz w:val="24"/>
          <w:u w:val="single"/>
        </w:rPr>
        <w:t>Une seconde hypothèse serait</w:t>
      </w:r>
      <w:r w:rsidR="005459C1">
        <w:rPr>
          <w:rFonts w:ascii="Times New Roman" w:hAnsi="Times New Roman"/>
          <w:sz w:val="24"/>
          <w:u w:val="single"/>
        </w:rPr>
        <w:t>, sur base de la valeur de la créance abattue,</w:t>
      </w:r>
      <w:r>
        <w:rPr>
          <w:rFonts w:ascii="Times New Roman" w:hAnsi="Times New Roman"/>
          <w:sz w:val="24"/>
          <w:u w:val="single"/>
        </w:rPr>
        <w:t xml:space="preserve"> celle où</w:t>
      </w:r>
      <w:r>
        <w:rPr>
          <w:rFonts w:ascii="Times New Roman" w:hAnsi="Times New Roman"/>
          <w:sz w:val="24"/>
        </w:rPr>
        <w:t xml:space="preserve"> le plan interdit à des créanciers d’expressément convertir. Cette interdiction crée bien, me semble-t-il, en elle-même, deux catégories </w:t>
      </w:r>
      <w:r w:rsidR="005459C1">
        <w:rPr>
          <w:rFonts w:ascii="Times New Roman" w:hAnsi="Times New Roman"/>
          <w:sz w:val="24"/>
        </w:rPr>
        <w:t>de créanciers,</w:t>
      </w:r>
      <w:r>
        <w:rPr>
          <w:rFonts w:ascii="Times New Roman" w:hAnsi="Times New Roman"/>
          <w:sz w:val="24"/>
        </w:rPr>
        <w:t xml:space="preserve"> </w:t>
      </w:r>
      <w:r w:rsidR="005459C1">
        <w:rPr>
          <w:rFonts w:ascii="Times New Roman" w:hAnsi="Times New Roman"/>
          <w:sz w:val="24"/>
        </w:rPr>
        <w:t>u</w:t>
      </w:r>
      <w:r>
        <w:rPr>
          <w:rFonts w:ascii="Times New Roman" w:hAnsi="Times New Roman"/>
          <w:sz w:val="24"/>
        </w:rPr>
        <w:t>n</w:t>
      </w:r>
      <w:r w:rsidR="005459C1">
        <w:rPr>
          <w:rFonts w:ascii="Times New Roman" w:hAnsi="Times New Roman"/>
          <w:sz w:val="24"/>
        </w:rPr>
        <w:t>e</w:t>
      </w:r>
      <w:r>
        <w:rPr>
          <w:rFonts w:ascii="Times New Roman" w:hAnsi="Times New Roman"/>
          <w:sz w:val="24"/>
        </w:rPr>
        <w:t xml:space="preserve"> pouvant convertir, les autres ne le pouvant pas. Cette discrimination peut cependant être justifiée et passer le cap du test de discrimination.</w:t>
      </w:r>
    </w:p>
    <w:p w:rsidR="008064D7" w:rsidRDefault="008064D7" w:rsidP="008F4F19">
      <w:pPr>
        <w:spacing w:line="240" w:lineRule="auto"/>
        <w:ind w:left="786"/>
        <w:rPr>
          <w:rFonts w:ascii="Times New Roman" w:hAnsi="Times New Roman"/>
          <w:sz w:val="24"/>
        </w:rPr>
      </w:pPr>
    </w:p>
    <w:p w:rsidR="008064D7" w:rsidRDefault="005459C1" w:rsidP="00B3316B">
      <w:pPr>
        <w:spacing w:line="240" w:lineRule="auto"/>
        <w:ind w:left="786"/>
        <w:rPr>
          <w:rFonts w:ascii="Times New Roman" w:hAnsi="Times New Roman"/>
          <w:sz w:val="24"/>
        </w:rPr>
      </w:pPr>
      <w:r>
        <w:rPr>
          <w:rFonts w:ascii="Times New Roman" w:hAnsi="Times New Roman"/>
          <w:sz w:val="24"/>
          <w:u w:val="single"/>
        </w:rPr>
        <w:t>Une troisième hypothèse est celle où des créanciers publics ou autres soutiendraient que leur propre statut les empêche de convertir, ce qui serait la source du traitement différencié</w:t>
      </w:r>
      <w:r>
        <w:rPr>
          <w:rFonts w:ascii="Times New Roman" w:hAnsi="Times New Roman"/>
          <w:sz w:val="24"/>
        </w:rPr>
        <w:t>. I</w:t>
      </w:r>
      <w:r w:rsidR="008064D7">
        <w:rPr>
          <w:rFonts w:ascii="Times New Roman" w:hAnsi="Times New Roman"/>
          <w:sz w:val="24"/>
        </w:rPr>
        <w:t>l ne me semble pas que l’on puisse considérer que la proposition de conversion soit, dans le chef du débiteur, un traiteme</w:t>
      </w:r>
      <w:r>
        <w:rPr>
          <w:rFonts w:ascii="Times New Roman" w:hAnsi="Times New Roman"/>
          <w:sz w:val="24"/>
        </w:rPr>
        <w:t>nt différencié puisque ce sont d</w:t>
      </w:r>
      <w:r w:rsidR="008064D7">
        <w:rPr>
          <w:rFonts w:ascii="Times New Roman" w:hAnsi="Times New Roman"/>
          <w:sz w:val="24"/>
        </w:rPr>
        <w:t>es règles propres à ce</w:t>
      </w:r>
      <w:r>
        <w:rPr>
          <w:rFonts w:ascii="Times New Roman" w:hAnsi="Times New Roman"/>
          <w:sz w:val="24"/>
        </w:rPr>
        <w:t>s</w:t>
      </w:r>
      <w:r w:rsidR="008064D7">
        <w:rPr>
          <w:rFonts w:ascii="Times New Roman" w:hAnsi="Times New Roman"/>
          <w:sz w:val="24"/>
        </w:rPr>
        <w:t xml:space="preserve"> créancier</w:t>
      </w:r>
      <w:r>
        <w:rPr>
          <w:rFonts w:ascii="Times New Roman" w:hAnsi="Times New Roman"/>
          <w:sz w:val="24"/>
        </w:rPr>
        <w:t>s</w:t>
      </w:r>
      <w:r w:rsidR="008064D7">
        <w:rPr>
          <w:rFonts w:ascii="Times New Roman" w:hAnsi="Times New Roman"/>
          <w:sz w:val="24"/>
        </w:rPr>
        <w:t xml:space="preserve"> qui </w:t>
      </w:r>
      <w:r>
        <w:rPr>
          <w:rFonts w:ascii="Times New Roman" w:hAnsi="Times New Roman"/>
          <w:sz w:val="24"/>
        </w:rPr>
        <w:t>les empêche</w:t>
      </w:r>
      <w:r w:rsidR="008064D7">
        <w:rPr>
          <w:rFonts w:ascii="Times New Roman" w:hAnsi="Times New Roman"/>
          <w:sz w:val="24"/>
        </w:rPr>
        <w:t xml:space="preserve"> de convertir.</w:t>
      </w:r>
      <w:r>
        <w:rPr>
          <w:rFonts w:ascii="Times New Roman" w:hAnsi="Times New Roman"/>
          <w:sz w:val="24"/>
        </w:rPr>
        <w:t xml:space="preserve"> Les articles 10 et 11 ne s’appliquent qu’à la proposition du débiteur.</w:t>
      </w:r>
    </w:p>
    <w:p w:rsidR="008064D7" w:rsidRDefault="008064D7" w:rsidP="00B3316B">
      <w:pPr>
        <w:spacing w:line="240" w:lineRule="auto"/>
        <w:ind w:left="786"/>
        <w:rPr>
          <w:rFonts w:ascii="Times New Roman" w:hAnsi="Times New Roman"/>
          <w:sz w:val="24"/>
        </w:rPr>
      </w:pPr>
    </w:p>
    <w:p w:rsidR="008064D7" w:rsidRDefault="008064D7" w:rsidP="008F4F19">
      <w:pPr>
        <w:spacing w:line="240" w:lineRule="auto"/>
        <w:ind w:left="786"/>
        <w:rPr>
          <w:rFonts w:ascii="Times New Roman" w:hAnsi="Times New Roman"/>
          <w:sz w:val="24"/>
        </w:rPr>
      </w:pPr>
      <w:r>
        <w:rPr>
          <w:rFonts w:ascii="Times New Roman" w:hAnsi="Times New Roman"/>
          <w:sz w:val="24"/>
        </w:rPr>
        <w:lastRenderedPageBreak/>
        <w:t>En réalité, dans ces trois hypothèses, et ceci importe pour ce qui suit</w:t>
      </w:r>
      <w:r w:rsidR="005459C1">
        <w:rPr>
          <w:rFonts w:ascii="Times New Roman" w:hAnsi="Times New Roman"/>
          <w:sz w:val="24"/>
        </w:rPr>
        <w:t xml:space="preserve"> l</w:t>
      </w:r>
      <w:r>
        <w:rPr>
          <w:rFonts w:ascii="Times New Roman" w:hAnsi="Times New Roman"/>
          <w:sz w:val="24"/>
        </w:rPr>
        <w:t>a conversion et</w:t>
      </w:r>
      <w:r w:rsidR="005459C1">
        <w:rPr>
          <w:rFonts w:ascii="Times New Roman" w:hAnsi="Times New Roman"/>
          <w:sz w:val="24"/>
        </w:rPr>
        <w:t>,</w:t>
      </w:r>
      <w:r>
        <w:rPr>
          <w:rFonts w:ascii="Times New Roman" w:hAnsi="Times New Roman"/>
          <w:sz w:val="24"/>
        </w:rPr>
        <w:t xml:space="preserve"> plus particulièrement</w:t>
      </w:r>
      <w:r w:rsidR="005459C1">
        <w:rPr>
          <w:rFonts w:ascii="Times New Roman" w:hAnsi="Times New Roman"/>
          <w:sz w:val="24"/>
        </w:rPr>
        <w:t>,</w:t>
      </w:r>
      <w:r>
        <w:rPr>
          <w:rFonts w:ascii="Times New Roman" w:hAnsi="Times New Roman"/>
          <w:sz w:val="24"/>
        </w:rPr>
        <w:t xml:space="preserve"> la</w:t>
      </w:r>
      <w:r w:rsidR="005459C1">
        <w:rPr>
          <w:rFonts w:ascii="Times New Roman" w:hAnsi="Times New Roman"/>
          <w:sz w:val="24"/>
        </w:rPr>
        <w:t xml:space="preserve"> question de la prime de risque. L</w:t>
      </w:r>
      <w:r>
        <w:rPr>
          <w:rFonts w:ascii="Times New Roman" w:hAnsi="Times New Roman"/>
          <w:sz w:val="24"/>
        </w:rPr>
        <w:t>a conversion est donc un choix du créancier entre percevoir le dividende payé aux créanciers – a priori liquide et certain – et réinvestir ce montant dans le capital de la société pour espérer recevoir plus comme il pourrait le f</w:t>
      </w:r>
      <w:r w:rsidRPr="00EA56BF">
        <w:rPr>
          <w:rFonts w:ascii="Times New Roman" w:hAnsi="Times New Roman"/>
          <w:sz w:val="24"/>
        </w:rPr>
        <w:t>aire</w:t>
      </w:r>
      <w:r>
        <w:rPr>
          <w:rFonts w:ascii="Times New Roman" w:hAnsi="Times New Roman"/>
          <w:sz w:val="24"/>
        </w:rPr>
        <w:t xml:space="preserve"> avec le même montant dans n’importe quelle autre société. </w:t>
      </w:r>
    </w:p>
    <w:p w:rsidR="008064D7" w:rsidRDefault="008064D7" w:rsidP="008F4F19">
      <w:pPr>
        <w:spacing w:line="240" w:lineRule="auto"/>
        <w:ind w:left="786"/>
        <w:rPr>
          <w:rFonts w:ascii="Times New Roman" w:hAnsi="Times New Roman"/>
          <w:sz w:val="24"/>
        </w:rPr>
      </w:pPr>
    </w:p>
    <w:p w:rsidR="00CB29AD" w:rsidRDefault="008064D7" w:rsidP="008F4F19">
      <w:pPr>
        <w:spacing w:line="240" w:lineRule="auto"/>
        <w:ind w:left="786"/>
        <w:rPr>
          <w:rFonts w:ascii="Times New Roman" w:hAnsi="Times New Roman"/>
          <w:sz w:val="24"/>
        </w:rPr>
      </w:pPr>
      <w:r w:rsidRPr="00CD5429">
        <w:rPr>
          <w:rFonts w:ascii="Times New Roman" w:hAnsi="Times New Roman"/>
          <w:sz w:val="24"/>
          <w:u w:val="single"/>
        </w:rPr>
        <w:t xml:space="preserve">Une </w:t>
      </w:r>
      <w:r w:rsidR="005459C1">
        <w:rPr>
          <w:rFonts w:ascii="Times New Roman" w:hAnsi="Times New Roman"/>
          <w:sz w:val="24"/>
          <w:u w:val="single"/>
        </w:rPr>
        <w:t xml:space="preserve">quatrième </w:t>
      </w:r>
      <w:r w:rsidRPr="00CD5429">
        <w:rPr>
          <w:rFonts w:ascii="Times New Roman" w:hAnsi="Times New Roman"/>
          <w:sz w:val="24"/>
          <w:u w:val="single"/>
        </w:rPr>
        <w:t>hypothèse doit être évaluée</w:t>
      </w:r>
      <w:r>
        <w:rPr>
          <w:rFonts w:ascii="Times New Roman" w:hAnsi="Times New Roman"/>
          <w:sz w:val="24"/>
        </w:rPr>
        <w:t> : la conversion est proposée sur la valeur nominale et sur une conversion qui inclut une sur</w:t>
      </w:r>
      <w:r w:rsidR="00CB29AD">
        <w:rPr>
          <w:rFonts w:ascii="Times New Roman" w:hAnsi="Times New Roman"/>
          <w:sz w:val="24"/>
        </w:rPr>
        <w:t>-</w:t>
      </w:r>
      <w:r>
        <w:rPr>
          <w:rFonts w:ascii="Times New Roman" w:hAnsi="Times New Roman"/>
          <w:sz w:val="24"/>
        </w:rPr>
        <w:t>rémunération en action sur base des primes de risque alors que</w:t>
      </w:r>
      <w:r w:rsidR="00CB29AD">
        <w:rPr>
          <w:rFonts w:ascii="Times New Roman" w:hAnsi="Times New Roman"/>
          <w:sz w:val="24"/>
        </w:rPr>
        <w:t xml:space="preserve"> les créanciers se voient imposer</w:t>
      </w:r>
      <w:r>
        <w:rPr>
          <w:rFonts w:ascii="Times New Roman" w:hAnsi="Times New Roman"/>
          <w:sz w:val="24"/>
        </w:rPr>
        <w:t xml:space="preserve"> un abattement. Il me semble que dans ce dernier cas, il est possible de plaider</w:t>
      </w:r>
      <w:r w:rsidR="00F92A24">
        <w:rPr>
          <w:rFonts w:ascii="Times New Roman" w:hAnsi="Times New Roman"/>
          <w:sz w:val="24"/>
        </w:rPr>
        <w:t xml:space="preserve"> l’existence d’un</w:t>
      </w:r>
      <w:r>
        <w:rPr>
          <w:rFonts w:ascii="Times New Roman" w:hAnsi="Times New Roman"/>
          <w:sz w:val="24"/>
        </w:rPr>
        <w:t xml:space="preserve"> traitement différencié. </w:t>
      </w:r>
    </w:p>
    <w:p w:rsidR="00CB29AD" w:rsidRDefault="00CB29AD" w:rsidP="008F4F19">
      <w:pPr>
        <w:spacing w:line="240" w:lineRule="auto"/>
        <w:ind w:left="786"/>
        <w:rPr>
          <w:rFonts w:ascii="Times New Roman" w:hAnsi="Times New Roman"/>
          <w:sz w:val="24"/>
        </w:rPr>
      </w:pPr>
    </w:p>
    <w:p w:rsidR="00CB29AD" w:rsidRDefault="008064D7" w:rsidP="008F4F19">
      <w:pPr>
        <w:spacing w:line="240" w:lineRule="auto"/>
        <w:ind w:left="786"/>
        <w:rPr>
          <w:rFonts w:ascii="Times New Roman" w:hAnsi="Times New Roman"/>
          <w:sz w:val="24"/>
        </w:rPr>
      </w:pPr>
      <w:r>
        <w:rPr>
          <w:rFonts w:ascii="Times New Roman" w:hAnsi="Times New Roman"/>
          <w:sz w:val="24"/>
        </w:rPr>
        <w:t>D’une part, le créancier avait déjà perdu sa créance, si bien qu’une prime de risque est une sur</w:t>
      </w:r>
      <w:r w:rsidR="00CB29AD">
        <w:rPr>
          <w:rFonts w:ascii="Times New Roman" w:hAnsi="Times New Roman"/>
          <w:sz w:val="24"/>
        </w:rPr>
        <w:t>-</w:t>
      </w:r>
      <w:r>
        <w:rPr>
          <w:rFonts w:ascii="Times New Roman" w:hAnsi="Times New Roman"/>
          <w:sz w:val="24"/>
        </w:rPr>
        <w:t xml:space="preserve">rémunération et, d’autre part, facialement, les taux proposés </w:t>
      </w:r>
      <w:r w:rsidR="00F92A24">
        <w:rPr>
          <w:rFonts w:ascii="Times New Roman" w:hAnsi="Times New Roman"/>
          <w:sz w:val="24"/>
        </w:rPr>
        <w:t xml:space="preserve">aux différents créanciers </w:t>
      </w:r>
      <w:r>
        <w:rPr>
          <w:rFonts w:ascii="Times New Roman" w:hAnsi="Times New Roman"/>
          <w:sz w:val="24"/>
        </w:rPr>
        <w:t xml:space="preserve">sont distincts. </w:t>
      </w:r>
    </w:p>
    <w:p w:rsidR="00CB29AD" w:rsidRDefault="00CB29AD" w:rsidP="008F4F19">
      <w:pPr>
        <w:spacing w:line="240" w:lineRule="auto"/>
        <w:ind w:left="786"/>
        <w:rPr>
          <w:rFonts w:ascii="Times New Roman" w:hAnsi="Times New Roman"/>
          <w:sz w:val="24"/>
        </w:rPr>
      </w:pPr>
    </w:p>
    <w:p w:rsidR="008064D7" w:rsidRDefault="008064D7" w:rsidP="008F4F19">
      <w:pPr>
        <w:spacing w:line="240" w:lineRule="auto"/>
        <w:ind w:left="786"/>
        <w:rPr>
          <w:rFonts w:ascii="Times New Roman" w:hAnsi="Times New Roman"/>
          <w:sz w:val="24"/>
        </w:rPr>
      </w:pPr>
      <w:r>
        <w:rPr>
          <w:rFonts w:ascii="Times New Roman" w:hAnsi="Times New Roman"/>
          <w:sz w:val="24"/>
        </w:rPr>
        <w:t xml:space="preserve">Il reste </w:t>
      </w:r>
      <w:r w:rsidR="00F92A24">
        <w:rPr>
          <w:rFonts w:ascii="Times New Roman" w:hAnsi="Times New Roman"/>
          <w:sz w:val="24"/>
        </w:rPr>
        <w:t xml:space="preserve">éventuellement </w:t>
      </w:r>
      <w:r>
        <w:rPr>
          <w:rFonts w:ascii="Times New Roman" w:hAnsi="Times New Roman"/>
          <w:sz w:val="24"/>
        </w:rPr>
        <w:t xml:space="preserve">à justifier cette différence </w:t>
      </w:r>
      <w:r w:rsidR="00F92A24">
        <w:rPr>
          <w:rFonts w:ascii="Times New Roman" w:hAnsi="Times New Roman"/>
          <w:sz w:val="24"/>
        </w:rPr>
        <w:t>de traitement</w:t>
      </w:r>
      <w:r>
        <w:rPr>
          <w:rFonts w:ascii="Times New Roman" w:hAnsi="Times New Roman"/>
          <w:sz w:val="24"/>
        </w:rPr>
        <w:t>.</w:t>
      </w:r>
    </w:p>
    <w:p w:rsidR="008064D7" w:rsidRDefault="008064D7" w:rsidP="009A5EC2">
      <w:pPr>
        <w:spacing w:line="240" w:lineRule="auto"/>
        <w:ind w:left="786"/>
        <w:rPr>
          <w:rFonts w:ascii="Times New Roman" w:hAnsi="Times New Roman"/>
          <w:sz w:val="24"/>
        </w:rPr>
      </w:pPr>
    </w:p>
    <w:p w:rsidR="008064D7" w:rsidRPr="0074735D" w:rsidRDefault="008064D7" w:rsidP="00CB29AD">
      <w:pPr>
        <w:pStyle w:val="Paragraphedeliste"/>
        <w:numPr>
          <w:ilvl w:val="0"/>
          <w:numId w:val="2"/>
        </w:numPr>
        <w:spacing w:line="240" w:lineRule="auto"/>
        <w:ind w:left="851" w:hanging="567"/>
        <w:rPr>
          <w:rFonts w:ascii="Times New Roman" w:hAnsi="Times New Roman"/>
          <w:sz w:val="24"/>
        </w:rPr>
      </w:pPr>
      <w:r w:rsidRPr="008A00A7">
        <w:rPr>
          <w:rFonts w:ascii="Times New Roman" w:hAnsi="Times New Roman"/>
          <w:sz w:val="24"/>
          <w:u w:val="single"/>
        </w:rPr>
        <w:t xml:space="preserve">Une seconde question est de savoir s’il s’agit réellement d’une conversion en action </w:t>
      </w:r>
      <w:r w:rsidRPr="0074735D">
        <w:rPr>
          <w:rFonts w:ascii="Times New Roman" w:hAnsi="Times New Roman"/>
          <w:sz w:val="24"/>
        </w:rPr>
        <w:t xml:space="preserve">ou, en fait, </w:t>
      </w:r>
      <w:r>
        <w:rPr>
          <w:rFonts w:ascii="Times New Roman" w:hAnsi="Times New Roman"/>
          <w:sz w:val="24"/>
        </w:rPr>
        <w:t xml:space="preserve">s’il s’agit </w:t>
      </w:r>
      <w:r w:rsidRPr="0074735D">
        <w:rPr>
          <w:rFonts w:ascii="Times New Roman" w:hAnsi="Times New Roman"/>
          <w:sz w:val="24"/>
        </w:rPr>
        <w:t>d’un traitement différencié pour le créancier qui en fait reçoit un paiement</w:t>
      </w:r>
      <w:r>
        <w:rPr>
          <w:rFonts w:ascii="Times New Roman" w:hAnsi="Times New Roman"/>
          <w:sz w:val="24"/>
        </w:rPr>
        <w:t xml:space="preserve"> futur.</w:t>
      </w:r>
    </w:p>
    <w:p w:rsidR="008064D7" w:rsidRDefault="008064D7" w:rsidP="00B35D99">
      <w:pPr>
        <w:pStyle w:val="Paragraphedeliste"/>
        <w:spacing w:line="240" w:lineRule="auto"/>
        <w:ind w:left="786"/>
        <w:rPr>
          <w:rFonts w:ascii="Times New Roman" w:hAnsi="Times New Roman"/>
          <w:sz w:val="24"/>
          <w:u w:val="single"/>
        </w:rPr>
      </w:pPr>
    </w:p>
    <w:p w:rsidR="008064D7" w:rsidRPr="005A3119" w:rsidRDefault="008064D7" w:rsidP="005A3119">
      <w:pPr>
        <w:pStyle w:val="Paragraphedeliste"/>
        <w:spacing w:line="240" w:lineRule="auto"/>
        <w:ind w:left="786"/>
        <w:rPr>
          <w:rFonts w:ascii="Times New Roman" w:hAnsi="Times New Roman"/>
          <w:sz w:val="24"/>
        </w:rPr>
      </w:pPr>
      <w:r w:rsidRPr="008A00A7">
        <w:rPr>
          <w:rFonts w:ascii="Times New Roman" w:hAnsi="Times New Roman"/>
          <w:sz w:val="24"/>
        </w:rPr>
        <w:t>S’il existe des conventions qui organisent, de manière anormale, la liquidité des titres soit par un rachat (</w:t>
      </w:r>
      <w:r w:rsidRPr="00AA36AC">
        <w:rPr>
          <w:rFonts w:ascii="Times New Roman" w:hAnsi="Times New Roman"/>
          <w:i/>
          <w:sz w:val="24"/>
        </w:rPr>
        <w:t>call</w:t>
      </w:r>
      <w:r w:rsidRPr="008A00A7">
        <w:rPr>
          <w:rFonts w:ascii="Times New Roman" w:hAnsi="Times New Roman"/>
          <w:sz w:val="24"/>
        </w:rPr>
        <w:t xml:space="preserve"> </w:t>
      </w:r>
      <w:r>
        <w:rPr>
          <w:rFonts w:ascii="Times New Roman" w:hAnsi="Times New Roman"/>
          <w:sz w:val="24"/>
        </w:rPr>
        <w:t xml:space="preserve">ou </w:t>
      </w:r>
      <w:r w:rsidRPr="00AA36AC">
        <w:rPr>
          <w:rFonts w:ascii="Times New Roman" w:hAnsi="Times New Roman"/>
          <w:i/>
          <w:sz w:val="24"/>
        </w:rPr>
        <w:t>put</w:t>
      </w:r>
      <w:r>
        <w:rPr>
          <w:rFonts w:ascii="Times New Roman" w:hAnsi="Times New Roman"/>
          <w:sz w:val="24"/>
        </w:rPr>
        <w:t>)</w:t>
      </w:r>
      <w:r w:rsidRPr="008A00A7">
        <w:rPr>
          <w:rFonts w:ascii="Times New Roman" w:hAnsi="Times New Roman"/>
          <w:sz w:val="24"/>
        </w:rPr>
        <w:t xml:space="preserve"> ou </w:t>
      </w:r>
      <w:r>
        <w:rPr>
          <w:rFonts w:ascii="Times New Roman" w:hAnsi="Times New Roman"/>
          <w:sz w:val="24"/>
        </w:rPr>
        <w:t xml:space="preserve">par des </w:t>
      </w:r>
      <w:r w:rsidRPr="008A00A7">
        <w:rPr>
          <w:rFonts w:ascii="Times New Roman" w:hAnsi="Times New Roman"/>
          <w:sz w:val="24"/>
        </w:rPr>
        <w:t>convention</w:t>
      </w:r>
      <w:r>
        <w:rPr>
          <w:rFonts w:ascii="Times New Roman" w:hAnsi="Times New Roman"/>
          <w:sz w:val="24"/>
        </w:rPr>
        <w:t>s</w:t>
      </w:r>
      <w:r w:rsidRPr="008A00A7">
        <w:rPr>
          <w:rFonts w:ascii="Times New Roman" w:hAnsi="Times New Roman"/>
          <w:sz w:val="24"/>
        </w:rPr>
        <w:t xml:space="preserve"> d’actionnaire</w:t>
      </w:r>
      <w:r>
        <w:rPr>
          <w:rFonts w:ascii="Times New Roman" w:hAnsi="Times New Roman"/>
          <w:sz w:val="24"/>
        </w:rPr>
        <w:t>s</w:t>
      </w:r>
      <w:r w:rsidRPr="008A00A7">
        <w:rPr>
          <w:rFonts w:ascii="Times New Roman" w:hAnsi="Times New Roman"/>
          <w:sz w:val="24"/>
        </w:rPr>
        <w:t xml:space="preserve">, soit par une réduction de capital, soit encore par une exclusion ou une démission à charge de la </w:t>
      </w:r>
      <w:r>
        <w:rPr>
          <w:rFonts w:ascii="Times New Roman" w:hAnsi="Times New Roman"/>
          <w:sz w:val="24"/>
        </w:rPr>
        <w:t>société dans un délai qui exclut</w:t>
      </w:r>
      <w:r w:rsidRPr="008A00A7">
        <w:rPr>
          <w:rFonts w:ascii="Times New Roman" w:hAnsi="Times New Roman"/>
          <w:sz w:val="24"/>
        </w:rPr>
        <w:t xml:space="preserve"> l’existence d’un risque, on pourrait </w:t>
      </w:r>
      <w:r>
        <w:rPr>
          <w:rFonts w:ascii="Times New Roman" w:hAnsi="Times New Roman"/>
          <w:sz w:val="24"/>
        </w:rPr>
        <w:t>plaider</w:t>
      </w:r>
      <w:r w:rsidRPr="008A00A7">
        <w:rPr>
          <w:rFonts w:ascii="Times New Roman" w:hAnsi="Times New Roman"/>
          <w:sz w:val="24"/>
        </w:rPr>
        <w:t xml:space="preserve"> que ce traitement n’est que facialement une conversion en action mais qu’en réalité, il s’agit d’un mode de paiement</w:t>
      </w:r>
      <w:r>
        <w:rPr>
          <w:rFonts w:ascii="Times New Roman" w:hAnsi="Times New Roman"/>
          <w:sz w:val="24"/>
        </w:rPr>
        <w:t xml:space="preserve"> qui serait alors à traitement potentiellement différencié. </w:t>
      </w:r>
      <w:r w:rsidRPr="00B3316B">
        <w:rPr>
          <w:rFonts w:ascii="Times New Roman" w:hAnsi="Times New Roman"/>
          <w:sz w:val="24"/>
        </w:rPr>
        <w:t xml:space="preserve">Il faudra </w:t>
      </w:r>
      <w:r>
        <w:rPr>
          <w:rFonts w:ascii="Times New Roman" w:hAnsi="Times New Roman"/>
          <w:sz w:val="24"/>
        </w:rPr>
        <w:t xml:space="preserve">donc </w:t>
      </w:r>
      <w:r w:rsidRPr="00B3316B">
        <w:rPr>
          <w:rFonts w:ascii="Times New Roman" w:hAnsi="Times New Roman"/>
          <w:sz w:val="24"/>
        </w:rPr>
        <w:t>examiner les conditions de cette conversion. On insérera peut-être des clauses d’illiquidité ou d’interdiction de cession</w:t>
      </w:r>
      <w:r>
        <w:rPr>
          <w:rFonts w:ascii="Times New Roman" w:hAnsi="Times New Roman"/>
          <w:sz w:val="24"/>
        </w:rPr>
        <w:t xml:space="preserve"> pour éviter ce risque. </w:t>
      </w:r>
      <w:r w:rsidRPr="005A3119">
        <w:rPr>
          <w:rFonts w:ascii="Times New Roman" w:hAnsi="Times New Roman"/>
          <w:sz w:val="24"/>
        </w:rPr>
        <w:t xml:space="preserve">Ceci n’est pas incompatible avec l’obligation faite lors de la conversion en action d’adhérer à un pacte d’actionnaire traditionnel contenant des règles de gouvernance ou de stabilité de l’actionnariat ou de gestion dans l’intérêt social. </w:t>
      </w:r>
    </w:p>
    <w:p w:rsidR="008064D7" w:rsidRPr="007814F1" w:rsidRDefault="008064D7" w:rsidP="007814F1">
      <w:pPr>
        <w:pStyle w:val="Paragraphedeliste"/>
        <w:spacing w:line="240" w:lineRule="auto"/>
        <w:ind w:left="786"/>
        <w:rPr>
          <w:rFonts w:ascii="Times New Roman" w:hAnsi="Times New Roman"/>
          <w:sz w:val="24"/>
        </w:rPr>
      </w:pPr>
    </w:p>
    <w:p w:rsidR="008064D7" w:rsidRDefault="008064D7" w:rsidP="00736DE2">
      <w:pPr>
        <w:spacing w:line="240" w:lineRule="auto"/>
        <w:ind w:left="786"/>
        <w:rPr>
          <w:rFonts w:ascii="Times New Roman" w:hAnsi="Times New Roman"/>
          <w:sz w:val="24"/>
        </w:rPr>
      </w:pPr>
      <w:r>
        <w:rPr>
          <w:rFonts w:ascii="Times New Roman" w:hAnsi="Times New Roman"/>
          <w:sz w:val="24"/>
        </w:rPr>
        <w:t>La conversion sur base de la valeur nominale de la créance comparée au traitement des créanciers qui sont abattus pourrait apparaître être un traitement différent</w:t>
      </w:r>
      <w:r w:rsidR="007F5A1F">
        <w:rPr>
          <w:rFonts w:ascii="Times New Roman" w:hAnsi="Times New Roman"/>
          <w:sz w:val="24"/>
        </w:rPr>
        <w:t>, voire, en cas de négociation, un avantage anormal</w:t>
      </w:r>
      <w:r>
        <w:rPr>
          <w:rFonts w:ascii="Times New Roman" w:hAnsi="Times New Roman"/>
          <w:sz w:val="24"/>
        </w:rPr>
        <w:t>. Ce traitement différent</w:t>
      </w:r>
      <w:r w:rsidR="007F5A1F">
        <w:rPr>
          <w:rFonts w:ascii="Times New Roman" w:hAnsi="Times New Roman"/>
          <w:sz w:val="24"/>
        </w:rPr>
        <w:t xml:space="preserve">, s’agissant de valeur future et incertaine, </w:t>
      </w:r>
      <w:r>
        <w:rPr>
          <w:rFonts w:ascii="Times New Roman" w:hAnsi="Times New Roman"/>
          <w:sz w:val="24"/>
        </w:rPr>
        <w:t>n’est susceptible de générer</w:t>
      </w:r>
      <w:r w:rsidR="007F5A1F">
        <w:rPr>
          <w:rFonts w:ascii="Times New Roman" w:hAnsi="Times New Roman"/>
          <w:sz w:val="24"/>
        </w:rPr>
        <w:t xml:space="preserve"> un traitement différent, à l’estime d’un juge qui n’a qu’un pouvoir marginal, que si l’</w:t>
      </w:r>
      <w:r>
        <w:rPr>
          <w:rFonts w:ascii="Times New Roman" w:hAnsi="Times New Roman"/>
          <w:sz w:val="24"/>
        </w:rPr>
        <w:t xml:space="preserve">avantage </w:t>
      </w:r>
      <w:r w:rsidR="007F5A1F">
        <w:rPr>
          <w:rFonts w:ascii="Times New Roman" w:hAnsi="Times New Roman"/>
          <w:sz w:val="24"/>
        </w:rPr>
        <w:t xml:space="preserve">est </w:t>
      </w:r>
      <w:r>
        <w:rPr>
          <w:rFonts w:ascii="Times New Roman" w:hAnsi="Times New Roman"/>
          <w:sz w:val="24"/>
        </w:rPr>
        <w:t xml:space="preserve">exorbitant </w:t>
      </w:r>
      <w:r w:rsidR="007F5A1F">
        <w:rPr>
          <w:rFonts w:ascii="Times New Roman" w:hAnsi="Times New Roman"/>
          <w:sz w:val="24"/>
        </w:rPr>
        <w:t>au-delà des</w:t>
      </w:r>
      <w:r>
        <w:rPr>
          <w:rFonts w:ascii="Times New Roman" w:hAnsi="Times New Roman"/>
          <w:sz w:val="24"/>
        </w:rPr>
        <w:t xml:space="preserve"> risque</w:t>
      </w:r>
      <w:r w:rsidR="007F5A1F">
        <w:rPr>
          <w:rFonts w:ascii="Times New Roman" w:hAnsi="Times New Roman"/>
          <w:sz w:val="24"/>
        </w:rPr>
        <w:t>s</w:t>
      </w:r>
      <w:r>
        <w:rPr>
          <w:rFonts w:ascii="Times New Roman" w:hAnsi="Times New Roman"/>
          <w:sz w:val="24"/>
        </w:rPr>
        <w:t xml:space="preserve"> naturel</w:t>
      </w:r>
      <w:r w:rsidR="007F5A1F">
        <w:rPr>
          <w:rFonts w:ascii="Times New Roman" w:hAnsi="Times New Roman"/>
          <w:sz w:val="24"/>
        </w:rPr>
        <w:t>s</w:t>
      </w:r>
      <w:r>
        <w:rPr>
          <w:rFonts w:ascii="Times New Roman" w:hAnsi="Times New Roman"/>
          <w:sz w:val="24"/>
        </w:rPr>
        <w:t xml:space="preserve"> lié</w:t>
      </w:r>
      <w:r w:rsidR="007F5A1F">
        <w:rPr>
          <w:rFonts w:ascii="Times New Roman" w:hAnsi="Times New Roman"/>
          <w:sz w:val="24"/>
        </w:rPr>
        <w:t xml:space="preserve">s à une souscription d’action, c’est-à-dire, </w:t>
      </w:r>
      <w:r>
        <w:rPr>
          <w:rFonts w:ascii="Times New Roman" w:hAnsi="Times New Roman"/>
          <w:sz w:val="24"/>
        </w:rPr>
        <w:t>si le rapport d’échange et le nombre d’actions reçues en échange recèle un bénéfice « </w:t>
      </w:r>
      <w:r w:rsidRPr="00736DE2">
        <w:rPr>
          <w:rFonts w:ascii="Times New Roman" w:hAnsi="Times New Roman"/>
          <w:i/>
          <w:sz w:val="24"/>
        </w:rPr>
        <w:t>anormal</w:t>
      </w:r>
      <w:r>
        <w:rPr>
          <w:rFonts w:ascii="Times New Roman" w:hAnsi="Times New Roman"/>
          <w:sz w:val="24"/>
        </w:rPr>
        <w:t> » ou « </w:t>
      </w:r>
      <w:r w:rsidRPr="00736DE2">
        <w:rPr>
          <w:rFonts w:ascii="Times New Roman" w:hAnsi="Times New Roman"/>
          <w:i/>
          <w:sz w:val="24"/>
        </w:rPr>
        <w:t>particulier</w:t>
      </w:r>
      <w:r>
        <w:rPr>
          <w:rFonts w:ascii="Times New Roman" w:hAnsi="Times New Roman"/>
          <w:sz w:val="24"/>
        </w:rPr>
        <w:t> ».</w:t>
      </w:r>
    </w:p>
    <w:p w:rsidR="008064D7" w:rsidRDefault="008064D7" w:rsidP="00736DE2">
      <w:pPr>
        <w:spacing w:line="240" w:lineRule="auto"/>
        <w:ind w:left="786"/>
        <w:rPr>
          <w:rFonts w:ascii="Times New Roman" w:hAnsi="Times New Roman"/>
          <w:sz w:val="24"/>
        </w:rPr>
      </w:pPr>
    </w:p>
    <w:p w:rsidR="008064D7" w:rsidRDefault="008064D7" w:rsidP="00736DE2">
      <w:pPr>
        <w:spacing w:line="240" w:lineRule="auto"/>
        <w:ind w:left="786"/>
        <w:rPr>
          <w:rFonts w:ascii="Times New Roman" w:hAnsi="Times New Roman"/>
          <w:sz w:val="24"/>
        </w:rPr>
      </w:pPr>
      <w:r>
        <w:rPr>
          <w:rFonts w:ascii="Times New Roman" w:hAnsi="Times New Roman"/>
          <w:sz w:val="24"/>
        </w:rPr>
        <w:t>Il me semble qu’il faut lier</w:t>
      </w:r>
      <w:r w:rsidR="007F5A1F">
        <w:rPr>
          <w:rFonts w:ascii="Times New Roman" w:hAnsi="Times New Roman"/>
          <w:sz w:val="24"/>
        </w:rPr>
        <w:t xml:space="preserve"> la question de</w:t>
      </w:r>
      <w:r>
        <w:rPr>
          <w:rFonts w:ascii="Times New Roman" w:hAnsi="Times New Roman"/>
          <w:sz w:val="24"/>
        </w:rPr>
        <w:t xml:space="preserve"> la valeur de la créance convertie à la formule utilisée pour valoriser l’entreprise. Si la créance est considérée en nominal, il me semble que la valeur </w:t>
      </w:r>
      <w:r w:rsidR="007F5A1F">
        <w:rPr>
          <w:rFonts w:ascii="Times New Roman" w:hAnsi="Times New Roman"/>
          <w:sz w:val="24"/>
        </w:rPr>
        <w:t xml:space="preserve">de l’entreprise </w:t>
      </w:r>
      <w:r>
        <w:rPr>
          <w:rFonts w:ascii="Times New Roman" w:hAnsi="Times New Roman"/>
          <w:sz w:val="24"/>
        </w:rPr>
        <w:t>à considérer est celle avant réduction de l’actualisation des flux financiers futurs par le coût du capital (WAAC) et ainsi par les primes de risques et/ou sur la valeur de l’entreprise, pour sa partie fonds propres, après incorporation dans les fonds propres des conversions et des abandons de créance.</w:t>
      </w:r>
    </w:p>
    <w:p w:rsidR="008064D7" w:rsidRDefault="008064D7" w:rsidP="00736DE2">
      <w:pPr>
        <w:spacing w:line="240" w:lineRule="auto"/>
        <w:ind w:left="786"/>
        <w:rPr>
          <w:rFonts w:ascii="Times New Roman" w:hAnsi="Times New Roman"/>
          <w:sz w:val="24"/>
        </w:rPr>
      </w:pPr>
    </w:p>
    <w:p w:rsidR="008064D7" w:rsidRDefault="008064D7" w:rsidP="00736DE2">
      <w:pPr>
        <w:spacing w:line="240" w:lineRule="auto"/>
        <w:ind w:left="786"/>
        <w:rPr>
          <w:rFonts w:ascii="Times New Roman" w:hAnsi="Times New Roman"/>
          <w:sz w:val="24"/>
        </w:rPr>
      </w:pPr>
      <w:r>
        <w:rPr>
          <w:rFonts w:ascii="Times New Roman" w:hAnsi="Times New Roman"/>
          <w:sz w:val="24"/>
        </w:rPr>
        <w:lastRenderedPageBreak/>
        <w:t>Deux cas de figure</w:t>
      </w:r>
      <w:r w:rsidR="007F5A1F">
        <w:rPr>
          <w:rFonts w:ascii="Times New Roman" w:hAnsi="Times New Roman"/>
          <w:sz w:val="24"/>
        </w:rPr>
        <w:t xml:space="preserve"> se dessinent</w:t>
      </w:r>
      <w:r>
        <w:rPr>
          <w:rFonts w:ascii="Times New Roman" w:hAnsi="Times New Roman"/>
          <w:sz w:val="24"/>
        </w:rPr>
        <w:t> : le numérateur est en valeur nominale</w:t>
      </w:r>
      <w:r w:rsidR="007F5A1F">
        <w:rPr>
          <w:rFonts w:ascii="Times New Roman" w:hAnsi="Times New Roman"/>
          <w:sz w:val="24"/>
        </w:rPr>
        <w:t>,</w:t>
      </w:r>
      <w:r>
        <w:rPr>
          <w:rFonts w:ascii="Times New Roman" w:hAnsi="Times New Roman"/>
          <w:sz w:val="24"/>
        </w:rPr>
        <w:t xml:space="preserve"> mais le dénominateur (la valeur de l’entreprise) ne prend que peu en compte le risque de l’investissement – et un autre cas, la valeur est fixée sur la valeur abattue mais le dénominateur contient une prime de risque de marché. </w:t>
      </w:r>
    </w:p>
    <w:p w:rsidR="008064D7" w:rsidRDefault="008064D7" w:rsidP="009629E7">
      <w:pPr>
        <w:spacing w:line="240" w:lineRule="auto"/>
        <w:ind w:left="708"/>
        <w:rPr>
          <w:rFonts w:ascii="Times New Roman" w:hAnsi="Times New Roman"/>
          <w:sz w:val="24"/>
        </w:rPr>
      </w:pPr>
    </w:p>
    <w:p w:rsidR="007F5A1F" w:rsidRDefault="008064D7" w:rsidP="00736DE2">
      <w:pPr>
        <w:spacing w:line="240" w:lineRule="auto"/>
        <w:ind w:left="786"/>
        <w:rPr>
          <w:rFonts w:ascii="Times New Roman" w:hAnsi="Times New Roman"/>
          <w:sz w:val="24"/>
        </w:rPr>
      </w:pPr>
      <w:r>
        <w:rPr>
          <w:rFonts w:ascii="Times New Roman" w:hAnsi="Times New Roman"/>
          <w:sz w:val="24"/>
        </w:rPr>
        <w:t>La seconde hypothèse (valeur abattue et prise de risque) se comprend : le créancier avait le droit de percevoir en cash le dividende abattu et il décide – comme un nouvel investisseur le ferait - pour de la nouvelle monnaie – de réinvestir : il est en droit d’attendre comme tout investisseur un rendement q</w:t>
      </w:r>
      <w:r w:rsidR="007F5A1F">
        <w:rPr>
          <w:rFonts w:ascii="Times New Roman" w:hAnsi="Times New Roman"/>
          <w:sz w:val="24"/>
        </w:rPr>
        <w:t>ui tienne compte du risque pris.</w:t>
      </w:r>
    </w:p>
    <w:p w:rsidR="007F5A1F" w:rsidRDefault="007F5A1F" w:rsidP="00736DE2">
      <w:pPr>
        <w:spacing w:line="240" w:lineRule="auto"/>
        <w:ind w:left="786"/>
        <w:rPr>
          <w:rFonts w:ascii="Times New Roman" w:hAnsi="Times New Roman"/>
          <w:sz w:val="24"/>
        </w:rPr>
      </w:pPr>
    </w:p>
    <w:p w:rsidR="007F5A1F" w:rsidRDefault="007F5A1F" w:rsidP="00736DE2">
      <w:pPr>
        <w:spacing w:line="240" w:lineRule="auto"/>
        <w:ind w:left="786"/>
        <w:rPr>
          <w:rFonts w:ascii="Times New Roman" w:hAnsi="Times New Roman"/>
          <w:sz w:val="24"/>
        </w:rPr>
      </w:pPr>
      <w:r>
        <w:rPr>
          <w:rFonts w:ascii="Times New Roman" w:hAnsi="Times New Roman"/>
          <w:sz w:val="24"/>
        </w:rPr>
        <w:t>Dans la 1</w:t>
      </w:r>
      <w:r w:rsidRPr="007F5A1F">
        <w:rPr>
          <w:rFonts w:ascii="Times New Roman" w:hAnsi="Times New Roman"/>
          <w:sz w:val="24"/>
          <w:vertAlign w:val="superscript"/>
        </w:rPr>
        <w:t>ère</w:t>
      </w:r>
      <w:r>
        <w:rPr>
          <w:rFonts w:ascii="Times New Roman" w:hAnsi="Times New Roman"/>
          <w:sz w:val="24"/>
        </w:rPr>
        <w:t xml:space="preserve"> </w:t>
      </w:r>
      <w:r w:rsidR="008064D7">
        <w:rPr>
          <w:rFonts w:ascii="Times New Roman" w:hAnsi="Times New Roman"/>
          <w:sz w:val="24"/>
        </w:rPr>
        <w:t>hypothèse (valeur nominal</w:t>
      </w:r>
      <w:r>
        <w:rPr>
          <w:rFonts w:ascii="Times New Roman" w:hAnsi="Times New Roman"/>
          <w:sz w:val="24"/>
        </w:rPr>
        <w:t>e mais pas de prime de risque)</w:t>
      </w:r>
      <w:r w:rsidR="008064D7">
        <w:rPr>
          <w:rFonts w:ascii="Times New Roman" w:hAnsi="Times New Roman"/>
          <w:sz w:val="24"/>
        </w:rPr>
        <w:t xml:space="preserve">, il ne court pas le même risque, voire de grand risque puisqu’en convertissant, il a arbitré son risque en estimant qu’il devrait gagner plus que le montant abattu dans un risque qu’il connait pour être créancier du débiteur en difficulté. </w:t>
      </w:r>
    </w:p>
    <w:p w:rsidR="007F5A1F" w:rsidRDefault="007F5A1F" w:rsidP="00736DE2">
      <w:pPr>
        <w:spacing w:line="240" w:lineRule="auto"/>
        <w:ind w:left="786"/>
        <w:rPr>
          <w:rFonts w:ascii="Times New Roman" w:hAnsi="Times New Roman"/>
          <w:sz w:val="24"/>
        </w:rPr>
      </w:pPr>
    </w:p>
    <w:p w:rsidR="008064D7" w:rsidRDefault="008064D7" w:rsidP="00736DE2">
      <w:pPr>
        <w:spacing w:line="240" w:lineRule="auto"/>
        <w:ind w:left="786"/>
        <w:rPr>
          <w:rFonts w:ascii="Times New Roman" w:hAnsi="Times New Roman"/>
          <w:sz w:val="24"/>
        </w:rPr>
      </w:pPr>
      <w:r>
        <w:rPr>
          <w:rFonts w:ascii="Times New Roman" w:hAnsi="Times New Roman"/>
          <w:sz w:val="24"/>
        </w:rPr>
        <w:t>Par contre, mélanger valeur nominale de la créance mais intégration d’une prime de risque dans l’évaluation de la société accorde un avantage exorbitant au marché au créancier : il gagne sur la différence entre le nominal et le montant abattu une forme de « </w:t>
      </w:r>
      <w:r w:rsidRPr="00736DE2">
        <w:rPr>
          <w:rFonts w:ascii="Times New Roman" w:hAnsi="Times New Roman"/>
          <w:i/>
          <w:sz w:val="24"/>
        </w:rPr>
        <w:t>prime</w:t>
      </w:r>
      <w:r>
        <w:rPr>
          <w:rFonts w:ascii="Times New Roman" w:hAnsi="Times New Roman"/>
          <w:sz w:val="24"/>
        </w:rPr>
        <w:t xml:space="preserve"> » qui s’ajoute à la prime de risque. Son gain a des probabilités bien plus grandes que celles que l’on trouve sur le marché de réaliser un gain hors proportions, certaines situations dérogeant à cette conclusion. </w:t>
      </w:r>
    </w:p>
    <w:p w:rsidR="008064D7" w:rsidRDefault="008064D7" w:rsidP="009629E7">
      <w:pPr>
        <w:spacing w:line="240" w:lineRule="auto"/>
        <w:ind w:left="708"/>
        <w:rPr>
          <w:rFonts w:ascii="Times New Roman" w:hAnsi="Times New Roman"/>
          <w:sz w:val="24"/>
        </w:rPr>
      </w:pPr>
    </w:p>
    <w:p w:rsidR="008064D7" w:rsidRDefault="008064D7" w:rsidP="007F5A1F">
      <w:pPr>
        <w:pStyle w:val="Paragraphedeliste"/>
        <w:numPr>
          <w:ilvl w:val="0"/>
          <w:numId w:val="2"/>
        </w:numPr>
        <w:spacing w:line="240" w:lineRule="auto"/>
        <w:ind w:left="851" w:hanging="567"/>
        <w:rPr>
          <w:rFonts w:ascii="Times New Roman" w:hAnsi="Times New Roman"/>
          <w:sz w:val="24"/>
        </w:rPr>
      </w:pPr>
      <w:r w:rsidRPr="00D51D10">
        <w:rPr>
          <w:rFonts w:ascii="Times New Roman" w:hAnsi="Times New Roman"/>
          <w:sz w:val="24"/>
          <w:u w:val="single"/>
        </w:rPr>
        <w:t>Une 4</w:t>
      </w:r>
      <w:r w:rsidRPr="00D51D10">
        <w:rPr>
          <w:rFonts w:ascii="Times New Roman" w:hAnsi="Times New Roman"/>
          <w:sz w:val="24"/>
          <w:u w:val="single"/>
          <w:vertAlign w:val="superscript"/>
        </w:rPr>
        <w:t>ème</w:t>
      </w:r>
      <w:r w:rsidRPr="00D51D10">
        <w:rPr>
          <w:rFonts w:ascii="Times New Roman" w:hAnsi="Times New Roman"/>
          <w:sz w:val="24"/>
          <w:u w:val="single"/>
        </w:rPr>
        <w:t xml:space="preserve"> question </w:t>
      </w:r>
      <w:r>
        <w:rPr>
          <w:rFonts w:ascii="Times New Roman" w:hAnsi="Times New Roman"/>
          <w:sz w:val="24"/>
          <w:u w:val="single"/>
        </w:rPr>
        <w:t>aborde le</w:t>
      </w:r>
      <w:r w:rsidRPr="00D51D10">
        <w:rPr>
          <w:rFonts w:ascii="Times New Roman" w:hAnsi="Times New Roman"/>
          <w:sz w:val="24"/>
          <w:u w:val="single"/>
        </w:rPr>
        <w:t xml:space="preserve"> second terme du dénominateur, à savoir la valeur de l’entreprise.</w:t>
      </w:r>
      <w:r>
        <w:rPr>
          <w:rFonts w:ascii="Times New Roman" w:hAnsi="Times New Roman"/>
          <w:sz w:val="24"/>
        </w:rPr>
        <w:t xml:space="preserve"> </w:t>
      </w:r>
    </w:p>
    <w:p w:rsidR="008064D7" w:rsidRDefault="008064D7" w:rsidP="00D51D10">
      <w:pPr>
        <w:pStyle w:val="Paragraphedeliste"/>
        <w:spacing w:line="240" w:lineRule="auto"/>
        <w:ind w:left="786"/>
        <w:rPr>
          <w:rFonts w:ascii="Times New Roman" w:hAnsi="Times New Roman"/>
          <w:sz w:val="24"/>
        </w:rPr>
      </w:pPr>
    </w:p>
    <w:p w:rsidR="008064D7" w:rsidRPr="00DE776E" w:rsidRDefault="008064D7" w:rsidP="00DE776E">
      <w:pPr>
        <w:pStyle w:val="Paragraphedeliste"/>
        <w:spacing w:line="240" w:lineRule="auto"/>
        <w:ind w:left="786"/>
        <w:rPr>
          <w:rFonts w:ascii="Times New Roman" w:hAnsi="Times New Roman"/>
          <w:sz w:val="24"/>
        </w:rPr>
      </w:pPr>
      <w:r>
        <w:rPr>
          <w:rFonts w:ascii="Times New Roman" w:hAnsi="Times New Roman"/>
          <w:sz w:val="24"/>
        </w:rPr>
        <w:t>Dans un rapport d’échange classique, par exemple, en cas d’augmentation de capital traditionnel, il convient de comparer</w:t>
      </w:r>
      <w:r w:rsidR="00391536">
        <w:rPr>
          <w:rFonts w:ascii="Times New Roman" w:hAnsi="Times New Roman"/>
          <w:sz w:val="24"/>
        </w:rPr>
        <w:t xml:space="preserve"> au numérateur</w:t>
      </w:r>
      <w:r>
        <w:rPr>
          <w:rFonts w:ascii="Times New Roman" w:hAnsi="Times New Roman"/>
          <w:sz w:val="24"/>
        </w:rPr>
        <w:t xml:space="preserve"> l’apport projeté </w:t>
      </w:r>
      <w:r w:rsidR="00391536">
        <w:rPr>
          <w:rFonts w:ascii="Times New Roman" w:hAnsi="Times New Roman"/>
          <w:sz w:val="24"/>
        </w:rPr>
        <w:t xml:space="preserve">au dénominateur </w:t>
      </w:r>
      <w:r>
        <w:rPr>
          <w:rFonts w:ascii="Times New Roman" w:hAnsi="Times New Roman"/>
          <w:sz w:val="24"/>
        </w:rPr>
        <w:t>à la valeur d’entreprise pour fixer le nombre d’actions nouvelles émises. Notons que c</w:t>
      </w:r>
      <w:r w:rsidRPr="00DE776E">
        <w:rPr>
          <w:rFonts w:ascii="Times New Roman" w:hAnsi="Times New Roman"/>
          <w:sz w:val="24"/>
        </w:rPr>
        <w:t>ette valeur est traditionnellement et depuis longtemps le fruit d’une négociation (preuve en est que depuis une réforme du Code des sociétés, le réviseur d’entreprise n’a plus à se prononcer sur ce rapport d’échange qui dépend uniquement de la volonté des parties)</w:t>
      </w:r>
      <w:r>
        <w:rPr>
          <w:rFonts w:ascii="Times New Roman" w:hAnsi="Times New Roman"/>
          <w:sz w:val="24"/>
        </w:rPr>
        <w:t xml:space="preserve">. </w:t>
      </w:r>
    </w:p>
    <w:p w:rsidR="008064D7" w:rsidRDefault="008064D7" w:rsidP="00D51D10">
      <w:pPr>
        <w:pStyle w:val="Paragraphedeliste"/>
        <w:spacing w:line="240" w:lineRule="auto"/>
        <w:ind w:left="786"/>
        <w:rPr>
          <w:rFonts w:ascii="Times New Roman" w:hAnsi="Times New Roman"/>
          <w:sz w:val="24"/>
        </w:rPr>
      </w:pPr>
    </w:p>
    <w:p w:rsidR="008064D7" w:rsidRDefault="008064D7" w:rsidP="00736DE2">
      <w:pPr>
        <w:spacing w:line="240" w:lineRule="auto"/>
        <w:ind w:left="786"/>
        <w:rPr>
          <w:rFonts w:ascii="Times New Roman" w:hAnsi="Times New Roman"/>
          <w:sz w:val="24"/>
        </w:rPr>
      </w:pPr>
      <w:r>
        <w:rPr>
          <w:rFonts w:ascii="Times New Roman" w:hAnsi="Times New Roman"/>
          <w:sz w:val="24"/>
        </w:rPr>
        <w:t xml:space="preserve">Comme </w:t>
      </w:r>
      <w:r w:rsidR="00391536">
        <w:rPr>
          <w:rFonts w:ascii="Times New Roman" w:hAnsi="Times New Roman"/>
          <w:sz w:val="24"/>
        </w:rPr>
        <w:t>le prescrit</w:t>
      </w:r>
      <w:r>
        <w:rPr>
          <w:rFonts w:ascii="Times New Roman" w:hAnsi="Times New Roman"/>
          <w:sz w:val="24"/>
        </w:rPr>
        <w:t xml:space="preserve"> l’article CDE I, 22, 14°, on peut imaginer prima </w:t>
      </w:r>
      <w:r w:rsidR="00391536">
        <w:rPr>
          <w:rFonts w:ascii="Times New Roman" w:hAnsi="Times New Roman"/>
          <w:sz w:val="24"/>
        </w:rPr>
        <w:t>facie</w:t>
      </w:r>
      <w:r>
        <w:rPr>
          <w:rFonts w:ascii="Times New Roman" w:hAnsi="Times New Roman"/>
          <w:sz w:val="24"/>
        </w:rPr>
        <w:t xml:space="preserve"> </w:t>
      </w:r>
      <w:r w:rsidR="00391536">
        <w:rPr>
          <w:rFonts w:ascii="Times New Roman" w:hAnsi="Times New Roman"/>
          <w:sz w:val="24"/>
        </w:rPr>
        <w:t>d’</w:t>
      </w:r>
      <w:r>
        <w:rPr>
          <w:rFonts w:ascii="Times New Roman" w:hAnsi="Times New Roman"/>
          <w:sz w:val="24"/>
        </w:rPr>
        <w:t>é</w:t>
      </w:r>
      <w:r w:rsidRPr="007C17D3">
        <w:rPr>
          <w:rFonts w:ascii="Times New Roman" w:hAnsi="Times New Roman"/>
          <w:i/>
          <w:sz w:val="24"/>
        </w:rPr>
        <w:t>value</w:t>
      </w:r>
      <w:r>
        <w:rPr>
          <w:rFonts w:ascii="Times New Roman" w:hAnsi="Times New Roman"/>
          <w:sz w:val="24"/>
        </w:rPr>
        <w:t xml:space="preserve">r la valeur </w:t>
      </w:r>
      <w:r w:rsidRPr="00DE776E">
        <w:rPr>
          <w:rFonts w:ascii="Times New Roman" w:hAnsi="Times New Roman"/>
          <w:sz w:val="24"/>
        </w:rPr>
        <w:t xml:space="preserve">de l’entreprise </w:t>
      </w:r>
      <w:r>
        <w:rPr>
          <w:rFonts w:ascii="Times New Roman" w:hAnsi="Times New Roman"/>
          <w:sz w:val="24"/>
        </w:rPr>
        <w:t>en « </w:t>
      </w:r>
      <w:r w:rsidRPr="007C17D3">
        <w:rPr>
          <w:rFonts w:ascii="Times New Roman" w:hAnsi="Times New Roman"/>
          <w:i/>
          <w:sz w:val="24"/>
        </w:rPr>
        <w:t>Going-concern</w:t>
      </w:r>
      <w:r>
        <w:rPr>
          <w:rFonts w:ascii="Times New Roman" w:hAnsi="Times New Roman"/>
          <w:sz w:val="24"/>
        </w:rPr>
        <w:t> », c’est-à-dire, comme si la PRJ avait abouti puisque la conversion n’interviendra que si la PRJ est homologuée. É</w:t>
      </w:r>
      <w:r w:rsidRPr="007C17D3">
        <w:rPr>
          <w:rFonts w:ascii="Times New Roman" w:hAnsi="Times New Roman"/>
          <w:i/>
          <w:sz w:val="24"/>
        </w:rPr>
        <w:t>value</w:t>
      </w:r>
      <w:r>
        <w:rPr>
          <w:rFonts w:ascii="Times New Roman" w:hAnsi="Times New Roman"/>
          <w:sz w:val="24"/>
        </w:rPr>
        <w:t>r en valeur liquidative, même dans le meilleur scénario possible, est incohérent avec la croyance - en convertissant – d’une continuité d’activités telle que décrite dans le plan.</w:t>
      </w:r>
      <w:r w:rsidR="00391536">
        <w:rPr>
          <w:rFonts w:ascii="Times New Roman" w:hAnsi="Times New Roman"/>
          <w:sz w:val="24"/>
        </w:rPr>
        <w:t xml:space="preserve"> Cette solution est d’ailleurs conforme au droit Américain.</w:t>
      </w:r>
    </w:p>
    <w:p w:rsidR="008064D7" w:rsidRDefault="008064D7" w:rsidP="00736DE2">
      <w:pPr>
        <w:spacing w:line="240" w:lineRule="auto"/>
        <w:ind w:left="786"/>
        <w:rPr>
          <w:rFonts w:ascii="Times New Roman" w:hAnsi="Times New Roman"/>
          <w:sz w:val="24"/>
        </w:rPr>
      </w:pPr>
    </w:p>
    <w:p w:rsidR="008064D7" w:rsidRPr="00DE776E" w:rsidRDefault="008064D7" w:rsidP="00736DE2">
      <w:pPr>
        <w:spacing w:line="240" w:lineRule="auto"/>
        <w:ind w:left="786"/>
        <w:rPr>
          <w:rFonts w:ascii="Times New Roman" w:hAnsi="Times New Roman"/>
          <w:sz w:val="24"/>
        </w:rPr>
      </w:pPr>
      <w:r>
        <w:rPr>
          <w:rFonts w:ascii="Times New Roman" w:hAnsi="Times New Roman"/>
          <w:sz w:val="24"/>
        </w:rPr>
        <w:t xml:space="preserve">Cependant, énoncer cette affirmation ne résout rien : sur quel plan financier la valorisation sera-t-elle faite, sur quelle méthode de valorisation ? Surtout, sur quelle prime </w:t>
      </w:r>
      <w:r w:rsidR="00391536">
        <w:rPr>
          <w:rFonts w:ascii="Times New Roman" w:hAnsi="Times New Roman"/>
          <w:sz w:val="24"/>
        </w:rPr>
        <w:t xml:space="preserve">de risque ? Sur quelle décote ? le </w:t>
      </w:r>
      <w:r>
        <w:rPr>
          <w:rFonts w:ascii="Times New Roman" w:hAnsi="Times New Roman"/>
          <w:sz w:val="24"/>
        </w:rPr>
        <w:t xml:space="preserve">point le plus important </w:t>
      </w:r>
      <w:r w:rsidR="00391536">
        <w:rPr>
          <w:rFonts w:ascii="Times New Roman" w:hAnsi="Times New Roman"/>
          <w:sz w:val="24"/>
        </w:rPr>
        <w:t xml:space="preserve">étant </w:t>
      </w:r>
      <w:r>
        <w:rPr>
          <w:rFonts w:ascii="Times New Roman" w:hAnsi="Times New Roman"/>
          <w:sz w:val="24"/>
        </w:rPr>
        <w:t>évidemment le coût du capital et la prime de risque.</w:t>
      </w:r>
    </w:p>
    <w:p w:rsidR="008064D7" w:rsidRDefault="008064D7" w:rsidP="00D51D10">
      <w:pPr>
        <w:pStyle w:val="Paragraphedeliste"/>
        <w:spacing w:line="240" w:lineRule="auto"/>
        <w:ind w:left="786"/>
        <w:rPr>
          <w:rFonts w:ascii="Times New Roman" w:hAnsi="Times New Roman"/>
          <w:sz w:val="24"/>
        </w:rPr>
      </w:pPr>
    </w:p>
    <w:p w:rsidR="008064D7" w:rsidRDefault="008064D7" w:rsidP="00391536">
      <w:pPr>
        <w:spacing w:line="240" w:lineRule="auto"/>
        <w:ind w:left="786"/>
        <w:rPr>
          <w:rFonts w:ascii="Times New Roman" w:hAnsi="Times New Roman"/>
          <w:sz w:val="24"/>
        </w:rPr>
      </w:pPr>
      <w:r>
        <w:rPr>
          <w:rFonts w:ascii="Times New Roman" w:hAnsi="Times New Roman"/>
          <w:sz w:val="24"/>
        </w:rPr>
        <w:t xml:space="preserve">Un calcul de ce genre de prime est </w:t>
      </w:r>
      <w:r w:rsidR="00391536">
        <w:rPr>
          <w:rFonts w:ascii="Times New Roman" w:hAnsi="Times New Roman"/>
          <w:sz w:val="24"/>
        </w:rPr>
        <w:t xml:space="preserve">théoriquement </w:t>
      </w:r>
      <w:r>
        <w:rPr>
          <w:rFonts w:ascii="Times New Roman" w:hAnsi="Times New Roman"/>
          <w:sz w:val="24"/>
        </w:rPr>
        <w:t>possible sur le marché puisque les actions des entreprises en procédure type PRJ ou faillite peuvent rester cotées sur le marché b</w:t>
      </w:r>
      <w:r w:rsidR="00391536">
        <w:rPr>
          <w:rFonts w:ascii="Times New Roman" w:hAnsi="Times New Roman"/>
          <w:sz w:val="24"/>
        </w:rPr>
        <w:t xml:space="preserve">oursier et avoir une valeur qui, en théorie, inclut </w:t>
      </w:r>
      <w:r>
        <w:rPr>
          <w:rFonts w:ascii="Times New Roman" w:hAnsi="Times New Roman"/>
          <w:sz w:val="24"/>
        </w:rPr>
        <w:t>cette prime de risque, comme cela a été par exemple le cas en Belgique à plusieurs reprises</w:t>
      </w:r>
      <w:r w:rsidR="00391536">
        <w:rPr>
          <w:rFonts w:ascii="Times New Roman" w:hAnsi="Times New Roman"/>
          <w:sz w:val="24"/>
        </w:rPr>
        <w:t>,</w:t>
      </w:r>
      <w:r>
        <w:rPr>
          <w:rFonts w:ascii="Times New Roman" w:hAnsi="Times New Roman"/>
          <w:sz w:val="24"/>
        </w:rPr>
        <w:t xml:space="preserve"> notamment dans Lernout &amp; Hauspie. </w:t>
      </w:r>
      <w:r w:rsidR="00391536">
        <w:rPr>
          <w:rFonts w:ascii="Times New Roman" w:hAnsi="Times New Roman"/>
          <w:sz w:val="24"/>
        </w:rPr>
        <w:t>A</w:t>
      </w:r>
      <w:r w:rsidRPr="0086383A">
        <w:rPr>
          <w:rFonts w:ascii="Times New Roman" w:hAnsi="Times New Roman"/>
          <w:sz w:val="24"/>
        </w:rPr>
        <w:t xml:space="preserve">près la PRJ, la prime de risque </w:t>
      </w:r>
      <w:r w:rsidR="00391536">
        <w:rPr>
          <w:rFonts w:ascii="Times New Roman" w:hAnsi="Times New Roman"/>
          <w:sz w:val="24"/>
        </w:rPr>
        <w:t>pourrait</w:t>
      </w:r>
      <w:r w:rsidRPr="0086383A">
        <w:rPr>
          <w:rFonts w:ascii="Times New Roman" w:hAnsi="Times New Roman"/>
          <w:sz w:val="24"/>
        </w:rPr>
        <w:t xml:space="preserve"> se déduire du marché et des cours </w:t>
      </w:r>
      <w:r w:rsidRPr="0086383A">
        <w:rPr>
          <w:rFonts w:ascii="Times New Roman" w:hAnsi="Times New Roman"/>
          <w:sz w:val="24"/>
        </w:rPr>
        <w:lastRenderedPageBreak/>
        <w:t>des entreprises qui ont</w:t>
      </w:r>
      <w:r>
        <w:rPr>
          <w:rFonts w:ascii="Times New Roman" w:hAnsi="Times New Roman"/>
          <w:sz w:val="24"/>
        </w:rPr>
        <w:t>,</w:t>
      </w:r>
      <w:r w:rsidRPr="0086383A">
        <w:rPr>
          <w:rFonts w:ascii="Times New Roman" w:hAnsi="Times New Roman"/>
          <w:sz w:val="24"/>
        </w:rPr>
        <w:t xml:space="preserve"> par exemple</w:t>
      </w:r>
      <w:r>
        <w:rPr>
          <w:rFonts w:ascii="Times New Roman" w:hAnsi="Times New Roman"/>
          <w:sz w:val="24"/>
        </w:rPr>
        <w:t>,</w:t>
      </w:r>
      <w:r w:rsidRPr="0086383A">
        <w:rPr>
          <w:rFonts w:ascii="Times New Roman" w:hAnsi="Times New Roman"/>
          <w:sz w:val="24"/>
        </w:rPr>
        <w:t xml:space="preserve"> réussi leur plan de sauvegarde (comme rallye en France) ou qui ont acquis des activités par un transfert.</w:t>
      </w:r>
      <w:r>
        <w:rPr>
          <w:rFonts w:ascii="Times New Roman" w:hAnsi="Times New Roman"/>
          <w:sz w:val="24"/>
        </w:rPr>
        <w:t xml:space="preserve"> </w:t>
      </w:r>
    </w:p>
    <w:p w:rsidR="00391536" w:rsidRDefault="00391536" w:rsidP="00391536">
      <w:pPr>
        <w:spacing w:line="240" w:lineRule="auto"/>
        <w:ind w:left="786"/>
        <w:rPr>
          <w:rFonts w:ascii="Times New Roman" w:hAnsi="Times New Roman"/>
          <w:sz w:val="24"/>
        </w:rPr>
      </w:pPr>
    </w:p>
    <w:p w:rsidR="00391536" w:rsidRDefault="00391536" w:rsidP="00391536">
      <w:pPr>
        <w:spacing w:line="240" w:lineRule="auto"/>
        <w:ind w:left="786"/>
        <w:rPr>
          <w:rFonts w:ascii="Times New Roman" w:hAnsi="Times New Roman"/>
          <w:sz w:val="24"/>
        </w:rPr>
      </w:pPr>
      <w:r>
        <w:rPr>
          <w:rFonts w:ascii="Times New Roman" w:hAnsi="Times New Roman"/>
          <w:sz w:val="24"/>
        </w:rPr>
        <w:t xml:space="preserve">Mais l’étude que nous avons sommairement réalisée et que nous avons décrite ci-dessus montre que ce référentiel n’est pas pertinent. Le cours exprime un prix pratiqué à un instant sur un marché </w:t>
      </w:r>
      <w:r w:rsidR="00A07953">
        <w:rPr>
          <w:rFonts w:ascii="Times New Roman" w:hAnsi="Times New Roman"/>
          <w:sz w:val="24"/>
        </w:rPr>
        <w:t>et</w:t>
      </w:r>
      <w:r>
        <w:rPr>
          <w:rFonts w:ascii="Times New Roman" w:hAnsi="Times New Roman"/>
          <w:sz w:val="24"/>
        </w:rPr>
        <w:t xml:space="preserve"> inclut une valeur émotionnelle ou de confiance qui diminue la valeur</w:t>
      </w:r>
      <w:r w:rsidR="00A07953">
        <w:rPr>
          <w:rFonts w:ascii="Times New Roman" w:hAnsi="Times New Roman"/>
          <w:sz w:val="24"/>
        </w:rPr>
        <w:t>. On peut, à l’analyse de telle ou telle société, dans tel ou tel secteur, arriver à des conclusions inverses et absurdes. À prendre la valeur des actions de Hertz actuellement négociée, on retiendrait une valeur de l’entreprise très grande alors qu’à prendre certaines de ces sociétés françaises citées, on retiendrait une valeur très faible. On ne peut cependant pas écarter cette analyse qui viendra compléter d’autres paramètres.</w:t>
      </w:r>
    </w:p>
    <w:p w:rsidR="00391536" w:rsidRDefault="00391536" w:rsidP="00391536">
      <w:pPr>
        <w:spacing w:line="240" w:lineRule="auto"/>
        <w:ind w:left="786"/>
        <w:rPr>
          <w:rFonts w:ascii="Times New Roman" w:hAnsi="Times New Roman"/>
          <w:sz w:val="24"/>
        </w:rPr>
      </w:pPr>
    </w:p>
    <w:p w:rsidR="008064D7" w:rsidRDefault="008064D7" w:rsidP="00391536">
      <w:pPr>
        <w:pStyle w:val="Paragraphedeliste"/>
        <w:numPr>
          <w:ilvl w:val="0"/>
          <w:numId w:val="2"/>
        </w:numPr>
        <w:spacing w:line="240" w:lineRule="auto"/>
        <w:ind w:left="851" w:hanging="567"/>
        <w:rPr>
          <w:rFonts w:ascii="Times New Roman" w:hAnsi="Times New Roman"/>
          <w:sz w:val="24"/>
        </w:rPr>
      </w:pPr>
      <w:r w:rsidRPr="00E3350B">
        <w:rPr>
          <w:rFonts w:ascii="Times New Roman" w:hAnsi="Times New Roman"/>
          <w:sz w:val="24"/>
          <w:u w:val="single"/>
        </w:rPr>
        <w:t>Une 5</w:t>
      </w:r>
      <w:r w:rsidRPr="00E3350B">
        <w:rPr>
          <w:rFonts w:ascii="Times New Roman" w:hAnsi="Times New Roman"/>
          <w:sz w:val="24"/>
          <w:u w:val="single"/>
          <w:vertAlign w:val="superscript"/>
        </w:rPr>
        <w:t>ème</w:t>
      </w:r>
      <w:r w:rsidRPr="00E3350B">
        <w:rPr>
          <w:rFonts w:ascii="Times New Roman" w:hAnsi="Times New Roman"/>
          <w:sz w:val="24"/>
          <w:u w:val="single"/>
        </w:rPr>
        <w:t xml:space="preserve"> question est </w:t>
      </w:r>
      <w:r>
        <w:rPr>
          <w:rFonts w:ascii="Times New Roman" w:hAnsi="Times New Roman"/>
          <w:sz w:val="24"/>
          <w:u w:val="single"/>
        </w:rPr>
        <w:t xml:space="preserve">l’influence de </w:t>
      </w:r>
      <w:r w:rsidRPr="00E3350B">
        <w:rPr>
          <w:rFonts w:ascii="Times New Roman" w:hAnsi="Times New Roman"/>
          <w:sz w:val="24"/>
          <w:u w:val="single"/>
        </w:rPr>
        <w:t>la manière de « </w:t>
      </w:r>
      <w:r w:rsidRPr="00E3350B">
        <w:rPr>
          <w:rFonts w:ascii="Times New Roman" w:hAnsi="Times New Roman"/>
          <w:i/>
          <w:sz w:val="24"/>
          <w:u w:val="single"/>
        </w:rPr>
        <w:t>négocier »</w:t>
      </w:r>
      <w:r>
        <w:rPr>
          <w:rFonts w:ascii="Times New Roman" w:hAnsi="Times New Roman"/>
          <w:sz w:val="24"/>
          <w:u w:val="single"/>
        </w:rPr>
        <w:t xml:space="preserve"> cette prime de risque </w:t>
      </w:r>
      <w:r>
        <w:rPr>
          <w:rFonts w:ascii="Times New Roman" w:hAnsi="Times New Roman"/>
          <w:sz w:val="24"/>
        </w:rPr>
        <w:t xml:space="preserve">car usuellement, ces questions de rapport d’échange et de prime de risque sont le fruit d’une négociation entre parties indépendantes – un acheteur de financement et un vendeur de financement qui devraient, par leur négociation non contrainte, trouver le point d’équilibre, </w:t>
      </w:r>
      <w:r w:rsidRPr="00323ECE">
        <w:rPr>
          <w:rFonts w:ascii="Times New Roman" w:hAnsi="Times New Roman"/>
          <w:i/>
          <w:sz w:val="24"/>
        </w:rPr>
        <w:t xml:space="preserve">arm’s </w:t>
      </w:r>
      <w:r w:rsidR="00A07953" w:rsidRPr="00323ECE">
        <w:rPr>
          <w:rFonts w:ascii="Times New Roman" w:hAnsi="Times New Roman"/>
          <w:i/>
          <w:sz w:val="24"/>
        </w:rPr>
        <w:t>lenght</w:t>
      </w:r>
      <w:r w:rsidR="00A07953">
        <w:rPr>
          <w:rFonts w:ascii="Times New Roman" w:hAnsi="Times New Roman"/>
          <w:sz w:val="24"/>
        </w:rPr>
        <w:t>.</w:t>
      </w:r>
      <w:r>
        <w:rPr>
          <w:rFonts w:ascii="Times New Roman" w:hAnsi="Times New Roman"/>
          <w:sz w:val="24"/>
        </w:rPr>
        <w:t xml:space="preserve"> </w:t>
      </w:r>
    </w:p>
    <w:p w:rsidR="008064D7" w:rsidRDefault="008064D7" w:rsidP="00E3350B">
      <w:pPr>
        <w:pStyle w:val="Paragraphedeliste"/>
        <w:spacing w:line="240" w:lineRule="auto"/>
        <w:ind w:left="786"/>
        <w:rPr>
          <w:rFonts w:ascii="Times New Roman" w:hAnsi="Times New Roman"/>
          <w:sz w:val="24"/>
        </w:rPr>
      </w:pPr>
    </w:p>
    <w:p w:rsidR="00A07953" w:rsidRDefault="008064D7" w:rsidP="00407F5F">
      <w:pPr>
        <w:pStyle w:val="Paragraphedeliste"/>
        <w:spacing w:line="240" w:lineRule="auto"/>
        <w:ind w:left="786"/>
        <w:rPr>
          <w:rFonts w:ascii="Times New Roman" w:hAnsi="Times New Roman"/>
          <w:sz w:val="24"/>
        </w:rPr>
      </w:pPr>
      <w:r>
        <w:rPr>
          <w:rFonts w:ascii="Times New Roman" w:hAnsi="Times New Roman"/>
          <w:sz w:val="24"/>
        </w:rPr>
        <w:t>Mais la négociation en présence d’une partie très faible (le débiteur endetté) et de parties qui pourraient subir les effets néfastes d’une position contrainte (les actionnaires, minoritaires comme majoritaires, les créanciers ou d’autres détenteurs d’intérêt) pose la question de pouvoir vérifier que la prime retenue n’est pas un avantage exorbitant attribué à un ou plusieurs créanciers</w:t>
      </w:r>
      <w:r w:rsidR="00A07953">
        <w:rPr>
          <w:rFonts w:ascii="Times New Roman" w:hAnsi="Times New Roman"/>
          <w:sz w:val="24"/>
        </w:rPr>
        <w:t xml:space="preserve"> par le fait même des conditions d’une telle négociation</w:t>
      </w:r>
      <w:r>
        <w:rPr>
          <w:rFonts w:ascii="Times New Roman" w:hAnsi="Times New Roman"/>
          <w:sz w:val="24"/>
        </w:rPr>
        <w:t>.</w:t>
      </w:r>
    </w:p>
    <w:p w:rsidR="00A07953" w:rsidRDefault="00A07953" w:rsidP="00407F5F">
      <w:pPr>
        <w:pStyle w:val="Paragraphedeliste"/>
        <w:spacing w:line="240" w:lineRule="auto"/>
        <w:ind w:left="786"/>
        <w:rPr>
          <w:rFonts w:ascii="Times New Roman" w:hAnsi="Times New Roman"/>
          <w:sz w:val="24"/>
        </w:rPr>
      </w:pPr>
    </w:p>
    <w:p w:rsidR="008064D7" w:rsidRPr="00407F5F" w:rsidRDefault="008064D7" w:rsidP="00407F5F">
      <w:pPr>
        <w:pStyle w:val="Paragraphedeliste"/>
        <w:spacing w:line="240" w:lineRule="auto"/>
        <w:ind w:left="786"/>
        <w:rPr>
          <w:rFonts w:ascii="Times New Roman" w:hAnsi="Times New Roman"/>
          <w:sz w:val="24"/>
        </w:rPr>
      </w:pPr>
      <w:r w:rsidRPr="00407F5F">
        <w:rPr>
          <w:rFonts w:ascii="Times New Roman" w:hAnsi="Times New Roman"/>
          <w:sz w:val="24"/>
        </w:rPr>
        <w:t xml:space="preserve">Dans un certain nombre de cas, l’actionnaire </w:t>
      </w:r>
      <w:r>
        <w:rPr>
          <w:rFonts w:ascii="Times New Roman" w:hAnsi="Times New Roman"/>
          <w:sz w:val="24"/>
        </w:rPr>
        <w:t xml:space="preserve">en place </w:t>
      </w:r>
      <w:r w:rsidR="00A07953">
        <w:rPr>
          <w:rFonts w:ascii="Times New Roman" w:hAnsi="Times New Roman"/>
          <w:sz w:val="24"/>
        </w:rPr>
        <w:t>n’</w:t>
      </w:r>
      <w:r w:rsidRPr="00407F5F">
        <w:rPr>
          <w:rFonts w:ascii="Times New Roman" w:hAnsi="Times New Roman"/>
          <w:sz w:val="24"/>
        </w:rPr>
        <w:t>accepte</w:t>
      </w:r>
      <w:r>
        <w:rPr>
          <w:rFonts w:ascii="Times New Roman" w:hAnsi="Times New Roman"/>
          <w:sz w:val="24"/>
        </w:rPr>
        <w:t xml:space="preserve"> une prime de risque</w:t>
      </w:r>
      <w:r w:rsidRPr="00407F5F">
        <w:rPr>
          <w:rFonts w:ascii="Times New Roman" w:hAnsi="Times New Roman"/>
          <w:sz w:val="24"/>
        </w:rPr>
        <w:t xml:space="preserve"> qu’à la con</w:t>
      </w:r>
      <w:r>
        <w:rPr>
          <w:rFonts w:ascii="Times New Roman" w:hAnsi="Times New Roman"/>
          <w:sz w:val="24"/>
        </w:rPr>
        <w:t>dition que le rapport d’échange produise une émission d’action qui lui laisse une majorité ou un contrôle suffisant</w:t>
      </w:r>
      <w:r w:rsidRPr="00407F5F">
        <w:rPr>
          <w:rFonts w:ascii="Times New Roman" w:hAnsi="Times New Roman"/>
          <w:sz w:val="24"/>
        </w:rPr>
        <w:t>.</w:t>
      </w:r>
    </w:p>
    <w:p w:rsidR="008064D7" w:rsidRDefault="008064D7" w:rsidP="00312878">
      <w:pPr>
        <w:spacing w:line="240" w:lineRule="auto"/>
        <w:ind w:left="426"/>
        <w:rPr>
          <w:rFonts w:ascii="Times New Roman" w:hAnsi="Times New Roman"/>
          <w:sz w:val="24"/>
        </w:rPr>
      </w:pPr>
    </w:p>
    <w:p w:rsidR="008064D7" w:rsidRDefault="008064D7" w:rsidP="009A5EC2">
      <w:pPr>
        <w:spacing w:line="240" w:lineRule="auto"/>
        <w:ind w:left="786"/>
        <w:rPr>
          <w:rFonts w:ascii="Times New Roman" w:hAnsi="Times New Roman"/>
          <w:sz w:val="24"/>
        </w:rPr>
      </w:pPr>
      <w:r>
        <w:rPr>
          <w:rFonts w:ascii="Times New Roman" w:hAnsi="Times New Roman"/>
          <w:sz w:val="24"/>
        </w:rPr>
        <w:t>Il faut donc admettre l’existence d’une marge de manœuvre face aux valeurs de marché en période normale qui doi</w:t>
      </w:r>
      <w:r w:rsidR="00A07953">
        <w:rPr>
          <w:rFonts w:ascii="Times New Roman" w:hAnsi="Times New Roman"/>
          <w:sz w:val="24"/>
        </w:rPr>
        <w:t>ven</w:t>
      </w:r>
      <w:r>
        <w:rPr>
          <w:rFonts w:ascii="Times New Roman" w:hAnsi="Times New Roman"/>
          <w:sz w:val="24"/>
        </w:rPr>
        <w:t>t être examinée</w:t>
      </w:r>
      <w:r w:rsidR="00A07953">
        <w:rPr>
          <w:rFonts w:ascii="Times New Roman" w:hAnsi="Times New Roman"/>
          <w:sz w:val="24"/>
        </w:rPr>
        <w:t>s</w:t>
      </w:r>
      <w:r>
        <w:rPr>
          <w:rFonts w:ascii="Times New Roman" w:hAnsi="Times New Roman"/>
          <w:sz w:val="24"/>
        </w:rPr>
        <w:t xml:space="preserve"> et argumentée</w:t>
      </w:r>
      <w:r w:rsidR="00A07953">
        <w:rPr>
          <w:rFonts w:ascii="Times New Roman" w:hAnsi="Times New Roman"/>
          <w:sz w:val="24"/>
        </w:rPr>
        <w:t>s</w:t>
      </w:r>
      <w:r>
        <w:rPr>
          <w:rFonts w:ascii="Times New Roman" w:hAnsi="Times New Roman"/>
          <w:sz w:val="24"/>
        </w:rPr>
        <w:t xml:space="preserve"> sur base des faits.</w:t>
      </w:r>
    </w:p>
    <w:p w:rsidR="008064D7" w:rsidRDefault="008064D7" w:rsidP="009A5EC2">
      <w:pPr>
        <w:spacing w:line="240" w:lineRule="auto"/>
        <w:ind w:left="786"/>
        <w:rPr>
          <w:rFonts w:ascii="Times New Roman" w:hAnsi="Times New Roman"/>
          <w:sz w:val="24"/>
        </w:rPr>
      </w:pPr>
    </w:p>
    <w:p w:rsidR="008064D7" w:rsidRPr="00407F5F" w:rsidRDefault="008064D7" w:rsidP="00391536">
      <w:pPr>
        <w:pStyle w:val="Paragraphedeliste"/>
        <w:numPr>
          <w:ilvl w:val="0"/>
          <w:numId w:val="2"/>
        </w:numPr>
        <w:spacing w:line="240" w:lineRule="auto"/>
        <w:ind w:left="851" w:hanging="567"/>
        <w:rPr>
          <w:rFonts w:ascii="Times New Roman" w:hAnsi="Times New Roman"/>
          <w:sz w:val="24"/>
          <w:u w:val="single"/>
        </w:rPr>
      </w:pPr>
      <w:r w:rsidRPr="001A36B8">
        <w:rPr>
          <w:rFonts w:ascii="Times New Roman" w:hAnsi="Times New Roman"/>
          <w:sz w:val="24"/>
          <w:u w:val="single"/>
        </w:rPr>
        <w:t>L</w:t>
      </w:r>
      <w:r>
        <w:rPr>
          <w:rFonts w:ascii="Times New Roman" w:hAnsi="Times New Roman"/>
          <w:sz w:val="24"/>
          <w:u w:val="single"/>
        </w:rPr>
        <w:t>a 6</w:t>
      </w:r>
      <w:r w:rsidRPr="001A36B8">
        <w:rPr>
          <w:rFonts w:ascii="Times New Roman" w:hAnsi="Times New Roman"/>
          <w:sz w:val="24"/>
          <w:u w:val="single"/>
          <w:vertAlign w:val="superscript"/>
        </w:rPr>
        <w:t>ème</w:t>
      </w:r>
      <w:r w:rsidRPr="001A36B8">
        <w:rPr>
          <w:rFonts w:ascii="Times New Roman" w:hAnsi="Times New Roman"/>
          <w:sz w:val="24"/>
          <w:u w:val="single"/>
        </w:rPr>
        <w:t xml:space="preserve"> question</w:t>
      </w:r>
      <w:r>
        <w:rPr>
          <w:rFonts w:ascii="Times New Roman" w:hAnsi="Times New Roman"/>
          <w:sz w:val="24"/>
          <w:u w:val="single"/>
        </w:rPr>
        <w:t xml:space="preserve"> est le taux d’intérêt à utiliser.</w:t>
      </w:r>
      <w:r w:rsidRPr="00900AA1">
        <w:rPr>
          <w:rFonts w:ascii="Times New Roman" w:hAnsi="Times New Roman"/>
          <w:sz w:val="24"/>
        </w:rPr>
        <w:t xml:space="preserve"> </w:t>
      </w:r>
      <w:r>
        <w:rPr>
          <w:rFonts w:ascii="Times New Roman" w:hAnsi="Times New Roman"/>
          <w:sz w:val="24"/>
        </w:rPr>
        <w:t>Il faut déterminer le taux d’un placement normal</w:t>
      </w:r>
      <w:r w:rsidR="00A07953">
        <w:rPr>
          <w:rFonts w:ascii="Times New Roman" w:hAnsi="Times New Roman"/>
          <w:sz w:val="24"/>
        </w:rPr>
        <w:t>.</w:t>
      </w:r>
      <w:r>
        <w:rPr>
          <w:rFonts w:ascii="Times New Roman" w:hAnsi="Times New Roman"/>
          <w:sz w:val="24"/>
        </w:rPr>
        <w:t xml:space="preserve"> </w:t>
      </w:r>
      <w:r w:rsidRPr="00407F5F">
        <w:rPr>
          <w:rFonts w:ascii="Times New Roman" w:hAnsi="Times New Roman"/>
          <w:sz w:val="24"/>
        </w:rPr>
        <w:t xml:space="preserve">A priori, le raisonnement peut être le même. En cas de conversion, aucun intérêt ne serait dû. Un taux 0 ou très faible devrait </w:t>
      </w:r>
      <w:r>
        <w:rPr>
          <w:rFonts w:ascii="Times New Roman" w:hAnsi="Times New Roman"/>
          <w:sz w:val="24"/>
        </w:rPr>
        <w:t>alors être retenu puisque le paiement de la créance n’aurait pas donné lieu à des intérêts.</w:t>
      </w:r>
    </w:p>
    <w:p w:rsidR="008064D7" w:rsidRDefault="008064D7" w:rsidP="001A36B8">
      <w:pPr>
        <w:pStyle w:val="Paragraphedeliste"/>
        <w:spacing w:line="240" w:lineRule="auto"/>
        <w:ind w:left="786"/>
        <w:rPr>
          <w:rFonts w:ascii="Times New Roman" w:hAnsi="Times New Roman"/>
          <w:sz w:val="24"/>
        </w:rPr>
      </w:pPr>
    </w:p>
    <w:p w:rsidR="008064D7" w:rsidRPr="005A6BA7" w:rsidRDefault="008064D7" w:rsidP="009A671B">
      <w:pPr>
        <w:pStyle w:val="Paragraphedeliste"/>
        <w:numPr>
          <w:ilvl w:val="0"/>
          <w:numId w:val="2"/>
        </w:numPr>
        <w:spacing w:line="240" w:lineRule="auto"/>
        <w:ind w:hanging="567"/>
        <w:rPr>
          <w:rFonts w:ascii="Times New Roman" w:hAnsi="Times New Roman"/>
          <w:sz w:val="24"/>
        </w:rPr>
      </w:pPr>
      <w:r w:rsidRPr="005A6BA7">
        <w:rPr>
          <w:rFonts w:ascii="Times New Roman" w:hAnsi="Times New Roman"/>
          <w:sz w:val="24"/>
          <w:u w:val="single"/>
        </w:rPr>
        <w:t>La 7</w:t>
      </w:r>
      <w:r w:rsidRPr="005A6BA7">
        <w:rPr>
          <w:rFonts w:ascii="Times New Roman" w:hAnsi="Times New Roman"/>
          <w:sz w:val="24"/>
          <w:u w:val="single"/>
          <w:vertAlign w:val="superscript"/>
        </w:rPr>
        <w:t>ème</w:t>
      </w:r>
      <w:r w:rsidRPr="005A6BA7">
        <w:rPr>
          <w:rFonts w:ascii="Times New Roman" w:hAnsi="Times New Roman"/>
          <w:sz w:val="24"/>
          <w:u w:val="single"/>
        </w:rPr>
        <w:t xml:space="preserve"> question est la prime de « </w:t>
      </w:r>
      <w:r w:rsidRPr="005A6BA7">
        <w:rPr>
          <w:rFonts w:ascii="Times New Roman" w:hAnsi="Times New Roman"/>
          <w:i/>
          <w:sz w:val="24"/>
          <w:u w:val="single"/>
        </w:rPr>
        <w:t>valeur »</w:t>
      </w:r>
      <w:r w:rsidRPr="005A6BA7">
        <w:rPr>
          <w:rFonts w:ascii="Times New Roman" w:hAnsi="Times New Roman"/>
          <w:sz w:val="24"/>
          <w:u w:val="single"/>
        </w:rPr>
        <w:t>.</w:t>
      </w:r>
      <w:r w:rsidRPr="005A6BA7">
        <w:rPr>
          <w:rFonts w:ascii="Times New Roman" w:hAnsi="Times New Roman"/>
          <w:sz w:val="24"/>
        </w:rPr>
        <w:t xml:space="preserve"> Dans de nombreuses entreprises, le business plan est établi en intégrant la valeur de la rémunération des animateurs et créateurs de valeurs au sein de la société sur base d’une rémunération </w:t>
      </w:r>
      <w:r w:rsidRPr="005A6BA7">
        <w:rPr>
          <w:rFonts w:ascii="Times New Roman" w:hAnsi="Times New Roman"/>
          <w:i/>
          <w:sz w:val="24"/>
        </w:rPr>
        <w:t xml:space="preserve">arm’s </w:t>
      </w:r>
      <w:r w:rsidR="00A07953" w:rsidRPr="005A6BA7">
        <w:rPr>
          <w:rFonts w:ascii="Times New Roman" w:hAnsi="Times New Roman"/>
          <w:i/>
          <w:sz w:val="24"/>
        </w:rPr>
        <w:t>lenght</w:t>
      </w:r>
      <w:r w:rsidRPr="005A6BA7">
        <w:rPr>
          <w:rFonts w:ascii="Times New Roman" w:hAnsi="Times New Roman"/>
          <w:sz w:val="24"/>
        </w:rPr>
        <w:t>, ni trop grande mais ni trop faible car si le fondateur ou le créateur de valeur devait mourir ou partir, il faudrait le remplacer. Dans les entreprises en difficulté, cette rémunération a pu être diminuée, anormalement, tant que l’entreprise n’a pas réussi son retournement.</w:t>
      </w:r>
      <w:r w:rsidR="005A6BA7">
        <w:rPr>
          <w:rFonts w:ascii="Times New Roman" w:hAnsi="Times New Roman"/>
          <w:sz w:val="24"/>
        </w:rPr>
        <w:t xml:space="preserve"> </w:t>
      </w:r>
      <w:r w:rsidRPr="005A6BA7">
        <w:rPr>
          <w:rFonts w:ascii="Times New Roman" w:hAnsi="Times New Roman"/>
          <w:sz w:val="24"/>
        </w:rPr>
        <w:t>À l’instar des primes de contrôle, de minorité ou de liquidité, une prime de valeur peut influencer en faveur du créancier convertissant ou en faveur de l’actionnaire le rapport d’éch</w:t>
      </w:r>
      <w:r w:rsidRPr="005A6BA7">
        <w:rPr>
          <w:rFonts w:ascii="Times New Roman" w:hAnsi="Times New Roman"/>
          <w:b/>
          <w:sz w:val="24"/>
        </w:rPr>
        <w:t>a</w:t>
      </w:r>
      <w:r w:rsidRPr="005A6BA7">
        <w:rPr>
          <w:rFonts w:ascii="Times New Roman" w:hAnsi="Times New Roman"/>
          <w:sz w:val="24"/>
        </w:rPr>
        <w:t>nge. Si l’actionnaire et sa compétence est à ce point essentielle à la création de valeur ou</w:t>
      </w:r>
      <w:r w:rsidR="005A6BA7">
        <w:rPr>
          <w:rFonts w:ascii="Times New Roman" w:hAnsi="Times New Roman"/>
          <w:sz w:val="24"/>
        </w:rPr>
        <w:t>,</w:t>
      </w:r>
      <w:r w:rsidRPr="005A6BA7">
        <w:rPr>
          <w:rFonts w:ascii="Times New Roman" w:hAnsi="Times New Roman"/>
          <w:sz w:val="24"/>
        </w:rPr>
        <w:t xml:space="preserve"> inversement</w:t>
      </w:r>
      <w:r w:rsidR="005A6BA7">
        <w:rPr>
          <w:rFonts w:ascii="Times New Roman" w:hAnsi="Times New Roman"/>
          <w:sz w:val="24"/>
        </w:rPr>
        <w:t>,</w:t>
      </w:r>
      <w:r w:rsidRPr="005A6BA7">
        <w:rPr>
          <w:rFonts w:ascii="Times New Roman" w:hAnsi="Times New Roman"/>
          <w:sz w:val="24"/>
        </w:rPr>
        <w:t xml:space="preserve"> si tel n’est pas ou peu le cas car il est remplaçable facilement pour un cout faible mais que par contre l’intervention en capital ou en refinancement </w:t>
      </w:r>
      <w:r w:rsidRPr="005A6BA7">
        <w:rPr>
          <w:rFonts w:ascii="Times New Roman" w:hAnsi="Times New Roman"/>
          <w:sz w:val="24"/>
        </w:rPr>
        <w:lastRenderedPageBreak/>
        <w:t>du créancier est capital, une prime assez importante peut être envisagée et serait conforme à la réalité économique.</w:t>
      </w:r>
    </w:p>
    <w:p w:rsidR="008064D7" w:rsidRDefault="008064D7" w:rsidP="00C54692">
      <w:pPr>
        <w:spacing w:line="240" w:lineRule="auto"/>
        <w:ind w:left="708"/>
        <w:rPr>
          <w:rFonts w:ascii="Times New Roman" w:hAnsi="Times New Roman"/>
          <w:sz w:val="24"/>
        </w:rPr>
      </w:pPr>
    </w:p>
    <w:p w:rsidR="008064D7" w:rsidRPr="005A6BA7" w:rsidRDefault="008064D7" w:rsidP="005A6BA7">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La 8</w:t>
      </w:r>
      <w:r w:rsidRPr="00420F40">
        <w:rPr>
          <w:rFonts w:ascii="Times New Roman" w:hAnsi="Times New Roman"/>
          <w:sz w:val="24"/>
          <w:u w:val="single"/>
          <w:vertAlign w:val="superscript"/>
        </w:rPr>
        <w:t>ème</w:t>
      </w:r>
      <w:r>
        <w:rPr>
          <w:rFonts w:ascii="Times New Roman" w:hAnsi="Times New Roman"/>
          <w:sz w:val="24"/>
          <w:u w:val="single"/>
        </w:rPr>
        <w:t xml:space="preserve"> question est l’intégration d’une marge de manœuvre liée au cas de la conversion des créanciers financiers non-bancaires.</w:t>
      </w:r>
      <w:r w:rsidRPr="0058482E">
        <w:rPr>
          <w:rFonts w:ascii="Times New Roman" w:hAnsi="Times New Roman"/>
          <w:sz w:val="24"/>
        </w:rPr>
        <w:t xml:space="preserve"> </w:t>
      </w:r>
      <w:r w:rsidRPr="002B2B1B">
        <w:rPr>
          <w:rFonts w:ascii="Times New Roman" w:hAnsi="Times New Roman"/>
          <w:sz w:val="24"/>
        </w:rPr>
        <w:t xml:space="preserve">La conversion en actions </w:t>
      </w:r>
      <w:r w:rsidRPr="002B2B1B">
        <w:rPr>
          <w:rFonts w:ascii="Times New Roman" w:hAnsi="Times New Roman"/>
          <w:sz w:val="24"/>
          <w:u w:val="single"/>
        </w:rPr>
        <w:t>des créanciers financiers</w:t>
      </w:r>
      <w:r w:rsidRPr="002B2B1B">
        <w:rPr>
          <w:rFonts w:ascii="Times New Roman" w:hAnsi="Times New Roman"/>
          <w:sz w:val="24"/>
        </w:rPr>
        <w:t xml:space="preserve"> est la seule voie possible de réponse acceptable sur le plan économique et financier aux entreprises qui ont eu besoin de recourir à des endettements importants pour se développer. </w:t>
      </w:r>
      <w:r w:rsidRPr="005A6BA7">
        <w:rPr>
          <w:rFonts w:ascii="Times New Roman" w:hAnsi="Times New Roman"/>
          <w:sz w:val="24"/>
        </w:rPr>
        <w:t>En effet, un étalement sur une durée limitée comme celle, en général, prévue par le droit de l’insolvabilité et, en particulier, celle de 5 ans retenue en Belgique (à la différence d’autres Etats qui prévoient des durées plus longues) ne permettra jamais de rembourser dans les termes et échéances normales une dette financière. La dette financière est souvent également accompagnée de sûreté ou de gage et permettrait la réalisation d’actifs gagés externes au débiteur ou la réalisation d’actifs mis en garantie par les techniques qui ont sorti l’actif de la procédure d’insolvabilité (par exemple, des fiducies sûretés), ce qui attribuerait aussi à ces créanciers, pour finir, un traitement totalement injuste et discriminant à l’égard des autres créanciers de l’entreprise et au seul motif qu’ils ont usé, voire abusé des techniques juridiques contractuelles pour leur donner une situation préférentielle.</w:t>
      </w:r>
    </w:p>
    <w:p w:rsidR="008064D7" w:rsidRDefault="008064D7" w:rsidP="00C54692">
      <w:pPr>
        <w:spacing w:line="240" w:lineRule="auto"/>
        <w:ind w:left="708"/>
        <w:rPr>
          <w:rFonts w:ascii="Times New Roman" w:hAnsi="Times New Roman"/>
          <w:sz w:val="24"/>
        </w:rPr>
      </w:pPr>
    </w:p>
    <w:p w:rsidR="008064D7" w:rsidRDefault="008064D7" w:rsidP="00C5362F">
      <w:pPr>
        <w:pStyle w:val="Paragraphedeliste"/>
        <w:spacing w:line="240" w:lineRule="auto"/>
        <w:ind w:left="786"/>
        <w:rPr>
          <w:rFonts w:ascii="Times New Roman" w:hAnsi="Times New Roman"/>
          <w:sz w:val="24"/>
        </w:rPr>
      </w:pPr>
      <w:r>
        <w:rPr>
          <w:rFonts w:ascii="Times New Roman" w:hAnsi="Times New Roman"/>
          <w:sz w:val="24"/>
        </w:rPr>
        <w:t xml:space="preserve">Si le respect des gages et des sûretés est un élément nécessaire pour assurer la capacité de financement des entreprises et, en particulier, pour garantir la récupération des prêts non-productifs des banquiers et ce, afin d’assurer la stabilité du système monétaire, il en est différemment lorsque le financement est opéré par des voies privées, que ce soit les obligations ou les fonds d’investissement qui eux ne répondent pas, par leur nature et par leur fonction, à un but d’intérêt général comme la banque. Traiter ces deux types de financeurs sur le même pied apparaît totalement contraire à la comparabilité des acteurs nécessaires à fonder les traitements discriminants ou non </w:t>
      </w:r>
      <w:r w:rsidRPr="007C17D3">
        <w:rPr>
          <w:rFonts w:ascii="Times New Roman" w:hAnsi="Times New Roman"/>
          <w:i/>
          <w:sz w:val="24"/>
        </w:rPr>
        <w:t>Fair</w:t>
      </w:r>
      <w:r>
        <w:rPr>
          <w:rFonts w:ascii="Times New Roman" w:hAnsi="Times New Roman"/>
          <w:sz w:val="24"/>
        </w:rPr>
        <w:t xml:space="preserve">-play dans une entreprise en difficulté. Le régime américain et anglais, voire le régime français ont parfaitement compris que la seule solution était de pouvoir imposer aux créanciers financiers une conversion dans des conditions qui ne les préjudicient pas rapporter à la valeur économique de l’entreprise, mais qui ne leur donne pas un avantage exorbitant. </w:t>
      </w:r>
    </w:p>
    <w:p w:rsidR="008064D7" w:rsidRDefault="008064D7" w:rsidP="00C5362F">
      <w:pPr>
        <w:pStyle w:val="Paragraphedeliste"/>
        <w:spacing w:line="240" w:lineRule="auto"/>
        <w:ind w:left="786"/>
        <w:rPr>
          <w:rFonts w:ascii="Times New Roman" w:hAnsi="Times New Roman"/>
          <w:sz w:val="24"/>
        </w:rPr>
      </w:pPr>
    </w:p>
    <w:p w:rsidR="008064D7" w:rsidRDefault="008064D7" w:rsidP="00C5362F">
      <w:pPr>
        <w:pStyle w:val="Paragraphedeliste"/>
        <w:spacing w:line="240" w:lineRule="auto"/>
        <w:ind w:left="786"/>
        <w:rPr>
          <w:rFonts w:ascii="Times New Roman" w:hAnsi="Times New Roman"/>
          <w:sz w:val="24"/>
        </w:rPr>
      </w:pPr>
      <w:r>
        <w:rPr>
          <w:rFonts w:ascii="Times New Roman" w:hAnsi="Times New Roman"/>
          <w:sz w:val="24"/>
        </w:rPr>
        <w:t xml:space="preserve">C’est sur ce terrain que la directive impose aux Etats de prévoir des classes de créanciers qui permettront un tel écrasement des créanciers financiers disposant même de sûretés ou de gages, y compris de gages externes. C’est sur cette base que les procédures de sauvegarde financière ou de Schème of arrangement anglais sont reconnus au titre du </w:t>
      </w:r>
      <w:r w:rsidRPr="00323ECE">
        <w:rPr>
          <w:rFonts w:ascii="Times New Roman" w:hAnsi="Times New Roman"/>
          <w:i/>
          <w:sz w:val="24"/>
        </w:rPr>
        <w:t>Chapter</w:t>
      </w:r>
      <w:r>
        <w:rPr>
          <w:rFonts w:ascii="Times New Roman" w:hAnsi="Times New Roman"/>
          <w:sz w:val="24"/>
        </w:rPr>
        <w:t xml:space="preserve"> </w:t>
      </w:r>
      <w:r w:rsidRPr="00323ECE">
        <w:rPr>
          <w:rFonts w:ascii="Times New Roman" w:hAnsi="Times New Roman"/>
          <w:i/>
          <w:sz w:val="24"/>
        </w:rPr>
        <w:t xml:space="preserve">15 </w:t>
      </w:r>
      <w:r>
        <w:rPr>
          <w:rFonts w:ascii="Times New Roman" w:hAnsi="Times New Roman"/>
          <w:sz w:val="24"/>
        </w:rPr>
        <w:t>américain lorsque cette reconnaissance est nécessaire pour écraser un créancier financier ayant un point de rattachement en Angleterre ou aux Etats-Unis.</w:t>
      </w:r>
    </w:p>
    <w:p w:rsidR="008064D7" w:rsidRDefault="008064D7" w:rsidP="00C5362F">
      <w:pPr>
        <w:pStyle w:val="Paragraphedeliste"/>
        <w:spacing w:line="240" w:lineRule="auto"/>
        <w:ind w:left="786"/>
        <w:rPr>
          <w:rFonts w:ascii="Times New Roman" w:hAnsi="Times New Roman"/>
          <w:sz w:val="24"/>
        </w:rPr>
      </w:pPr>
    </w:p>
    <w:p w:rsidR="008064D7" w:rsidRDefault="008064D7" w:rsidP="00C5362F">
      <w:pPr>
        <w:pStyle w:val="Paragraphedeliste"/>
        <w:spacing w:line="240" w:lineRule="auto"/>
        <w:ind w:left="786"/>
        <w:rPr>
          <w:rFonts w:ascii="Times New Roman" w:hAnsi="Times New Roman"/>
          <w:sz w:val="24"/>
        </w:rPr>
      </w:pPr>
      <w:r>
        <w:rPr>
          <w:rFonts w:ascii="Times New Roman" w:hAnsi="Times New Roman"/>
          <w:sz w:val="24"/>
        </w:rPr>
        <w:t>L’existence d’une décote ou d’une surcote propre à la conversion de ces créances peut être prévu.</w:t>
      </w:r>
    </w:p>
    <w:p w:rsidR="008064D7" w:rsidRDefault="008064D7" w:rsidP="00C5362F">
      <w:pPr>
        <w:pStyle w:val="Paragraphedeliste"/>
        <w:spacing w:line="240" w:lineRule="auto"/>
        <w:ind w:left="786"/>
        <w:rPr>
          <w:rFonts w:ascii="Times New Roman" w:hAnsi="Times New Roman"/>
          <w:sz w:val="24"/>
        </w:rPr>
      </w:pPr>
    </w:p>
    <w:p w:rsidR="008064D7" w:rsidRDefault="008064D7" w:rsidP="005A6BA7">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La décote ou la surcote de restructuration </w:t>
      </w:r>
      <w:r>
        <w:rPr>
          <w:rFonts w:ascii="Times New Roman" w:hAnsi="Times New Roman"/>
          <w:sz w:val="24"/>
        </w:rPr>
        <w:t>doit être intégrée selon, d’une part, la sensibilité de l’entreprise aux réactions critiques ou sceptiques des fournisseurs, des clients ou des financiers ou, d’autre part, à l’effet positif attendu sur le marché de la restructuration économique.</w:t>
      </w:r>
    </w:p>
    <w:p w:rsidR="008064D7" w:rsidRDefault="008064D7" w:rsidP="009D6BBA">
      <w:pPr>
        <w:spacing w:line="240" w:lineRule="auto"/>
        <w:rPr>
          <w:rFonts w:ascii="Times New Roman" w:hAnsi="Times New Roman"/>
          <w:sz w:val="24"/>
        </w:rPr>
      </w:pPr>
    </w:p>
    <w:p w:rsidR="008064D7" w:rsidRPr="00235E93" w:rsidRDefault="008064D7" w:rsidP="00D17D4E">
      <w:pPr>
        <w:pStyle w:val="Titre2"/>
        <w:numPr>
          <w:ilvl w:val="0"/>
          <w:numId w:val="45"/>
        </w:numPr>
        <w:spacing w:before="0" w:line="240" w:lineRule="auto"/>
        <w:rPr>
          <w:rFonts w:ascii="Times New Roman" w:hAnsi="Times New Roman" w:cs="Times New Roman"/>
        </w:rPr>
      </w:pPr>
      <w:bookmarkStart w:id="47" w:name="_Toc55407492"/>
      <w:r>
        <w:rPr>
          <w:rFonts w:ascii="Times New Roman" w:hAnsi="Times New Roman" w:cs="Times New Roman"/>
        </w:rPr>
        <w:lastRenderedPageBreak/>
        <w:t>Traitement selon la directive</w:t>
      </w:r>
      <w:bookmarkEnd w:id="47"/>
      <w:r>
        <w:rPr>
          <w:rFonts w:ascii="Times New Roman" w:hAnsi="Times New Roman" w:cs="Times New Roman"/>
        </w:rPr>
        <w:t xml:space="preserve"> </w:t>
      </w:r>
    </w:p>
    <w:p w:rsidR="008064D7" w:rsidRPr="00AA004E" w:rsidRDefault="008064D7" w:rsidP="00AA004E">
      <w:pPr>
        <w:spacing w:line="240" w:lineRule="auto"/>
        <w:rPr>
          <w:rFonts w:ascii="Times New Roman" w:hAnsi="Times New Roman"/>
          <w:sz w:val="24"/>
        </w:rPr>
      </w:pPr>
    </w:p>
    <w:p w:rsidR="00D17D4E" w:rsidRPr="00D17D4E" w:rsidRDefault="00D17D4E" w:rsidP="00D17D4E">
      <w:pPr>
        <w:pStyle w:val="Paragraphedeliste"/>
        <w:numPr>
          <w:ilvl w:val="0"/>
          <w:numId w:val="2"/>
        </w:numPr>
        <w:spacing w:line="240" w:lineRule="auto"/>
        <w:ind w:hanging="567"/>
        <w:rPr>
          <w:rFonts w:ascii="Times New Roman" w:hAnsi="Times New Roman"/>
          <w:sz w:val="24"/>
          <w:u w:val="single"/>
        </w:rPr>
      </w:pPr>
      <w:r>
        <w:rPr>
          <w:rFonts w:ascii="Times New Roman" w:hAnsi="Times New Roman"/>
          <w:sz w:val="24"/>
          <w:u w:val="single"/>
        </w:rPr>
        <w:t>1</w:t>
      </w:r>
      <w:r w:rsidRPr="00D17D4E">
        <w:rPr>
          <w:rFonts w:ascii="Times New Roman" w:hAnsi="Times New Roman"/>
          <w:sz w:val="24"/>
          <w:u w:val="single"/>
          <w:vertAlign w:val="superscript"/>
        </w:rPr>
        <w:t>ère</w:t>
      </w:r>
      <w:r>
        <w:rPr>
          <w:rFonts w:ascii="Times New Roman" w:hAnsi="Times New Roman"/>
          <w:sz w:val="24"/>
          <w:u w:val="single"/>
        </w:rPr>
        <w:t xml:space="preserve"> solution de la directive : les actionnaires peuvent être en classes</w:t>
      </w:r>
      <w:r w:rsidR="008064D7">
        <w:rPr>
          <w:rFonts w:ascii="Times New Roman" w:hAnsi="Times New Roman"/>
          <w:sz w:val="24"/>
          <w:u w:val="single"/>
        </w:rPr>
        <w:t>.</w:t>
      </w:r>
      <w:r w:rsidR="008064D7">
        <w:rPr>
          <w:rFonts w:ascii="Times New Roman" w:hAnsi="Times New Roman"/>
          <w:sz w:val="24"/>
        </w:rPr>
        <w:t xml:space="preserve"> La </w:t>
      </w:r>
      <w:r w:rsidR="008064D7" w:rsidRPr="006B2D8A">
        <w:rPr>
          <w:rFonts w:ascii="Times New Roman" w:hAnsi="Times New Roman"/>
          <w:sz w:val="24"/>
        </w:rPr>
        <w:t>directive n’empêche pas</w:t>
      </w:r>
      <w:r w:rsidR="008064D7">
        <w:rPr>
          <w:rStyle w:val="Appelnotedebasdep"/>
          <w:rFonts w:ascii="Times New Roman" w:hAnsi="Times New Roman"/>
          <w:sz w:val="24"/>
        </w:rPr>
        <w:footnoteReference w:id="330"/>
      </w:r>
      <w:r w:rsidR="008064D7" w:rsidRPr="006B2D8A">
        <w:rPr>
          <w:rFonts w:ascii="Times New Roman" w:hAnsi="Times New Roman"/>
          <w:sz w:val="24"/>
        </w:rPr>
        <w:t xml:space="preserve"> les débiteurs de prévoir dans leurs plans que les actionnaires constituent une classe de créanciers. </w:t>
      </w:r>
    </w:p>
    <w:p w:rsidR="00D17D4E" w:rsidRDefault="00D17D4E" w:rsidP="00D17D4E">
      <w:pPr>
        <w:pStyle w:val="Paragraphedeliste"/>
        <w:spacing w:line="240" w:lineRule="auto"/>
        <w:ind w:left="786"/>
        <w:rPr>
          <w:rFonts w:ascii="Times New Roman" w:hAnsi="Times New Roman"/>
          <w:sz w:val="24"/>
          <w:u w:val="single"/>
        </w:rPr>
      </w:pPr>
    </w:p>
    <w:p w:rsidR="00D17D4E" w:rsidRDefault="008064D7" w:rsidP="00D17D4E">
      <w:pPr>
        <w:pStyle w:val="Paragraphedeliste"/>
        <w:spacing w:line="240" w:lineRule="auto"/>
        <w:ind w:left="786"/>
        <w:rPr>
          <w:rFonts w:ascii="Times New Roman" w:hAnsi="Times New Roman"/>
          <w:sz w:val="24"/>
        </w:rPr>
      </w:pPr>
      <w:r w:rsidRPr="006B2D8A">
        <w:rPr>
          <w:rFonts w:ascii="Times New Roman" w:hAnsi="Times New Roman"/>
          <w:sz w:val="24"/>
        </w:rPr>
        <w:t>Ce principe n’était pas retenu à l’origine du texte tant il pouvait apparaître contraire à de nombreuses législations nationales puisque de nombreux Etats protègent la propriété et ainsi le droit des actionnaires. Il a été</w:t>
      </w:r>
      <w:r>
        <w:rPr>
          <w:rFonts w:ascii="Times New Roman" w:hAnsi="Times New Roman"/>
          <w:sz w:val="24"/>
        </w:rPr>
        <w:t>,</w:t>
      </w:r>
      <w:r w:rsidRPr="006B2D8A">
        <w:rPr>
          <w:rFonts w:ascii="Times New Roman" w:hAnsi="Times New Roman"/>
          <w:sz w:val="24"/>
        </w:rPr>
        <w:t xml:space="preserve"> </w:t>
      </w:r>
      <w:r>
        <w:rPr>
          <w:rFonts w:ascii="Times New Roman" w:hAnsi="Times New Roman"/>
          <w:sz w:val="24"/>
        </w:rPr>
        <w:t>in fine,</w:t>
      </w:r>
      <w:r w:rsidRPr="006B2D8A">
        <w:rPr>
          <w:rFonts w:ascii="Times New Roman" w:hAnsi="Times New Roman"/>
          <w:sz w:val="24"/>
        </w:rPr>
        <w:t xml:space="preserve"> retenu en estimant que le législateur national devrait revoir les limites concrètes de ces libertés constitutionnelles au regard des objectifs d’ordre public de la directive.</w:t>
      </w:r>
      <w:r>
        <w:rPr>
          <w:rFonts w:ascii="Times New Roman" w:hAnsi="Times New Roman"/>
          <w:sz w:val="24"/>
        </w:rPr>
        <w:t xml:space="preserve"> </w:t>
      </w:r>
    </w:p>
    <w:p w:rsidR="00D17D4E" w:rsidRDefault="00D17D4E" w:rsidP="00D17D4E">
      <w:pPr>
        <w:pStyle w:val="Paragraphedeliste"/>
        <w:spacing w:line="240" w:lineRule="auto"/>
        <w:ind w:left="786"/>
        <w:rPr>
          <w:rFonts w:ascii="Times New Roman" w:hAnsi="Times New Roman"/>
          <w:sz w:val="24"/>
        </w:rPr>
      </w:pPr>
    </w:p>
    <w:p w:rsidR="008064D7" w:rsidRPr="006B2D8A" w:rsidRDefault="008064D7" w:rsidP="00D17D4E">
      <w:pPr>
        <w:pStyle w:val="Paragraphedeliste"/>
        <w:spacing w:line="240" w:lineRule="auto"/>
        <w:ind w:left="786"/>
        <w:rPr>
          <w:rFonts w:ascii="Times New Roman" w:hAnsi="Times New Roman"/>
          <w:sz w:val="24"/>
          <w:u w:val="single"/>
        </w:rPr>
      </w:pPr>
      <w:r w:rsidRPr="006B2D8A">
        <w:rPr>
          <w:rFonts w:ascii="Times New Roman" w:hAnsi="Times New Roman"/>
          <w:sz w:val="24"/>
        </w:rPr>
        <w:t>La directive prévoit aussi que, si les actionnaires ne peuvent pas être une classe en droit national</w:t>
      </w:r>
      <w:r>
        <w:rPr>
          <w:rStyle w:val="Appelnotedebasdep"/>
          <w:rFonts w:ascii="Times New Roman" w:hAnsi="Times New Roman"/>
          <w:sz w:val="24"/>
        </w:rPr>
        <w:footnoteReference w:id="331"/>
      </w:r>
      <w:r w:rsidRPr="006B2D8A">
        <w:rPr>
          <w:rFonts w:ascii="Times New Roman" w:hAnsi="Times New Roman"/>
          <w:sz w:val="24"/>
        </w:rPr>
        <w:t>, la loi doit prévoir des mesures pour prévenir ou empêcher les actions déraisonnables de leur part pour adopter, confirmer ou implémenter ce plan</w:t>
      </w:r>
      <w:r>
        <w:rPr>
          <w:rStyle w:val="Appelnotedebasdep"/>
          <w:rFonts w:ascii="Times New Roman" w:hAnsi="Times New Roman"/>
          <w:sz w:val="24"/>
        </w:rPr>
        <w:footnoteReference w:id="332"/>
      </w:r>
      <w:r w:rsidRPr="006B2D8A">
        <w:rPr>
          <w:rFonts w:ascii="Times New Roman" w:hAnsi="Times New Roman"/>
          <w:sz w:val="24"/>
        </w:rPr>
        <w:t xml:space="preserve">. </w:t>
      </w:r>
    </w:p>
    <w:p w:rsidR="008064D7" w:rsidRDefault="008064D7" w:rsidP="008F5D08">
      <w:pPr>
        <w:pStyle w:val="Paragraphedeliste"/>
        <w:spacing w:line="240" w:lineRule="auto"/>
        <w:ind w:left="786"/>
        <w:rPr>
          <w:rFonts w:ascii="Times New Roman" w:hAnsi="Times New Roman"/>
          <w:sz w:val="24"/>
          <w:u w:val="single"/>
        </w:rPr>
      </w:pPr>
    </w:p>
    <w:p w:rsidR="008064D7" w:rsidRDefault="008064D7" w:rsidP="008F5D08">
      <w:pPr>
        <w:pStyle w:val="Paragraphedeliste"/>
        <w:spacing w:line="240" w:lineRule="auto"/>
        <w:ind w:left="786"/>
        <w:rPr>
          <w:rFonts w:ascii="Times New Roman" w:hAnsi="Times New Roman"/>
          <w:sz w:val="24"/>
        </w:rPr>
      </w:pPr>
      <w:r>
        <w:rPr>
          <w:rFonts w:ascii="Times New Roman" w:hAnsi="Times New Roman"/>
          <w:sz w:val="24"/>
        </w:rPr>
        <w:t>Comme nous le verrons</w:t>
      </w:r>
      <w:r w:rsidR="00D17D4E">
        <w:rPr>
          <w:rFonts w:ascii="Times New Roman" w:hAnsi="Times New Roman"/>
          <w:sz w:val="24"/>
        </w:rPr>
        <w:t>, l</w:t>
      </w:r>
      <w:r w:rsidRPr="006B2D8A">
        <w:rPr>
          <w:rFonts w:ascii="Times New Roman" w:hAnsi="Times New Roman"/>
          <w:sz w:val="24"/>
        </w:rPr>
        <w:t>es dirigeants</w:t>
      </w:r>
      <w:r>
        <w:rPr>
          <w:rStyle w:val="Appelnotedebasdep"/>
          <w:rFonts w:ascii="Times New Roman" w:hAnsi="Times New Roman"/>
          <w:sz w:val="24"/>
        </w:rPr>
        <w:footnoteReference w:id="333"/>
      </w:r>
      <w:r>
        <w:t xml:space="preserve"> </w:t>
      </w:r>
      <w:r w:rsidRPr="006B2D8A">
        <w:rPr>
          <w:rFonts w:ascii="Times New Roman" w:hAnsi="Times New Roman"/>
          <w:sz w:val="24"/>
        </w:rPr>
        <w:t xml:space="preserve">ont l’obligation de </w:t>
      </w:r>
      <w:r w:rsidR="00D17D4E">
        <w:rPr>
          <w:rFonts w:ascii="Times New Roman" w:hAnsi="Times New Roman"/>
          <w:sz w:val="24"/>
        </w:rPr>
        <w:t>faire</w:t>
      </w:r>
      <w:r w:rsidRPr="006B2D8A">
        <w:rPr>
          <w:rFonts w:ascii="Times New Roman" w:hAnsi="Times New Roman"/>
          <w:sz w:val="24"/>
        </w:rPr>
        <w:t xml:space="preserve"> attention aux intérêts des créanciers</w:t>
      </w:r>
      <w:r>
        <w:rPr>
          <w:rFonts w:ascii="Times New Roman" w:hAnsi="Times New Roman"/>
          <w:sz w:val="24"/>
        </w:rPr>
        <w:t xml:space="preserve"> et aussi</w:t>
      </w:r>
      <w:r w:rsidRPr="006B2D8A">
        <w:rPr>
          <w:rFonts w:ascii="Times New Roman" w:hAnsi="Times New Roman"/>
          <w:sz w:val="24"/>
        </w:rPr>
        <w:t xml:space="preserve"> des </w:t>
      </w:r>
      <w:r>
        <w:rPr>
          <w:rFonts w:ascii="Times New Roman" w:hAnsi="Times New Roman"/>
          <w:sz w:val="24"/>
        </w:rPr>
        <w:t xml:space="preserve">autres détenteurs d’intérêts, </w:t>
      </w:r>
      <w:r w:rsidRPr="006B2D8A">
        <w:rPr>
          <w:rFonts w:ascii="Times New Roman" w:hAnsi="Times New Roman"/>
          <w:sz w:val="24"/>
        </w:rPr>
        <w:t xml:space="preserve">actionnaires </w:t>
      </w:r>
      <w:r>
        <w:rPr>
          <w:rFonts w:ascii="Times New Roman" w:hAnsi="Times New Roman"/>
          <w:sz w:val="24"/>
        </w:rPr>
        <w:t>et</w:t>
      </w:r>
      <w:r w:rsidRPr="006B2D8A">
        <w:rPr>
          <w:rFonts w:ascii="Times New Roman" w:hAnsi="Times New Roman"/>
          <w:sz w:val="24"/>
        </w:rPr>
        <w:t xml:space="preserve"> des autres parties prenantes, de prendre les mesures pour éviter la faillite, d’éviter les négligences importantes qui mettent en cause la viabilité de l’activité. C’est eux qui doivent prévoir dans le plan que les actionnaires sont repris comme une classe de créanciers ou mettre en œuvre les actions qui empêchent les actionnaires d’agir de manière déraisonnable.</w:t>
      </w:r>
    </w:p>
    <w:p w:rsidR="008064D7" w:rsidRDefault="008064D7" w:rsidP="008F5D08">
      <w:pPr>
        <w:pStyle w:val="Paragraphedeliste"/>
        <w:spacing w:line="240" w:lineRule="auto"/>
        <w:ind w:left="786"/>
        <w:rPr>
          <w:rFonts w:ascii="Times New Roman" w:hAnsi="Times New Roman"/>
          <w:sz w:val="24"/>
        </w:rPr>
      </w:pPr>
    </w:p>
    <w:p w:rsidR="008064D7" w:rsidRDefault="008064D7" w:rsidP="008F5D08">
      <w:pPr>
        <w:pStyle w:val="Paragraphedeliste"/>
        <w:spacing w:line="240" w:lineRule="auto"/>
        <w:ind w:left="786"/>
        <w:rPr>
          <w:rFonts w:ascii="Times New Roman" w:hAnsi="Times New Roman"/>
          <w:sz w:val="24"/>
        </w:rPr>
      </w:pPr>
      <w:r w:rsidRPr="006B2D8A">
        <w:rPr>
          <w:rFonts w:ascii="Times New Roman" w:hAnsi="Times New Roman"/>
          <w:sz w:val="24"/>
        </w:rPr>
        <w:t xml:space="preserve">Ceci n’exclut pas que la législation des États membres puisse protéger les intérêts légitimes des actionnaires ou d’autres détenteurs de capital. </w:t>
      </w:r>
      <w:r>
        <w:rPr>
          <w:rFonts w:ascii="Times New Roman" w:hAnsi="Times New Roman"/>
          <w:sz w:val="24"/>
        </w:rPr>
        <w:t xml:space="preserve"> La directive elle-même</w:t>
      </w:r>
      <w:r w:rsidRPr="006B2D8A">
        <w:rPr>
          <w:rFonts w:ascii="Times New Roman" w:hAnsi="Times New Roman"/>
          <w:sz w:val="24"/>
        </w:rPr>
        <w:t xml:space="preserve"> impose aux États membres de préparer un arsenal adapté à la législation nationale qui prive les actionnaires et détenteurs, souvent dans le cas de conversion de créance, de subordonner la survie des débiteurs ou de l’activité à la satisfaction de leurs intérêts égoïstes. Ils peuvent être privés du droit de vote sur le plan de restructuration ou ne plus pouvoir subordonner l’adoption du plan à leur accord, s’ils n’avaient aucun dividende en cas de liquidation</w:t>
      </w:r>
      <w:r>
        <w:rPr>
          <w:rStyle w:val="Appelnotedebasdep"/>
          <w:rFonts w:ascii="Times New Roman" w:hAnsi="Times New Roman"/>
          <w:sz w:val="24"/>
        </w:rPr>
        <w:footnoteReference w:id="334"/>
      </w:r>
      <w:r w:rsidRPr="006B2D8A">
        <w:rPr>
          <w:rFonts w:ascii="Times New Roman" w:hAnsi="Times New Roman"/>
          <w:sz w:val="24"/>
        </w:rPr>
        <w:t xml:space="preserve">. S’ils votent, le juge doit pouvoir prévoir une application interclasse nonobstant leur désaccord. </w:t>
      </w:r>
    </w:p>
    <w:p w:rsidR="008064D7" w:rsidRDefault="008064D7" w:rsidP="008F5D08">
      <w:pPr>
        <w:pStyle w:val="Paragraphedeliste"/>
        <w:spacing w:line="240" w:lineRule="auto"/>
        <w:ind w:left="786"/>
        <w:rPr>
          <w:rFonts w:ascii="Times New Roman" w:hAnsi="Times New Roman"/>
          <w:sz w:val="24"/>
        </w:rPr>
      </w:pPr>
    </w:p>
    <w:p w:rsidR="008064D7" w:rsidRDefault="008064D7" w:rsidP="008F5D08">
      <w:pPr>
        <w:pStyle w:val="Paragraphedeliste"/>
        <w:spacing w:line="240" w:lineRule="auto"/>
        <w:ind w:left="786"/>
        <w:rPr>
          <w:rFonts w:ascii="Times New Roman" w:hAnsi="Times New Roman"/>
          <w:sz w:val="24"/>
        </w:rPr>
      </w:pPr>
      <w:r w:rsidRPr="006B2D8A">
        <w:rPr>
          <w:rFonts w:ascii="Times New Roman" w:hAnsi="Times New Roman"/>
          <w:sz w:val="24"/>
        </w:rPr>
        <w:t xml:space="preserve">Les États membres peuvent aussi écarter la règle de la priorité absolue entre créanciers et détenteurs du capital. </w:t>
      </w:r>
    </w:p>
    <w:p w:rsidR="008064D7" w:rsidRDefault="008064D7" w:rsidP="008F5D08">
      <w:pPr>
        <w:pStyle w:val="Paragraphedeliste"/>
        <w:spacing w:line="240" w:lineRule="auto"/>
        <w:ind w:left="786"/>
        <w:rPr>
          <w:rFonts w:ascii="Times New Roman" w:hAnsi="Times New Roman"/>
          <w:sz w:val="24"/>
        </w:rPr>
      </w:pPr>
    </w:p>
    <w:p w:rsidR="008064D7" w:rsidRDefault="00D17D4E" w:rsidP="008F5D08">
      <w:pPr>
        <w:pStyle w:val="Paragraphedeliste"/>
        <w:spacing w:line="240" w:lineRule="auto"/>
        <w:ind w:left="786"/>
        <w:rPr>
          <w:rFonts w:ascii="Times New Roman" w:hAnsi="Times New Roman"/>
          <w:sz w:val="24"/>
        </w:rPr>
      </w:pPr>
      <w:r>
        <w:rPr>
          <w:rFonts w:ascii="Times New Roman" w:hAnsi="Times New Roman"/>
          <w:sz w:val="24"/>
        </w:rPr>
        <w:t>Les Etats</w:t>
      </w:r>
      <w:r w:rsidR="008064D7" w:rsidRPr="006B2D8A">
        <w:rPr>
          <w:rFonts w:ascii="Times New Roman" w:hAnsi="Times New Roman"/>
          <w:sz w:val="24"/>
        </w:rPr>
        <w:t xml:space="preserve"> pourraient changer les règles de majorité, voire les priver de ce droit sur les mesures de restructuration qui ne les affectent pas</w:t>
      </w:r>
      <w:r w:rsidR="008064D7">
        <w:rPr>
          <w:rStyle w:val="Appelnotedebasdep"/>
          <w:rFonts w:ascii="Times New Roman" w:hAnsi="Times New Roman"/>
          <w:sz w:val="24"/>
        </w:rPr>
        <w:footnoteReference w:id="335"/>
      </w:r>
      <w:r w:rsidR="008064D7" w:rsidRPr="006B2D8A">
        <w:rPr>
          <w:rFonts w:ascii="Times New Roman" w:hAnsi="Times New Roman"/>
          <w:sz w:val="24"/>
        </w:rPr>
        <w:t xml:space="preserve">. </w:t>
      </w:r>
    </w:p>
    <w:p w:rsidR="00D17D4E" w:rsidRDefault="00D17D4E" w:rsidP="008F5D08">
      <w:pPr>
        <w:pStyle w:val="Paragraphedeliste"/>
        <w:spacing w:line="240" w:lineRule="auto"/>
        <w:ind w:left="786"/>
        <w:rPr>
          <w:rFonts w:ascii="Times New Roman" w:hAnsi="Times New Roman"/>
          <w:sz w:val="24"/>
        </w:rPr>
      </w:pPr>
    </w:p>
    <w:p w:rsidR="008064D7" w:rsidRDefault="008064D7" w:rsidP="008F5D08">
      <w:pPr>
        <w:pStyle w:val="Paragraphedeliste"/>
        <w:spacing w:line="240" w:lineRule="auto"/>
        <w:ind w:left="786"/>
        <w:rPr>
          <w:rFonts w:ascii="Times New Roman" w:hAnsi="Times New Roman"/>
          <w:sz w:val="24"/>
        </w:rPr>
      </w:pPr>
      <w:r w:rsidRPr="006B2D8A">
        <w:rPr>
          <w:rFonts w:ascii="Times New Roman" w:hAnsi="Times New Roman"/>
          <w:sz w:val="24"/>
        </w:rPr>
        <w:t>Ils pourraient, pour les PME, écarter « </w:t>
      </w:r>
      <w:r w:rsidRPr="005A234F">
        <w:rPr>
          <w:rFonts w:ascii="Times New Roman" w:hAnsi="Times New Roman"/>
          <w:i/>
          <w:sz w:val="24"/>
        </w:rPr>
        <w:t>l’application forcée interclasse</w:t>
      </w:r>
      <w:r w:rsidRPr="006B2D8A">
        <w:rPr>
          <w:rFonts w:ascii="Times New Roman" w:hAnsi="Times New Roman"/>
          <w:sz w:val="24"/>
        </w:rPr>
        <w:t xml:space="preserve"> ». </w:t>
      </w:r>
    </w:p>
    <w:p w:rsidR="008064D7" w:rsidRDefault="008064D7" w:rsidP="008F5D08">
      <w:pPr>
        <w:pStyle w:val="Paragraphedeliste"/>
        <w:spacing w:line="240" w:lineRule="auto"/>
        <w:ind w:left="786"/>
        <w:rPr>
          <w:rFonts w:ascii="Times New Roman" w:hAnsi="Times New Roman"/>
          <w:sz w:val="24"/>
        </w:rPr>
      </w:pPr>
    </w:p>
    <w:p w:rsidR="008064D7" w:rsidRDefault="007B5B26" w:rsidP="008F5D08">
      <w:pPr>
        <w:pStyle w:val="Paragraphedeliste"/>
        <w:spacing w:line="240" w:lineRule="auto"/>
        <w:ind w:left="786"/>
        <w:rPr>
          <w:rFonts w:ascii="Times New Roman" w:hAnsi="Times New Roman"/>
          <w:sz w:val="24"/>
          <w:u w:val="single"/>
        </w:rPr>
      </w:pPr>
      <w:r>
        <w:rPr>
          <w:rFonts w:ascii="Times New Roman" w:hAnsi="Times New Roman"/>
          <w:sz w:val="24"/>
        </w:rPr>
        <w:lastRenderedPageBreak/>
        <w:t xml:space="preserve">Cette solution est pertinente. </w:t>
      </w:r>
      <w:r w:rsidR="008064D7" w:rsidRPr="00BC3943">
        <w:rPr>
          <w:rFonts w:ascii="Times New Roman" w:hAnsi="Times New Roman"/>
          <w:sz w:val="24"/>
        </w:rPr>
        <w:t>Dans les grosses restructurations, la seule solution à l’importance de l’endettement est la conversion de créances en actions</w:t>
      </w:r>
      <w:r w:rsidR="008064D7">
        <w:rPr>
          <w:rStyle w:val="Appelnotedebasdep"/>
          <w:rFonts w:ascii="Times New Roman" w:hAnsi="Times New Roman"/>
          <w:sz w:val="24"/>
        </w:rPr>
        <w:footnoteReference w:id="336"/>
      </w:r>
      <w:r w:rsidR="008064D7" w:rsidRPr="00BC3943">
        <w:rPr>
          <w:rFonts w:ascii="Times New Roman" w:hAnsi="Times New Roman"/>
          <w:sz w:val="24"/>
        </w:rPr>
        <w:t>.  Cette conversion est rendue impossible en droit des sociétés sans l’accord des actionnaires qui peuvent donc empêcher ou monnayer ce qui relève pourtant de l’intérêt social. En permettant la création d’une classe d’actionnaires, la directive permet de rendre le plan</w:t>
      </w:r>
      <w:r>
        <w:rPr>
          <w:rFonts w:ascii="Times New Roman" w:hAnsi="Times New Roman"/>
          <w:sz w:val="24"/>
        </w:rPr>
        <w:t>,</w:t>
      </w:r>
      <w:r w:rsidR="008064D7" w:rsidRPr="00BC3943">
        <w:rPr>
          <w:rFonts w:ascii="Times New Roman" w:hAnsi="Times New Roman"/>
          <w:sz w:val="24"/>
        </w:rPr>
        <w:t xml:space="preserve"> qui prévoit une telle conversion</w:t>
      </w:r>
      <w:r>
        <w:rPr>
          <w:rFonts w:ascii="Times New Roman" w:hAnsi="Times New Roman"/>
          <w:sz w:val="24"/>
        </w:rPr>
        <w:t>,</w:t>
      </w:r>
      <w:r w:rsidR="008064D7" w:rsidRPr="00BC3943">
        <w:rPr>
          <w:rFonts w:ascii="Times New Roman" w:hAnsi="Times New Roman"/>
          <w:sz w:val="24"/>
        </w:rPr>
        <w:t xml:space="preserve"> obligatoire à l’occasion de la confirmation cross class. Cette méthode est très prisée aux Etats-Unis et par la loi allemande</w:t>
      </w:r>
      <w:r w:rsidR="008064D7">
        <w:rPr>
          <w:rStyle w:val="Appelnotedebasdep"/>
          <w:rFonts w:ascii="Times New Roman" w:hAnsi="Times New Roman"/>
          <w:sz w:val="24"/>
        </w:rPr>
        <w:footnoteReference w:id="337"/>
      </w:r>
      <w:r w:rsidR="008064D7" w:rsidRPr="00BC3943">
        <w:rPr>
          <w:rFonts w:ascii="Times New Roman" w:hAnsi="Times New Roman"/>
          <w:sz w:val="24"/>
        </w:rPr>
        <w:t>.</w:t>
      </w:r>
    </w:p>
    <w:p w:rsidR="008064D7" w:rsidRPr="00AA004E" w:rsidRDefault="008064D7" w:rsidP="00AA004E">
      <w:pPr>
        <w:spacing w:line="240" w:lineRule="auto"/>
        <w:rPr>
          <w:rFonts w:ascii="Times New Roman" w:hAnsi="Times New Roman"/>
          <w:sz w:val="24"/>
        </w:rPr>
      </w:pPr>
    </w:p>
    <w:p w:rsidR="008064D7" w:rsidRPr="00BA74CA" w:rsidRDefault="007B5B26" w:rsidP="00D17D4E">
      <w:pPr>
        <w:pStyle w:val="Paragraphedeliste"/>
        <w:numPr>
          <w:ilvl w:val="0"/>
          <w:numId w:val="2"/>
        </w:numPr>
        <w:spacing w:line="240" w:lineRule="auto"/>
        <w:ind w:hanging="567"/>
        <w:rPr>
          <w:rFonts w:ascii="Times New Roman" w:hAnsi="Times New Roman"/>
          <w:sz w:val="24"/>
          <w:u w:val="single"/>
        </w:rPr>
      </w:pPr>
      <w:r>
        <w:rPr>
          <w:rFonts w:ascii="Times New Roman" w:hAnsi="Times New Roman"/>
          <w:sz w:val="24"/>
          <w:u w:val="single"/>
        </w:rPr>
        <w:t>La New Value : l</w:t>
      </w:r>
      <w:r w:rsidR="008064D7">
        <w:rPr>
          <w:rFonts w:ascii="Times New Roman" w:hAnsi="Times New Roman"/>
          <w:sz w:val="24"/>
          <w:u w:val="single"/>
        </w:rPr>
        <w:t>’article 11 2° énonce « </w:t>
      </w:r>
      <w:r w:rsidR="008064D7" w:rsidRPr="00BA74CA">
        <w:rPr>
          <w:rFonts w:ascii="Times New Roman" w:hAnsi="Times New Roman"/>
          <w:i/>
          <w:sz w:val="24"/>
        </w:rPr>
        <w:t>Par dérogation au paragraphe 1, point c), les États membres peuvent prévoir que les créances des créanciers affectés d'une classe dissidente autorisée à voter sont intégralement désintéressées par des moyens identiques ou équivalents lorsqu'une classe de rang inférieur a droit à un paiement ou conserve un intéressement dans le c</w:t>
      </w:r>
      <w:r w:rsidR="008064D7">
        <w:rPr>
          <w:rFonts w:ascii="Times New Roman" w:hAnsi="Times New Roman"/>
          <w:i/>
          <w:sz w:val="24"/>
        </w:rPr>
        <w:t>adre du plan de restructuration »</w:t>
      </w:r>
    </w:p>
    <w:p w:rsidR="008064D7" w:rsidRDefault="008064D7" w:rsidP="00BA74CA">
      <w:pPr>
        <w:pStyle w:val="Paragraphedeliste"/>
        <w:spacing w:line="240" w:lineRule="auto"/>
        <w:ind w:left="786"/>
        <w:rPr>
          <w:rFonts w:ascii="Times New Roman" w:hAnsi="Times New Roman"/>
          <w:sz w:val="24"/>
          <w:u w:val="single"/>
        </w:rPr>
      </w:pPr>
    </w:p>
    <w:p w:rsidR="00D17D4E" w:rsidRDefault="00D17D4E" w:rsidP="00D17D4E">
      <w:pPr>
        <w:pStyle w:val="Paragraphedeliste"/>
        <w:spacing w:line="240" w:lineRule="auto"/>
        <w:ind w:left="786"/>
        <w:rPr>
          <w:rFonts w:ascii="Times New Roman" w:hAnsi="Times New Roman"/>
          <w:sz w:val="24"/>
        </w:rPr>
      </w:pPr>
      <w:r>
        <w:rPr>
          <w:rFonts w:ascii="Times New Roman" w:hAnsi="Times New Roman"/>
          <w:sz w:val="24"/>
        </w:rPr>
        <w:t>Mais surtout, les Etats</w:t>
      </w:r>
      <w:r w:rsidRPr="006B2D8A">
        <w:rPr>
          <w:rFonts w:ascii="Times New Roman" w:hAnsi="Times New Roman"/>
          <w:sz w:val="24"/>
        </w:rPr>
        <w:t xml:space="preserve"> pourraient permettre aux détenteurs de capital dans les PME d’apporter des contributions non</w:t>
      </w:r>
      <w:r>
        <w:rPr>
          <w:rFonts w:ascii="Times New Roman" w:hAnsi="Times New Roman"/>
          <w:sz w:val="24"/>
        </w:rPr>
        <w:t>-</w:t>
      </w:r>
      <w:r w:rsidRPr="006B2D8A">
        <w:rPr>
          <w:rFonts w:ascii="Times New Roman" w:hAnsi="Times New Roman"/>
          <w:sz w:val="24"/>
        </w:rPr>
        <w:t>monétaires à la restructuration (savoir-</w:t>
      </w:r>
      <w:r w:rsidRPr="007C17D3">
        <w:rPr>
          <w:rFonts w:ascii="Times New Roman" w:hAnsi="Times New Roman"/>
          <w:i/>
          <w:sz w:val="24"/>
        </w:rPr>
        <w:t>Fair</w:t>
      </w:r>
      <w:r w:rsidRPr="006B2D8A">
        <w:rPr>
          <w:rFonts w:ascii="Times New Roman" w:hAnsi="Times New Roman"/>
          <w:sz w:val="24"/>
        </w:rPr>
        <w:t xml:space="preserve">e, industrie, contact, goodwill, …). </w:t>
      </w:r>
      <w:r w:rsidR="007B5B26">
        <w:rPr>
          <w:rFonts w:ascii="Times New Roman" w:hAnsi="Times New Roman"/>
          <w:sz w:val="24"/>
        </w:rPr>
        <w:t>C’est l’application de la théorie américaine de la New value.</w:t>
      </w:r>
    </w:p>
    <w:p w:rsidR="008064D7" w:rsidRDefault="008064D7" w:rsidP="00BA74CA">
      <w:pPr>
        <w:pStyle w:val="Paragraphedeliste"/>
        <w:spacing w:line="240" w:lineRule="auto"/>
        <w:ind w:left="786"/>
        <w:rPr>
          <w:rFonts w:ascii="Times New Roman" w:hAnsi="Times New Roman"/>
          <w:sz w:val="24"/>
          <w:u w:val="single"/>
        </w:rPr>
      </w:pPr>
    </w:p>
    <w:p w:rsidR="008064D7" w:rsidRDefault="008064D7" w:rsidP="009A671B">
      <w:pPr>
        <w:pStyle w:val="Paragraphedeliste"/>
        <w:numPr>
          <w:ilvl w:val="0"/>
          <w:numId w:val="2"/>
        </w:numPr>
        <w:spacing w:line="240" w:lineRule="auto"/>
        <w:ind w:hanging="567"/>
        <w:rPr>
          <w:rFonts w:ascii="Times New Roman" w:hAnsi="Times New Roman"/>
          <w:sz w:val="24"/>
        </w:rPr>
      </w:pPr>
      <w:r w:rsidRPr="0091567C">
        <w:rPr>
          <w:rFonts w:ascii="Times New Roman" w:hAnsi="Times New Roman"/>
          <w:sz w:val="24"/>
          <w:u w:val="single"/>
        </w:rPr>
        <w:t xml:space="preserve">L’analyse des dossiers français est </w:t>
      </w:r>
      <w:r w:rsidR="007B5B26" w:rsidRPr="0091567C">
        <w:rPr>
          <w:rFonts w:ascii="Times New Roman" w:hAnsi="Times New Roman"/>
          <w:sz w:val="24"/>
        </w:rPr>
        <w:t xml:space="preserve">intéressante. </w:t>
      </w:r>
      <w:r w:rsidRPr="0091567C">
        <w:rPr>
          <w:rFonts w:ascii="Times New Roman" w:hAnsi="Times New Roman"/>
          <w:sz w:val="24"/>
        </w:rPr>
        <w:t xml:space="preserve">Le cas de CGG est </w:t>
      </w:r>
      <w:r w:rsidR="0091567C">
        <w:rPr>
          <w:rFonts w:ascii="Times New Roman" w:hAnsi="Times New Roman"/>
          <w:sz w:val="24"/>
        </w:rPr>
        <w:t>particulièrement</w:t>
      </w:r>
      <w:r w:rsidRPr="0091567C">
        <w:rPr>
          <w:rFonts w:ascii="Times New Roman" w:hAnsi="Times New Roman"/>
          <w:sz w:val="24"/>
        </w:rPr>
        <w:t xml:space="preserve"> pertinent : la réduction de dette a été de 1.750 millions et le droit des actionnaires réduit à 3.2% pour ceux qui n’ont pas suivi l’augmentation de capital contre 21.8% pour ceux qui l’ont suivie. Cette situation est le résultat d’une valorisation d’entreprise que l’Autorité de marché Financier a souhaité voire accréditée par un expert </w:t>
      </w:r>
      <w:r w:rsidR="007B5B26" w:rsidRPr="0091567C">
        <w:rPr>
          <w:rFonts w:ascii="Times New Roman" w:hAnsi="Times New Roman"/>
          <w:sz w:val="24"/>
        </w:rPr>
        <w:t>indépendant,</w:t>
      </w:r>
      <w:r w:rsidRPr="0091567C">
        <w:rPr>
          <w:rFonts w:ascii="Times New Roman" w:hAnsi="Times New Roman"/>
          <w:sz w:val="24"/>
        </w:rPr>
        <w:t xml:space="preserve"> par l’usage de la loi Macron en matière de droit </w:t>
      </w:r>
      <w:r w:rsidR="0091567C" w:rsidRPr="0091567C">
        <w:rPr>
          <w:rFonts w:ascii="Times New Roman" w:hAnsi="Times New Roman"/>
          <w:sz w:val="24"/>
        </w:rPr>
        <w:t>réduit</w:t>
      </w:r>
      <w:r w:rsidRPr="0091567C">
        <w:rPr>
          <w:rFonts w:ascii="Times New Roman" w:hAnsi="Times New Roman"/>
          <w:sz w:val="24"/>
        </w:rPr>
        <w:t xml:space="preserve"> des actionnaires qui a permis de trouver la majorité requise et du rôle des acteurs de préinsolvency dans le cadre d’une procédure coordonnée sous le chapter 15 avec le juge Américain</w:t>
      </w:r>
      <w:r w:rsidR="0091567C">
        <w:rPr>
          <w:rFonts w:ascii="Times New Roman" w:hAnsi="Times New Roman"/>
          <w:sz w:val="24"/>
        </w:rPr>
        <w:t>.</w:t>
      </w:r>
    </w:p>
    <w:p w:rsidR="0091567C" w:rsidRDefault="0091567C" w:rsidP="0091567C">
      <w:pPr>
        <w:pStyle w:val="Paragraphedeliste"/>
        <w:spacing w:line="240" w:lineRule="auto"/>
        <w:ind w:left="786"/>
        <w:rPr>
          <w:rFonts w:ascii="Times New Roman" w:hAnsi="Times New Roman"/>
          <w:sz w:val="24"/>
          <w:u w:val="single"/>
        </w:rPr>
      </w:pPr>
    </w:p>
    <w:p w:rsidR="0091567C" w:rsidRPr="0091567C" w:rsidRDefault="0091567C" w:rsidP="0091567C">
      <w:pPr>
        <w:pStyle w:val="Titre2"/>
        <w:numPr>
          <w:ilvl w:val="0"/>
          <w:numId w:val="45"/>
        </w:numPr>
        <w:spacing w:before="0" w:line="240" w:lineRule="auto"/>
        <w:rPr>
          <w:rFonts w:ascii="Times New Roman" w:hAnsi="Times New Roman" w:cs="Times New Roman"/>
        </w:rPr>
      </w:pPr>
      <w:bookmarkStart w:id="48" w:name="_Toc55407493"/>
      <w:r w:rsidRPr="0091567C">
        <w:rPr>
          <w:rFonts w:ascii="Times New Roman" w:hAnsi="Times New Roman" w:cs="Times New Roman"/>
        </w:rPr>
        <w:t>Conclusion provisoire</w:t>
      </w:r>
      <w:bookmarkEnd w:id="48"/>
    </w:p>
    <w:p w:rsidR="008064D7" w:rsidRPr="00B53148" w:rsidRDefault="008064D7" w:rsidP="00B53148">
      <w:pPr>
        <w:pStyle w:val="Paragraphedeliste"/>
        <w:spacing w:line="240" w:lineRule="auto"/>
        <w:ind w:left="786"/>
        <w:rPr>
          <w:rFonts w:ascii="Times New Roman" w:hAnsi="Times New Roman"/>
          <w:sz w:val="24"/>
        </w:rPr>
      </w:pPr>
    </w:p>
    <w:p w:rsidR="008064D7" w:rsidRDefault="0091567C" w:rsidP="007B5B26">
      <w:pPr>
        <w:pStyle w:val="Paragraphedeliste"/>
        <w:numPr>
          <w:ilvl w:val="0"/>
          <w:numId w:val="2"/>
        </w:numPr>
        <w:spacing w:line="240" w:lineRule="auto"/>
        <w:ind w:hanging="567"/>
        <w:rPr>
          <w:rFonts w:ascii="Times New Roman" w:hAnsi="Times New Roman"/>
          <w:sz w:val="24"/>
        </w:rPr>
      </w:pPr>
      <w:r w:rsidRPr="0091567C">
        <w:rPr>
          <w:rFonts w:ascii="Times New Roman" w:hAnsi="Times New Roman"/>
          <w:sz w:val="24"/>
        </w:rPr>
        <w:t>La</w:t>
      </w:r>
      <w:r w:rsidR="008064D7">
        <w:rPr>
          <w:rFonts w:ascii="Times New Roman" w:hAnsi="Times New Roman"/>
          <w:sz w:val="24"/>
        </w:rPr>
        <w:t xml:space="preserve"> conversion est une opération complexe qui peut conduire à des contentieux encore plus complexes de valeur. Il faut établir en fait les éléments créant des avantages différenciés anormaux et spécifiques. Une clarification des conditions de la conversion s’impose. Le texte actuel ne contient rien de contraire à la directive, mais rien non plus d’en soi compatible. La conversion est une des mesures que la directive envisage.</w:t>
      </w:r>
    </w:p>
    <w:p w:rsidR="008064D7" w:rsidRDefault="008064D7" w:rsidP="00023FAA">
      <w:pPr>
        <w:pStyle w:val="Paragraphedeliste"/>
        <w:spacing w:line="240" w:lineRule="auto"/>
        <w:ind w:left="786"/>
        <w:rPr>
          <w:rFonts w:ascii="Times New Roman" w:hAnsi="Times New Roman"/>
          <w:sz w:val="24"/>
        </w:rPr>
      </w:pPr>
    </w:p>
    <w:p w:rsidR="008064D7" w:rsidRDefault="008064D7" w:rsidP="007B5B26">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Loi de transposition</w:t>
      </w:r>
      <w:r>
        <w:rPr>
          <w:rFonts w:ascii="Times New Roman" w:hAnsi="Times New Roman"/>
          <w:sz w:val="24"/>
        </w:rPr>
        <w:t xml:space="preserve"> devra, dans ses motifs ou articles, apporter des éléments de réponse si le législateur veut sécuriser la restructuration des grandes entreprises à l’endettement financier important. Le texte doit, pour être compatible avec l’objectif de la directive, être précisé.</w:t>
      </w:r>
    </w:p>
    <w:p w:rsidR="008064D7" w:rsidRPr="009D6BBA" w:rsidRDefault="008064D7" w:rsidP="009D6BBA">
      <w:pPr>
        <w:spacing w:after="160" w:line="259" w:lineRule="auto"/>
        <w:jc w:val="left"/>
        <w:rPr>
          <w:rFonts w:ascii="Times New Roman" w:hAnsi="Times New Roman"/>
          <w:sz w:val="24"/>
        </w:rPr>
      </w:pPr>
      <w:r>
        <w:rPr>
          <w:rFonts w:ascii="Times New Roman" w:hAnsi="Times New Roman"/>
          <w:sz w:val="24"/>
        </w:rPr>
        <w:br w:type="page"/>
      </w:r>
    </w:p>
    <w:p w:rsidR="008064D7" w:rsidRPr="00B108AD" w:rsidRDefault="008064D7" w:rsidP="00CA1CFE">
      <w:pPr>
        <w:pStyle w:val="Titre1"/>
        <w:numPr>
          <w:ilvl w:val="0"/>
          <w:numId w:val="5"/>
        </w:numPr>
        <w:spacing w:before="0" w:line="240" w:lineRule="auto"/>
        <w:rPr>
          <w:rFonts w:ascii="Times New Roman" w:hAnsi="Times New Roman" w:cs="Times New Roman"/>
          <w14:shadow w14:blurRad="50800" w14:dist="38100" w14:dir="2700000" w14:sx="100000" w14:sy="100000" w14:kx="0" w14:ky="0" w14:algn="tl">
            <w14:srgbClr w14:val="000000">
              <w14:alpha w14:val="60000"/>
            </w14:srgbClr>
          </w14:shadow>
        </w:rPr>
      </w:pPr>
      <w:bookmarkStart w:id="49" w:name="_Toc55407494"/>
      <w:r w:rsidRPr="00B108AD">
        <w:rPr>
          <w:rFonts w:ascii="Times New Roman" w:hAnsi="Times New Roman" w:cs="Times New Roman"/>
          <w14:shadow w14:blurRad="50800" w14:dist="38100" w14:dir="2700000" w14:sx="100000" w14:sy="100000" w14:kx="0" w14:ky="0" w14:algn="tl">
            <w14:srgbClr w14:val="000000">
              <w14:alpha w14:val="60000"/>
            </w14:srgbClr>
          </w14:shadow>
        </w:rPr>
        <w:lastRenderedPageBreak/>
        <w:t>Valeur et périmètre social (PLESSERS)</w:t>
      </w:r>
      <w:bookmarkEnd w:id="49"/>
    </w:p>
    <w:p w:rsidR="008064D7" w:rsidRDefault="008064D7" w:rsidP="00AF6DED">
      <w:pPr>
        <w:spacing w:line="240" w:lineRule="auto"/>
        <w:ind w:left="426"/>
        <w:rPr>
          <w:rFonts w:ascii="Times New Roman" w:hAnsi="Times New Roman"/>
          <w:sz w:val="24"/>
        </w:rPr>
      </w:pPr>
    </w:p>
    <w:p w:rsidR="0091567C" w:rsidRPr="0091567C" w:rsidRDefault="0091567C" w:rsidP="0091567C">
      <w:pPr>
        <w:pStyle w:val="Titre2"/>
        <w:numPr>
          <w:ilvl w:val="0"/>
          <w:numId w:val="19"/>
        </w:numPr>
        <w:rPr>
          <w:rFonts w:ascii="Times New Roman" w:hAnsi="Times New Roman" w:cs="Times New Roman"/>
        </w:rPr>
      </w:pPr>
      <w:bookmarkStart w:id="50" w:name="_Toc55407495"/>
      <w:r w:rsidRPr="0091567C">
        <w:rPr>
          <w:rFonts w:ascii="Times New Roman" w:hAnsi="Times New Roman" w:cs="Times New Roman"/>
        </w:rPr>
        <w:t>Position de la question</w:t>
      </w:r>
      <w:bookmarkEnd w:id="50"/>
    </w:p>
    <w:p w:rsidR="0091567C" w:rsidRDefault="0091567C" w:rsidP="0091567C">
      <w:pPr>
        <w:pStyle w:val="Paragraphedeliste"/>
        <w:spacing w:line="240" w:lineRule="auto"/>
        <w:ind w:left="786"/>
        <w:rPr>
          <w:rFonts w:ascii="Times New Roman" w:hAnsi="Times New Roman"/>
          <w:sz w:val="24"/>
          <w:u w:val="single"/>
        </w:rPr>
      </w:pPr>
    </w:p>
    <w:p w:rsidR="008064D7" w:rsidRPr="00C73351" w:rsidRDefault="008064D7" w:rsidP="0091567C">
      <w:pPr>
        <w:pStyle w:val="Paragraphedeliste"/>
        <w:numPr>
          <w:ilvl w:val="0"/>
          <w:numId w:val="2"/>
        </w:numPr>
        <w:spacing w:line="240" w:lineRule="auto"/>
        <w:ind w:hanging="567"/>
        <w:rPr>
          <w:rFonts w:ascii="Times New Roman" w:hAnsi="Times New Roman"/>
          <w:sz w:val="24"/>
          <w:u w:val="single"/>
        </w:rPr>
      </w:pPr>
      <w:r>
        <w:rPr>
          <w:rFonts w:ascii="Times New Roman" w:hAnsi="Times New Roman"/>
          <w:sz w:val="24"/>
        </w:rPr>
        <w:t xml:space="preserve">Le Livre XX et la CCT 102 semblaient permettre de sauver la viabilité de l’entreprise par une cession accompagnée d’une réduction du périmètre social. </w:t>
      </w:r>
      <w:r w:rsidRPr="00261A80">
        <w:rPr>
          <w:rFonts w:ascii="Times New Roman" w:hAnsi="Times New Roman"/>
          <w:sz w:val="24"/>
        </w:rPr>
        <w:t>La</w:t>
      </w:r>
      <w:r>
        <w:rPr>
          <w:rFonts w:ascii="Times New Roman" w:hAnsi="Times New Roman"/>
          <w:sz w:val="24"/>
        </w:rPr>
        <w:t xml:space="preserve"> valeur d’un débiteur ou d’une activité passe souvent par la restructuration du périmètre social. Si la viabilité de l’entreprise (ou d’une branche d’activité exploitée avec une autre au sein d’un même débiteur) est démontrée, elle l’est parfois au prix d’une réduction du personnel. La valeur d’une entreprise, en diminuant le personnel peut être plus grande pour les financiers sauf si cette réduction du personnel est trop lourde, longue, couteuse. Dans certains cas, la viabilité ne sera plus assurée et la valeur de l’entreprise sera nulle ou faible, provoquant une importante perte. Dans certains cas, le plan financier peut supporter le paiement des indemnités, dans d’autres cela n’est pas possible. Il faut alors passer par un transfert de l’activité ou de la branche d’activité par un </w:t>
      </w:r>
      <w:r w:rsidRPr="004352DF">
        <w:rPr>
          <w:rFonts w:ascii="Times New Roman" w:hAnsi="Times New Roman"/>
          <w:i/>
          <w:sz w:val="24"/>
        </w:rPr>
        <w:t>Carve-out.</w:t>
      </w:r>
      <w:r>
        <w:rPr>
          <w:rFonts w:ascii="Times New Roman" w:hAnsi="Times New Roman"/>
          <w:sz w:val="24"/>
        </w:rPr>
        <w:t xml:space="preserve"> </w:t>
      </w:r>
    </w:p>
    <w:p w:rsidR="008064D7" w:rsidRDefault="008064D7" w:rsidP="00C73351">
      <w:pPr>
        <w:pStyle w:val="Paragraphedeliste"/>
        <w:spacing w:line="240" w:lineRule="auto"/>
        <w:ind w:left="786"/>
        <w:rPr>
          <w:rFonts w:ascii="Times New Roman" w:hAnsi="Times New Roman"/>
          <w:sz w:val="24"/>
          <w:u w:val="single"/>
        </w:rPr>
      </w:pPr>
    </w:p>
    <w:p w:rsidR="008064D7" w:rsidRPr="00C73351" w:rsidRDefault="008064D7" w:rsidP="00C73351">
      <w:pPr>
        <w:pStyle w:val="Paragraphedeliste"/>
        <w:spacing w:line="240" w:lineRule="auto"/>
        <w:ind w:left="786"/>
        <w:rPr>
          <w:rFonts w:ascii="Times New Roman" w:hAnsi="Times New Roman"/>
          <w:sz w:val="24"/>
        </w:rPr>
      </w:pPr>
      <w:r w:rsidRPr="00C73351">
        <w:rPr>
          <w:rFonts w:ascii="Times New Roman" w:hAnsi="Times New Roman"/>
          <w:sz w:val="24"/>
        </w:rPr>
        <w:t>La valeur</w:t>
      </w:r>
      <w:r>
        <w:rPr>
          <w:rFonts w:ascii="Times New Roman" w:hAnsi="Times New Roman"/>
          <w:sz w:val="24"/>
        </w:rPr>
        <w:t xml:space="preserve"> dépend évidemment du cash-flow libre, lequel est directement affecté par des charges excessives et donc l’improduction.</w:t>
      </w:r>
    </w:p>
    <w:p w:rsidR="008064D7" w:rsidRDefault="008064D7" w:rsidP="000F515F">
      <w:pPr>
        <w:pStyle w:val="Paragraphedeliste"/>
        <w:spacing w:line="240" w:lineRule="auto"/>
        <w:ind w:left="786"/>
        <w:rPr>
          <w:rFonts w:ascii="Times New Roman" w:hAnsi="Times New Roman"/>
          <w:sz w:val="24"/>
          <w:u w:val="single"/>
        </w:rPr>
      </w:pPr>
    </w:p>
    <w:p w:rsidR="008064D7" w:rsidRPr="00A51A45" w:rsidRDefault="008064D7" w:rsidP="007565AA">
      <w:pPr>
        <w:pStyle w:val="Titre2"/>
        <w:numPr>
          <w:ilvl w:val="0"/>
          <w:numId w:val="19"/>
        </w:numPr>
        <w:rPr>
          <w:rFonts w:ascii="Times New Roman" w:hAnsi="Times New Roman" w:cs="Times New Roman"/>
        </w:rPr>
      </w:pPr>
      <w:bookmarkStart w:id="51" w:name="_Toc55407496"/>
      <w:r w:rsidRPr="00A51A45">
        <w:rPr>
          <w:rFonts w:ascii="Times New Roman" w:hAnsi="Times New Roman" w:cs="Times New Roman"/>
        </w:rPr>
        <w:t>La jurisprudence de la CJUE</w:t>
      </w:r>
      <w:bookmarkEnd w:id="51"/>
      <w:r w:rsidRPr="00A51A45">
        <w:rPr>
          <w:rFonts w:ascii="Times New Roman" w:hAnsi="Times New Roman" w:cs="Times New Roman"/>
        </w:rPr>
        <w:t xml:space="preserve"> </w:t>
      </w:r>
    </w:p>
    <w:p w:rsidR="008064D7" w:rsidRDefault="008064D7" w:rsidP="000F515F">
      <w:pPr>
        <w:pStyle w:val="Paragraphedeliste"/>
        <w:spacing w:line="240" w:lineRule="auto"/>
        <w:ind w:left="786"/>
        <w:rPr>
          <w:rFonts w:ascii="Times New Roman" w:hAnsi="Times New Roman"/>
          <w:sz w:val="24"/>
          <w:u w:val="single"/>
        </w:rPr>
      </w:pPr>
    </w:p>
    <w:p w:rsidR="008064D7" w:rsidRPr="00164932" w:rsidRDefault="008064D7" w:rsidP="0091567C">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L’arrêt</w:t>
      </w:r>
      <w:r w:rsidRPr="00164932">
        <w:rPr>
          <w:rFonts w:ascii="Times New Roman" w:hAnsi="Times New Roman"/>
          <w:sz w:val="24"/>
          <w:u w:val="single"/>
        </w:rPr>
        <w:t xml:space="preserve"> </w:t>
      </w:r>
      <w:r>
        <w:rPr>
          <w:rFonts w:ascii="Times New Roman" w:hAnsi="Times New Roman"/>
          <w:sz w:val="24"/>
          <w:u w:val="single"/>
        </w:rPr>
        <w:t>PLESSERS</w:t>
      </w:r>
      <w:r w:rsidRPr="00164932">
        <w:rPr>
          <w:rFonts w:ascii="Times New Roman" w:hAnsi="Times New Roman"/>
          <w:sz w:val="24"/>
          <w:u w:val="single"/>
        </w:rPr>
        <w:t>.</w:t>
      </w:r>
      <w:r w:rsidRPr="00164932">
        <w:rPr>
          <w:rFonts w:ascii="Times New Roman" w:hAnsi="Times New Roman"/>
          <w:sz w:val="24"/>
        </w:rPr>
        <w:t xml:space="preserve"> L’arrêt </w:t>
      </w:r>
      <w:r>
        <w:rPr>
          <w:rFonts w:ascii="Times New Roman" w:hAnsi="Times New Roman"/>
          <w:sz w:val="24"/>
        </w:rPr>
        <w:t>PLESSERS</w:t>
      </w:r>
      <w:r w:rsidRPr="00164932">
        <w:rPr>
          <w:rFonts w:ascii="Times New Roman" w:hAnsi="Times New Roman"/>
          <w:sz w:val="24"/>
        </w:rPr>
        <w:t xml:space="preserve"> a mis un frein aux PRJ transfert qui réduisait le cadre social en estimant que le repreneur devait reprendre tout le personnel. Si en droit interne</w:t>
      </w:r>
      <w:r w:rsidR="0091567C">
        <w:rPr>
          <w:rFonts w:ascii="Times New Roman" w:hAnsi="Times New Roman"/>
          <w:sz w:val="24"/>
        </w:rPr>
        <w:t>,</w:t>
      </w:r>
      <w:r w:rsidRPr="00164932">
        <w:rPr>
          <w:rFonts w:ascii="Times New Roman" w:hAnsi="Times New Roman"/>
          <w:sz w:val="24"/>
        </w:rPr>
        <w:t xml:space="preserve"> on sait que les juges admettent la cession partielle de personnel sur base du droit interne, il faut admettre, depuis la décision du </w:t>
      </w:r>
      <w:r w:rsidR="0091567C">
        <w:rPr>
          <w:rFonts w:ascii="Times New Roman" w:hAnsi="Times New Roman"/>
          <w:sz w:val="24"/>
        </w:rPr>
        <w:t>T</w:t>
      </w:r>
      <w:r w:rsidRPr="00164932">
        <w:rPr>
          <w:rFonts w:ascii="Times New Roman" w:hAnsi="Times New Roman"/>
          <w:sz w:val="24"/>
        </w:rPr>
        <w:t xml:space="preserve">ribunal du </w:t>
      </w:r>
      <w:r w:rsidR="0091567C">
        <w:rPr>
          <w:rFonts w:ascii="Times New Roman" w:hAnsi="Times New Roman"/>
          <w:sz w:val="24"/>
        </w:rPr>
        <w:t>T</w:t>
      </w:r>
      <w:r w:rsidRPr="00164932">
        <w:rPr>
          <w:rFonts w:ascii="Times New Roman" w:hAnsi="Times New Roman"/>
          <w:sz w:val="24"/>
        </w:rPr>
        <w:t xml:space="preserve">ravail de Bruxelles </w:t>
      </w:r>
      <w:r>
        <w:rPr>
          <w:rStyle w:val="Appelnotedebasdep"/>
          <w:rFonts w:ascii="Times New Roman" w:hAnsi="Times New Roman"/>
          <w:sz w:val="24"/>
        </w:rPr>
        <w:footnoteReference w:id="338"/>
      </w:r>
      <w:r w:rsidR="0091567C">
        <w:rPr>
          <w:rFonts w:ascii="Times New Roman" w:hAnsi="Times New Roman"/>
          <w:sz w:val="24"/>
        </w:rPr>
        <w:t xml:space="preserve"> et de l’attitude du Fonds de F</w:t>
      </w:r>
      <w:r w:rsidRPr="00164932">
        <w:rPr>
          <w:rFonts w:ascii="Times New Roman" w:hAnsi="Times New Roman"/>
          <w:sz w:val="24"/>
        </w:rPr>
        <w:t xml:space="preserve">ermetures et des propos de l’auditeur, que ceux-ci entendent </w:t>
      </w:r>
      <w:r w:rsidR="0091567C">
        <w:rPr>
          <w:rFonts w:ascii="Times New Roman" w:hAnsi="Times New Roman"/>
          <w:sz w:val="24"/>
        </w:rPr>
        <w:t>faire</w:t>
      </w:r>
      <w:r w:rsidRPr="00164932">
        <w:rPr>
          <w:rFonts w:ascii="Times New Roman" w:hAnsi="Times New Roman"/>
          <w:sz w:val="24"/>
        </w:rPr>
        <w:t xml:space="preserve"> respecter la directive </w:t>
      </w:r>
      <w:r>
        <w:rPr>
          <w:rFonts w:ascii="Times New Roman" w:hAnsi="Times New Roman"/>
          <w:sz w:val="24"/>
        </w:rPr>
        <w:t xml:space="preserve">transfert d’entreprise </w:t>
      </w:r>
      <w:r w:rsidRPr="00164932">
        <w:rPr>
          <w:rFonts w:ascii="Times New Roman" w:hAnsi="Times New Roman"/>
          <w:sz w:val="24"/>
        </w:rPr>
        <w:t xml:space="preserve">au sens strict. </w:t>
      </w:r>
    </w:p>
    <w:p w:rsidR="008064D7" w:rsidRDefault="008064D7" w:rsidP="00E5489E">
      <w:pPr>
        <w:pStyle w:val="Paragraphedeliste"/>
        <w:spacing w:line="240" w:lineRule="auto"/>
        <w:ind w:left="786"/>
        <w:rPr>
          <w:rFonts w:ascii="Times New Roman" w:hAnsi="Times New Roman"/>
          <w:sz w:val="24"/>
        </w:rPr>
      </w:pPr>
    </w:p>
    <w:p w:rsidR="008064D7" w:rsidRDefault="008064D7" w:rsidP="00E5489E">
      <w:pPr>
        <w:pStyle w:val="Paragraphedeliste"/>
        <w:spacing w:line="240" w:lineRule="auto"/>
        <w:ind w:left="786"/>
        <w:rPr>
          <w:rFonts w:ascii="Times New Roman" w:hAnsi="Times New Roman"/>
          <w:sz w:val="24"/>
        </w:rPr>
      </w:pPr>
      <w:r>
        <w:rPr>
          <w:rFonts w:ascii="Times New Roman" w:hAnsi="Times New Roman"/>
          <w:sz w:val="24"/>
        </w:rPr>
        <w:t xml:space="preserve">Le cœur de l’arrêt PLESSERS est de savoir si une procédure, en l’espèce, celle de la PRJ transfert, est assimilable à une procédure de faillite, ce qui alors l’exempte de l’obligation de reprise de la totalité du personnel. Selon la lecture que j’ai défendue, le critère essentiel est celui de </w:t>
      </w:r>
      <w:r w:rsidRPr="00164932">
        <w:rPr>
          <w:rFonts w:ascii="Times New Roman" w:hAnsi="Times New Roman"/>
          <w:sz w:val="24"/>
          <w:u w:val="single"/>
        </w:rPr>
        <w:t>la maximalisation de l’intérêts des créanciers</w:t>
      </w:r>
      <w:r>
        <w:rPr>
          <w:rFonts w:ascii="Times New Roman" w:hAnsi="Times New Roman"/>
          <w:sz w:val="24"/>
        </w:rPr>
        <w:t xml:space="preserve"> qui serait le critère-clé.</w:t>
      </w:r>
    </w:p>
    <w:p w:rsidR="008064D7" w:rsidRDefault="008064D7" w:rsidP="00E5489E">
      <w:pPr>
        <w:pStyle w:val="Paragraphedeliste"/>
        <w:spacing w:line="240" w:lineRule="auto"/>
        <w:ind w:left="786"/>
        <w:rPr>
          <w:rFonts w:ascii="Times New Roman" w:hAnsi="Times New Roman"/>
          <w:sz w:val="24"/>
        </w:rPr>
      </w:pPr>
    </w:p>
    <w:p w:rsidR="008064D7" w:rsidRDefault="008064D7" w:rsidP="000F515F">
      <w:pPr>
        <w:pStyle w:val="Paragraphedeliste"/>
        <w:spacing w:line="240" w:lineRule="auto"/>
        <w:ind w:left="786"/>
        <w:rPr>
          <w:rFonts w:ascii="Times New Roman" w:hAnsi="Times New Roman"/>
          <w:sz w:val="24"/>
        </w:rPr>
      </w:pPr>
      <w:r>
        <w:rPr>
          <w:rFonts w:ascii="Times New Roman" w:hAnsi="Times New Roman"/>
          <w:sz w:val="24"/>
        </w:rPr>
        <w:t>Certes, la directive restructuration vise les entreprises viables</w:t>
      </w:r>
      <w:r w:rsidR="0091567C">
        <w:rPr>
          <w:rFonts w:ascii="Times New Roman" w:hAnsi="Times New Roman"/>
          <w:sz w:val="24"/>
        </w:rPr>
        <w:t>,</w:t>
      </w:r>
      <w:r>
        <w:rPr>
          <w:rFonts w:ascii="Times New Roman" w:hAnsi="Times New Roman"/>
          <w:sz w:val="24"/>
        </w:rPr>
        <w:t xml:space="preserve"> mais n’interdit pas d’envisager la cession de tout ou partie des actifs ou activités de l’entreprise pour autant que l’opération n’ait pas en soi pour objectif d’organiser une faillite au détriment des créanciers. </w:t>
      </w:r>
    </w:p>
    <w:p w:rsidR="008064D7" w:rsidRDefault="008064D7" w:rsidP="000F515F">
      <w:pPr>
        <w:pStyle w:val="Paragraphedeliste"/>
        <w:spacing w:line="240" w:lineRule="auto"/>
        <w:ind w:left="786"/>
        <w:rPr>
          <w:rFonts w:ascii="Times New Roman" w:hAnsi="Times New Roman"/>
          <w:sz w:val="24"/>
        </w:rPr>
      </w:pPr>
    </w:p>
    <w:p w:rsidR="008064D7" w:rsidRDefault="008064D7" w:rsidP="000F515F">
      <w:pPr>
        <w:pStyle w:val="Paragraphedeliste"/>
        <w:spacing w:line="240" w:lineRule="auto"/>
        <w:ind w:left="786"/>
        <w:rPr>
          <w:rFonts w:ascii="Times New Roman" w:hAnsi="Times New Roman"/>
          <w:sz w:val="24"/>
        </w:rPr>
      </w:pPr>
      <w:r>
        <w:rPr>
          <w:rFonts w:ascii="Times New Roman" w:hAnsi="Times New Roman"/>
          <w:sz w:val="24"/>
        </w:rPr>
        <w:t xml:space="preserve">La directive n’empêche pas qu’après restructuration, une faillite survienne. Il faut simplement que l’entreprise apparaisse comme viable, du moins un certain temps. Une procédure de transfert pourrait donc être envisagée, mais de manière plus restrictive que celle actuellement envisagée par le Livre XX (PRJ transfert sous autorité de justice).  </w:t>
      </w:r>
    </w:p>
    <w:p w:rsidR="008064D7" w:rsidRDefault="008064D7" w:rsidP="000F515F">
      <w:pPr>
        <w:pStyle w:val="Paragraphedeliste"/>
        <w:spacing w:line="240" w:lineRule="auto"/>
        <w:ind w:left="786"/>
        <w:rPr>
          <w:rFonts w:ascii="Times New Roman" w:hAnsi="Times New Roman"/>
          <w:sz w:val="24"/>
        </w:rPr>
      </w:pPr>
    </w:p>
    <w:p w:rsidR="008064D7" w:rsidRDefault="008064D7" w:rsidP="000F515F">
      <w:pPr>
        <w:pStyle w:val="Paragraphedeliste"/>
        <w:spacing w:line="240" w:lineRule="auto"/>
        <w:ind w:left="786"/>
        <w:rPr>
          <w:rFonts w:ascii="Times New Roman" w:hAnsi="Times New Roman"/>
          <w:sz w:val="24"/>
        </w:rPr>
      </w:pPr>
      <w:r>
        <w:rPr>
          <w:rFonts w:ascii="Times New Roman" w:hAnsi="Times New Roman"/>
          <w:sz w:val="24"/>
        </w:rPr>
        <w:lastRenderedPageBreak/>
        <w:t xml:space="preserve">La question au centre de ce point est donc de savoir si cette procédure pourrait être considérée comme une procédure assimilée à la faillite au sens de la directive en matière de transfert d’entreprise si la valeur de l’entreprise est préservée. </w:t>
      </w:r>
    </w:p>
    <w:p w:rsidR="008064D7" w:rsidRDefault="008064D7" w:rsidP="00E5489E">
      <w:pPr>
        <w:spacing w:line="240" w:lineRule="auto"/>
        <w:ind w:left="426"/>
        <w:rPr>
          <w:rFonts w:ascii="Times New Roman" w:hAnsi="Times New Roman"/>
          <w:sz w:val="24"/>
        </w:rPr>
      </w:pPr>
    </w:p>
    <w:p w:rsidR="008064D7" w:rsidRPr="00A51A45" w:rsidRDefault="008064D7" w:rsidP="007565AA">
      <w:pPr>
        <w:pStyle w:val="Titre2"/>
        <w:numPr>
          <w:ilvl w:val="0"/>
          <w:numId w:val="19"/>
        </w:numPr>
        <w:rPr>
          <w:rFonts w:ascii="Times New Roman" w:hAnsi="Times New Roman" w:cs="Times New Roman"/>
        </w:rPr>
      </w:pPr>
      <w:bookmarkStart w:id="52" w:name="_Toc55407497"/>
      <w:r w:rsidRPr="00A51A45">
        <w:rPr>
          <w:rFonts w:ascii="Times New Roman" w:hAnsi="Times New Roman" w:cs="Times New Roman"/>
        </w:rPr>
        <w:t>La maximalisation du dividende</w:t>
      </w:r>
      <w:bookmarkEnd w:id="52"/>
      <w:r w:rsidRPr="00A51A45">
        <w:rPr>
          <w:rFonts w:ascii="Times New Roman" w:hAnsi="Times New Roman" w:cs="Times New Roman"/>
        </w:rPr>
        <w:t xml:space="preserve"> </w:t>
      </w:r>
    </w:p>
    <w:p w:rsidR="008064D7" w:rsidRDefault="008064D7" w:rsidP="0091567C">
      <w:pPr>
        <w:pStyle w:val="Paragraphedeliste"/>
        <w:numPr>
          <w:ilvl w:val="0"/>
          <w:numId w:val="2"/>
        </w:numPr>
        <w:spacing w:line="240" w:lineRule="auto"/>
        <w:ind w:hanging="567"/>
        <w:rPr>
          <w:rFonts w:ascii="Times New Roman" w:hAnsi="Times New Roman"/>
          <w:sz w:val="24"/>
        </w:rPr>
      </w:pPr>
      <w:r w:rsidRPr="00791D1E">
        <w:rPr>
          <w:rFonts w:ascii="Times New Roman" w:hAnsi="Times New Roman"/>
          <w:sz w:val="24"/>
          <w:u w:val="single"/>
        </w:rPr>
        <w:t>Une nouvelle norme européenne de maximalisation de l’intérêt des créanciers ?</w:t>
      </w:r>
      <w:r>
        <w:rPr>
          <w:rFonts w:ascii="Times New Roman" w:hAnsi="Times New Roman"/>
          <w:sz w:val="24"/>
        </w:rPr>
        <w:t xml:space="preserve">  On doit répéter que les praticiens contestent cette vision linéaire de la maximalisation de l’intérêt des créanciers dès lors que souvent, par l’arrêt des activités qui s’impose du fait des règles du concours, la valeur qu’obtiennent les créanciers de la faillite (valeur de liquidation utilisée pour la règle du </w:t>
      </w:r>
      <w:r w:rsidRPr="007C17D3">
        <w:rPr>
          <w:rFonts w:ascii="Times New Roman" w:hAnsi="Times New Roman"/>
          <w:i/>
          <w:sz w:val="24"/>
        </w:rPr>
        <w:t>Best interest</w:t>
      </w:r>
      <w:r w:rsidRPr="004352DF">
        <w:rPr>
          <w:rFonts w:ascii="Times New Roman" w:hAnsi="Times New Roman"/>
          <w:i/>
          <w:sz w:val="24"/>
        </w:rPr>
        <w:t xml:space="preserve"> of creditors</w:t>
      </w:r>
      <w:r>
        <w:rPr>
          <w:rFonts w:ascii="Times New Roman" w:hAnsi="Times New Roman"/>
          <w:sz w:val="24"/>
        </w:rPr>
        <w:t>) est souvent plus faible que celle qu’ils obtiennent dans le cadre d’une procédure de restructuration. À vrai dire, il ne s’agit d’ailleurs pas des mêmes créanciers : en faillite, certains créanciers privilégiés reçoivent un dividende important tandis qu’en restructuration, tous les créanciers – dont certains qui n’auraient rien reçu en liquidation – reçoivent un dividende.</w:t>
      </w:r>
    </w:p>
    <w:p w:rsidR="008064D7" w:rsidRDefault="008064D7" w:rsidP="00E5489E">
      <w:pPr>
        <w:spacing w:line="240" w:lineRule="auto"/>
        <w:ind w:left="426"/>
        <w:rPr>
          <w:rFonts w:ascii="Times New Roman" w:hAnsi="Times New Roman"/>
          <w:sz w:val="24"/>
        </w:rPr>
      </w:pPr>
    </w:p>
    <w:p w:rsidR="008064D7" w:rsidRDefault="008064D7" w:rsidP="00E5489E">
      <w:pPr>
        <w:spacing w:line="240" w:lineRule="auto"/>
        <w:ind w:left="786"/>
        <w:rPr>
          <w:rFonts w:ascii="Times New Roman" w:hAnsi="Times New Roman"/>
          <w:sz w:val="24"/>
        </w:rPr>
      </w:pPr>
      <w:r>
        <w:rPr>
          <w:rFonts w:ascii="Times New Roman" w:hAnsi="Times New Roman"/>
          <w:sz w:val="24"/>
        </w:rPr>
        <w:t>Il ne semble pas que la Cour de justice, lorsqu’elle parle de la maximalisation de l’intérêt des créanciers, fait référence aux critères des rangs et des privilèges, mais référence à la masse globale des créanciers, laissant aux droits nationaux le soin de déterminer comment cette maximalisation doit se mettre en œuvre à l’intérieur des différentes catégories de créanciers.</w:t>
      </w:r>
    </w:p>
    <w:p w:rsidR="008064D7" w:rsidRDefault="008064D7" w:rsidP="00E5489E">
      <w:pPr>
        <w:spacing w:line="240" w:lineRule="auto"/>
        <w:ind w:left="426"/>
        <w:rPr>
          <w:rFonts w:ascii="Times New Roman" w:hAnsi="Times New Roman"/>
          <w:sz w:val="24"/>
        </w:rPr>
      </w:pPr>
    </w:p>
    <w:p w:rsidR="008064D7" w:rsidRDefault="008064D7" w:rsidP="00791D1E">
      <w:pPr>
        <w:spacing w:line="240" w:lineRule="auto"/>
        <w:ind w:left="786"/>
        <w:rPr>
          <w:rFonts w:ascii="Times New Roman" w:hAnsi="Times New Roman"/>
          <w:sz w:val="24"/>
        </w:rPr>
      </w:pPr>
      <w:r>
        <w:rPr>
          <w:rFonts w:ascii="Times New Roman" w:hAnsi="Times New Roman"/>
          <w:sz w:val="24"/>
        </w:rPr>
        <w:t xml:space="preserve">La question est de savoir si, en introduisant une règle de </w:t>
      </w:r>
      <w:r w:rsidRPr="007C17D3">
        <w:rPr>
          <w:rFonts w:ascii="Times New Roman" w:hAnsi="Times New Roman"/>
          <w:i/>
          <w:sz w:val="24"/>
        </w:rPr>
        <w:t>Best interest</w:t>
      </w:r>
      <w:r w:rsidRPr="004352DF">
        <w:rPr>
          <w:rFonts w:ascii="Times New Roman" w:hAnsi="Times New Roman"/>
          <w:i/>
          <w:sz w:val="24"/>
        </w:rPr>
        <w:t xml:space="preserve"> of creditors</w:t>
      </w:r>
      <w:r>
        <w:rPr>
          <w:rFonts w:ascii="Times New Roman" w:hAnsi="Times New Roman"/>
          <w:sz w:val="24"/>
        </w:rPr>
        <w:t xml:space="preserve"> et, en outre, en introduisant le soin de valoriser tous les scénarios possibles</w:t>
      </w:r>
      <w:r w:rsidR="0091567C">
        <w:rPr>
          <w:rFonts w:ascii="Times New Roman" w:hAnsi="Times New Roman"/>
          <w:sz w:val="24"/>
        </w:rPr>
        <w:t>,</w:t>
      </w:r>
      <w:r>
        <w:rPr>
          <w:rFonts w:ascii="Times New Roman" w:hAnsi="Times New Roman"/>
          <w:sz w:val="24"/>
        </w:rPr>
        <w:t xml:space="preserve"> en ce compris les meilleurs scénarios que celui de la liquidation et en introduisant une règle de priorité absolue qui renvoie à la valeur </w:t>
      </w:r>
      <w:r w:rsidRPr="007C17D3">
        <w:rPr>
          <w:rFonts w:ascii="Times New Roman" w:hAnsi="Times New Roman"/>
          <w:i/>
          <w:sz w:val="24"/>
        </w:rPr>
        <w:t>going-concern</w:t>
      </w:r>
      <w:r>
        <w:rPr>
          <w:rFonts w:ascii="Times New Roman" w:hAnsi="Times New Roman"/>
          <w:sz w:val="24"/>
        </w:rPr>
        <w:t xml:space="preserve"> de l’entreprise, règle qui prévoit qu’il ne peut pas y avoir une atteinte excessive aux intérêts d’un créancier particulier par le traitement qui est fait, si la directive, en instituant d’ailleurs des classes qui ne tiennent pas compte des rangs, n’a pas, d’une part, supprimé clairement toute référence en droit européen à la notion de rang – les créanciers devant être considérés comme un tout global qui se répartit en classe – et, d’autre part, si elle n’a pas recherché un critère de maximalisation de leur intérêt. </w:t>
      </w:r>
    </w:p>
    <w:p w:rsidR="008064D7" w:rsidRDefault="008064D7" w:rsidP="00791D1E">
      <w:pPr>
        <w:spacing w:line="240" w:lineRule="auto"/>
        <w:ind w:left="786"/>
        <w:rPr>
          <w:rFonts w:ascii="Times New Roman" w:hAnsi="Times New Roman"/>
          <w:sz w:val="24"/>
        </w:rPr>
      </w:pPr>
    </w:p>
    <w:p w:rsidR="008064D7" w:rsidRDefault="008064D7" w:rsidP="00791D1E">
      <w:pPr>
        <w:spacing w:line="240" w:lineRule="auto"/>
        <w:ind w:left="786"/>
        <w:rPr>
          <w:rFonts w:ascii="Times New Roman" w:hAnsi="Times New Roman"/>
          <w:sz w:val="24"/>
        </w:rPr>
      </w:pPr>
      <w:r>
        <w:rPr>
          <w:rFonts w:ascii="Times New Roman" w:hAnsi="Times New Roman"/>
          <w:sz w:val="24"/>
        </w:rPr>
        <w:t>Quelle serait la meilleure maximalisation des créanciers si ce n’est celle que pourrait et devrait approuver le juge en vertu des critères que l’Union européenne a elle-même fixé. Si la situation de tous les créanciers n’était pas maximalisée, le test des meilleurs intérêts des créanciers ne serait pas acquis. Il ne le serait sûrement pas dans le cadre du meilleur scénario possible. Si l’intérêt de chaque catégorie de créancier ou de chaque créancier est atteint de manière excessive, le juge pourrait refuser l’application de l’interclasse.</w:t>
      </w:r>
    </w:p>
    <w:p w:rsidR="008064D7" w:rsidRDefault="008064D7" w:rsidP="00791D1E">
      <w:pPr>
        <w:spacing w:line="240" w:lineRule="auto"/>
        <w:ind w:left="786"/>
        <w:rPr>
          <w:rFonts w:ascii="Times New Roman" w:hAnsi="Times New Roman"/>
          <w:sz w:val="24"/>
        </w:rPr>
      </w:pPr>
    </w:p>
    <w:p w:rsidR="008064D7" w:rsidRDefault="008064D7" w:rsidP="00791D1E">
      <w:pPr>
        <w:spacing w:line="240" w:lineRule="auto"/>
        <w:ind w:left="786"/>
        <w:rPr>
          <w:rFonts w:ascii="Times New Roman" w:hAnsi="Times New Roman"/>
          <w:sz w:val="24"/>
        </w:rPr>
      </w:pPr>
      <w:r>
        <w:rPr>
          <w:rFonts w:ascii="Times New Roman" w:hAnsi="Times New Roman"/>
          <w:sz w:val="24"/>
        </w:rPr>
        <w:t>En tout cas, une transposition intelligente de la directive permettrait de reposer le débat des restructuration d’entreprise passant par des transferts qui pourraient, en tout ou en partie, échapper aux dispositions, c’est vrai, trop strictes et impossibles à pratiquer dans le monde moderne de la directive de 1976 et de la convention collective 32Bis.</w:t>
      </w:r>
    </w:p>
    <w:p w:rsidR="008064D7" w:rsidRDefault="008064D7">
      <w:pPr>
        <w:spacing w:after="160" w:line="259" w:lineRule="auto"/>
        <w:jc w:val="left"/>
        <w:rPr>
          <w:rFonts w:ascii="Times New Roman" w:eastAsiaTheme="majorEastAsia" w:hAnsi="Times New Roman"/>
          <w:color w:val="2E74B5" w:themeColor="accent1" w:themeShade="BF"/>
          <w:sz w:val="32"/>
          <w:szCs w:val="32"/>
          <w14:shadow w14:blurRad="50800" w14:dist="38100" w14:dir="2700000" w14:sx="100000" w14:sy="100000" w14:kx="0" w14:ky="0" w14:algn="tl">
            <w14:srgbClr w14:val="000000">
              <w14:alpha w14:val="60000"/>
            </w14:srgbClr>
          </w14:shadow>
        </w:rPr>
      </w:pPr>
      <w:r>
        <w:rPr>
          <w:rFonts w:ascii="Times New Roman" w:hAnsi="Times New Roman"/>
          <w:b/>
          <w:smallCaps/>
          <w:sz w:val="28"/>
          <w14:shadow w14:blurRad="50800" w14:dist="38100" w14:dir="2700000" w14:sx="100000" w14:sy="100000" w14:kx="0" w14:ky="0" w14:algn="tl">
            <w14:srgbClr w14:val="000000">
              <w14:alpha w14:val="60000"/>
            </w14:srgbClr>
          </w14:shadow>
        </w:rPr>
        <w:br w:type="page"/>
      </w:r>
    </w:p>
    <w:p w:rsidR="008064D7" w:rsidRDefault="0091567C" w:rsidP="00CA1CFE">
      <w:pPr>
        <w:pStyle w:val="Titre1"/>
        <w:numPr>
          <w:ilvl w:val="0"/>
          <w:numId w:val="5"/>
        </w:numPr>
        <w:spacing w:before="0" w:line="240" w:lineRule="auto"/>
        <w:rPr>
          <w:rFonts w:ascii="Times New Roman" w:hAnsi="Times New Roman" w:cs="Times New Roman"/>
          <w14:shadow w14:blurRad="50800" w14:dist="38100" w14:dir="2700000" w14:sx="100000" w14:sy="100000" w14:kx="0" w14:ky="0" w14:algn="tl">
            <w14:srgbClr w14:val="000000">
              <w14:alpha w14:val="60000"/>
            </w14:srgbClr>
          </w14:shadow>
        </w:rPr>
      </w:pPr>
      <w:bookmarkStart w:id="53" w:name="_Toc55407498"/>
      <w:r>
        <w:rPr>
          <w:rFonts w:ascii="Times New Roman" w:hAnsi="Times New Roman" w:cs="Times New Roman"/>
          <w14:shadow w14:blurRad="50800" w14:dist="38100" w14:dir="2700000" w14:sx="100000" w14:sy="100000" w14:kx="0" w14:ky="0" w14:algn="tl">
            <w14:srgbClr w14:val="000000">
              <w14:alpha w14:val="60000"/>
            </w14:srgbClr>
          </w14:shadow>
        </w:rPr>
        <w:lastRenderedPageBreak/>
        <w:t>Le juge</w:t>
      </w:r>
      <w:r w:rsidR="008064D7" w:rsidRPr="00F66A8A">
        <w:rPr>
          <w:rFonts w:ascii="Times New Roman" w:hAnsi="Times New Roman" w:cs="Times New Roman"/>
          <w14:shadow w14:blurRad="50800" w14:dist="38100" w14:dir="2700000" w14:sx="100000" w14:sy="100000" w14:kx="0" w14:ky="0" w14:algn="tl">
            <w14:srgbClr w14:val="000000">
              <w14:alpha w14:val="60000"/>
            </w14:srgbClr>
          </w14:shadow>
        </w:rPr>
        <w:t xml:space="preserve"> de l’insolvabilité </w:t>
      </w:r>
      <w:r>
        <w:rPr>
          <w:rFonts w:ascii="Times New Roman" w:hAnsi="Times New Roman" w:cs="Times New Roman"/>
          <w14:shadow w14:blurRad="50800" w14:dist="38100" w14:dir="2700000" w14:sx="100000" w14:sy="100000" w14:kx="0" w14:ky="0" w14:algn="tl">
            <w14:srgbClr w14:val="000000">
              <w14:alpha w14:val="60000"/>
            </w14:srgbClr>
          </w14:shadow>
        </w:rPr>
        <w:t>et la valeur</w:t>
      </w:r>
      <w:bookmarkEnd w:id="53"/>
    </w:p>
    <w:p w:rsidR="008064D7" w:rsidRPr="00A51A45" w:rsidRDefault="008064D7" w:rsidP="00A51A45"/>
    <w:p w:rsidR="008064D7" w:rsidRDefault="0091567C" w:rsidP="007565AA">
      <w:pPr>
        <w:pStyle w:val="Titre2"/>
        <w:numPr>
          <w:ilvl w:val="2"/>
          <w:numId w:val="12"/>
        </w:numPr>
        <w:ind w:left="1276" w:hanging="425"/>
        <w:rPr>
          <w:rFonts w:ascii="Times New Roman" w:hAnsi="Times New Roman" w:cs="Times New Roman"/>
        </w:rPr>
      </w:pPr>
      <w:bookmarkStart w:id="54" w:name="_Toc55407499"/>
      <w:r>
        <w:rPr>
          <w:rFonts w:ascii="Times New Roman" w:hAnsi="Times New Roman" w:cs="Times New Roman"/>
        </w:rPr>
        <w:t>L’ordre public économique</w:t>
      </w:r>
      <w:bookmarkEnd w:id="54"/>
    </w:p>
    <w:p w:rsidR="008064D7" w:rsidRDefault="008064D7" w:rsidP="00AC0598">
      <w:pPr>
        <w:pStyle w:val="Paragraphedeliste"/>
        <w:spacing w:line="240" w:lineRule="auto"/>
        <w:ind w:left="786"/>
        <w:rPr>
          <w:rFonts w:ascii="Times New Roman" w:hAnsi="Times New Roman"/>
          <w:sz w:val="24"/>
          <w:u w:val="single"/>
        </w:rPr>
      </w:pPr>
    </w:p>
    <w:p w:rsidR="0091567C" w:rsidRPr="0091567C" w:rsidRDefault="008064D7" w:rsidP="0091567C">
      <w:pPr>
        <w:pStyle w:val="Paragraphedeliste"/>
        <w:numPr>
          <w:ilvl w:val="0"/>
          <w:numId w:val="2"/>
        </w:numPr>
        <w:spacing w:line="240" w:lineRule="auto"/>
        <w:ind w:hanging="567"/>
        <w:rPr>
          <w:rFonts w:ascii="Times New Roman" w:hAnsi="Times New Roman"/>
          <w:sz w:val="24"/>
          <w:u w:val="single"/>
        </w:rPr>
      </w:pPr>
      <w:r>
        <w:rPr>
          <w:rFonts w:ascii="Times New Roman" w:hAnsi="Times New Roman"/>
          <w:sz w:val="24"/>
          <w:u w:val="single"/>
        </w:rPr>
        <w:t>Le rôle du juge dans la protecti</w:t>
      </w:r>
      <w:r w:rsidR="0091567C">
        <w:rPr>
          <w:rFonts w:ascii="Times New Roman" w:hAnsi="Times New Roman"/>
          <w:sz w:val="24"/>
          <w:u w:val="single"/>
        </w:rPr>
        <w:t>on de l’ordre public économique</w:t>
      </w:r>
      <w:r>
        <w:rPr>
          <w:rFonts w:ascii="Times New Roman" w:hAnsi="Times New Roman"/>
          <w:sz w:val="24"/>
          <w:u w:val="single"/>
        </w:rPr>
        <w:t>.</w:t>
      </w:r>
      <w:r>
        <w:rPr>
          <w:rFonts w:ascii="Times New Roman" w:hAnsi="Times New Roman"/>
          <w:sz w:val="24"/>
        </w:rPr>
        <w:t xml:space="preserve"> Le juge ne saurait pas ignorer que la restructuration par le canal d’une procédure type </w:t>
      </w:r>
      <w:r w:rsidRPr="007C17D3">
        <w:rPr>
          <w:rFonts w:ascii="Times New Roman" w:hAnsi="Times New Roman"/>
          <w:i/>
          <w:sz w:val="24"/>
        </w:rPr>
        <w:t>Chapter 11</w:t>
      </w:r>
      <w:r>
        <w:rPr>
          <w:rFonts w:ascii="Times New Roman" w:hAnsi="Times New Roman"/>
          <w:sz w:val="24"/>
        </w:rPr>
        <w:t xml:space="preserve"> est bien plus profitable à l’économie que les procédures de type </w:t>
      </w:r>
      <w:r w:rsidRPr="007C17D3">
        <w:rPr>
          <w:rFonts w:ascii="Times New Roman" w:hAnsi="Times New Roman"/>
          <w:i/>
          <w:sz w:val="24"/>
        </w:rPr>
        <w:t>Chapter 7</w:t>
      </w:r>
      <w:r>
        <w:rPr>
          <w:rFonts w:ascii="Times New Roman" w:hAnsi="Times New Roman"/>
          <w:sz w:val="24"/>
        </w:rPr>
        <w:t xml:space="preserve"> (liquidation).</w:t>
      </w:r>
    </w:p>
    <w:p w:rsidR="0091567C" w:rsidRDefault="0091567C" w:rsidP="0091567C">
      <w:pPr>
        <w:pStyle w:val="Paragraphedeliste"/>
        <w:spacing w:line="240" w:lineRule="auto"/>
        <w:ind w:left="786"/>
        <w:rPr>
          <w:rFonts w:ascii="Times New Roman" w:hAnsi="Times New Roman"/>
          <w:sz w:val="24"/>
          <w:u w:val="single"/>
        </w:rPr>
      </w:pPr>
    </w:p>
    <w:p w:rsidR="008064D7" w:rsidRPr="005A0873" w:rsidRDefault="008064D7" w:rsidP="0091567C">
      <w:pPr>
        <w:pStyle w:val="Paragraphedeliste"/>
        <w:spacing w:line="240" w:lineRule="auto"/>
        <w:ind w:left="786"/>
        <w:rPr>
          <w:rFonts w:ascii="Times New Roman" w:hAnsi="Times New Roman"/>
          <w:sz w:val="24"/>
          <w:u w:val="single"/>
        </w:rPr>
      </w:pPr>
      <w:r>
        <w:rPr>
          <w:rFonts w:ascii="Times New Roman" w:hAnsi="Times New Roman"/>
          <w:sz w:val="24"/>
        </w:rPr>
        <w:t>Dans une étude</w:t>
      </w:r>
      <w:r>
        <w:rPr>
          <w:rStyle w:val="Appelnotedebasdep"/>
          <w:rFonts w:ascii="Times New Roman" w:hAnsi="Times New Roman"/>
          <w:sz w:val="24"/>
        </w:rPr>
        <w:footnoteReference w:id="339"/>
      </w:r>
      <w:r>
        <w:rPr>
          <w:rFonts w:ascii="Times New Roman" w:hAnsi="Times New Roman"/>
          <w:sz w:val="24"/>
        </w:rPr>
        <w:t xml:space="preserve">, les auteurs ont examiné un nombre important d’entreprises entre 1980 et 2014 en recherchant les écarts types entre les entreprises qui ne sont pas tombées en faillite, celles qui ont recouru au </w:t>
      </w:r>
      <w:r w:rsidRPr="007C17D3">
        <w:rPr>
          <w:rFonts w:ascii="Times New Roman" w:hAnsi="Times New Roman"/>
          <w:i/>
          <w:sz w:val="24"/>
        </w:rPr>
        <w:t>Chapter 11</w:t>
      </w:r>
      <w:r>
        <w:rPr>
          <w:rFonts w:ascii="Times New Roman" w:hAnsi="Times New Roman"/>
          <w:sz w:val="24"/>
        </w:rPr>
        <w:t xml:space="preserve"> et celles qui sont passées par le </w:t>
      </w:r>
      <w:r w:rsidRPr="007C17D3">
        <w:rPr>
          <w:rFonts w:ascii="Times New Roman" w:hAnsi="Times New Roman"/>
          <w:i/>
          <w:sz w:val="24"/>
        </w:rPr>
        <w:t>Chapter 7</w:t>
      </w:r>
      <w:r>
        <w:rPr>
          <w:rFonts w:ascii="Times New Roman" w:hAnsi="Times New Roman"/>
          <w:sz w:val="24"/>
        </w:rPr>
        <w:t xml:space="preserve">. </w:t>
      </w:r>
    </w:p>
    <w:p w:rsidR="008064D7" w:rsidRDefault="008064D7" w:rsidP="005A0873">
      <w:pPr>
        <w:pStyle w:val="Paragraphedeliste"/>
        <w:spacing w:line="240" w:lineRule="auto"/>
        <w:ind w:left="786"/>
        <w:rPr>
          <w:rFonts w:ascii="Times New Roman" w:hAnsi="Times New Roman"/>
          <w:sz w:val="24"/>
          <w:u w:val="single"/>
        </w:rPr>
      </w:pPr>
    </w:p>
    <w:p w:rsidR="008064D7" w:rsidRDefault="0091567C" w:rsidP="005A0873">
      <w:pPr>
        <w:pStyle w:val="Paragraphedeliste"/>
        <w:spacing w:line="240" w:lineRule="auto"/>
        <w:ind w:left="786"/>
        <w:rPr>
          <w:rFonts w:ascii="Times New Roman" w:hAnsi="Times New Roman"/>
          <w:sz w:val="24"/>
        </w:rPr>
      </w:pPr>
      <w:r>
        <w:rPr>
          <w:rFonts w:ascii="Times New Roman" w:hAnsi="Times New Roman"/>
          <w:sz w:val="24"/>
        </w:rPr>
        <w:t>Tout d’abord, la structure moyenne de leur agrégat est source d’information.</w:t>
      </w:r>
    </w:p>
    <w:p w:rsidR="00640213" w:rsidRDefault="00640213" w:rsidP="005A0873">
      <w:pPr>
        <w:pStyle w:val="Paragraphedeliste"/>
        <w:spacing w:line="240" w:lineRule="auto"/>
        <w:ind w:left="786"/>
        <w:rPr>
          <w:rFonts w:ascii="Times New Roman" w:hAnsi="Times New Roman"/>
          <w:sz w:val="24"/>
        </w:rPr>
      </w:pPr>
    </w:p>
    <w:tbl>
      <w:tblPr>
        <w:tblStyle w:val="TableauGrille41"/>
        <w:tblW w:w="8376" w:type="dxa"/>
        <w:jc w:val="right"/>
        <w:tblLook w:val="04A0" w:firstRow="1" w:lastRow="0" w:firstColumn="1" w:lastColumn="0" w:noHBand="0" w:noVBand="1"/>
      </w:tblPr>
      <w:tblGrid>
        <w:gridCol w:w="2554"/>
        <w:gridCol w:w="995"/>
        <w:gridCol w:w="10"/>
        <w:gridCol w:w="1007"/>
        <w:gridCol w:w="991"/>
        <w:gridCol w:w="993"/>
        <w:gridCol w:w="876"/>
        <w:gridCol w:w="950"/>
      </w:tblGrid>
      <w:tr w:rsidR="00640213" w:rsidRPr="00640213" w:rsidTr="009A671B">
        <w:trPr>
          <w:cnfStyle w:val="100000000000" w:firstRow="1" w:lastRow="0" w:firstColumn="0" w:lastColumn="0" w:oddVBand="0" w:evenVBand="0" w:oddHBand="0" w:evenHBand="0" w:firstRowFirstColumn="0" w:firstRowLastColumn="0" w:lastRowFirstColumn="0" w:lastRowLastColumn="0"/>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640213" w:rsidRDefault="00640213" w:rsidP="005A0873">
            <w:pPr>
              <w:pStyle w:val="Paragraphedeliste"/>
              <w:spacing w:line="240" w:lineRule="auto"/>
              <w:ind w:left="0"/>
              <w:rPr>
                <w:rFonts w:ascii="Times New Roman" w:hAnsi="Times New Roman"/>
                <w:sz w:val="24"/>
              </w:rPr>
            </w:pPr>
          </w:p>
        </w:tc>
        <w:tc>
          <w:tcPr>
            <w:tcW w:w="2012" w:type="dxa"/>
            <w:gridSpan w:val="3"/>
          </w:tcPr>
          <w:p w:rsidR="00640213" w:rsidRPr="00640213" w:rsidRDefault="00640213" w:rsidP="005A0873">
            <w:pPr>
              <w:pStyle w:val="Paragraphedeliste"/>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640213">
              <w:rPr>
                <w:rFonts w:ascii="Times New Roman" w:hAnsi="Times New Roman"/>
                <w:sz w:val="24"/>
              </w:rPr>
              <w:t>Non-Bankrupt</w:t>
            </w:r>
          </w:p>
        </w:tc>
        <w:tc>
          <w:tcPr>
            <w:tcW w:w="1984" w:type="dxa"/>
            <w:gridSpan w:val="2"/>
          </w:tcPr>
          <w:p w:rsidR="00640213" w:rsidRPr="00640213" w:rsidRDefault="00640213" w:rsidP="005A0873">
            <w:pPr>
              <w:pStyle w:val="Paragraphedeliste"/>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Chapter 11</w:t>
            </w:r>
          </w:p>
        </w:tc>
        <w:tc>
          <w:tcPr>
            <w:tcW w:w="0" w:type="auto"/>
            <w:gridSpan w:val="2"/>
          </w:tcPr>
          <w:p w:rsidR="00640213" w:rsidRPr="00640213" w:rsidRDefault="00640213" w:rsidP="005A0873">
            <w:pPr>
              <w:pStyle w:val="Paragraphedeliste"/>
              <w:spacing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Chapter 7</w:t>
            </w:r>
          </w:p>
        </w:tc>
      </w:tr>
      <w:tr w:rsidR="009A671B" w:rsidRPr="00640213" w:rsidTr="009A671B">
        <w:trPr>
          <w:cnfStyle w:val="000000100000" w:firstRow="0" w:lastRow="0" w:firstColumn="0" w:lastColumn="0" w:oddVBand="0" w:evenVBand="0" w:oddHBand="1" w:evenHBand="0" w:firstRowFirstColumn="0" w:firstRowLastColumn="0" w:lastRowFirstColumn="0" w:lastRowLastColumn="0"/>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640213" w:rsidRDefault="00640213" w:rsidP="005A0873">
            <w:pPr>
              <w:pStyle w:val="Paragraphedeliste"/>
              <w:spacing w:line="240" w:lineRule="auto"/>
              <w:ind w:left="0"/>
              <w:rPr>
                <w:rFonts w:ascii="Times New Roman" w:hAnsi="Times New Roman"/>
                <w:sz w:val="24"/>
              </w:rPr>
            </w:pPr>
          </w:p>
        </w:tc>
        <w:tc>
          <w:tcPr>
            <w:tcW w:w="995" w:type="dxa"/>
          </w:tcPr>
          <w:p w:rsidR="00640213" w:rsidRPr="00640213" w:rsidRDefault="00640213"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Avg.</w:t>
            </w:r>
          </w:p>
        </w:tc>
        <w:tc>
          <w:tcPr>
            <w:tcW w:w="1016" w:type="dxa"/>
            <w:gridSpan w:val="2"/>
          </w:tcPr>
          <w:p w:rsidR="00640213" w:rsidRPr="00640213" w:rsidRDefault="00640213"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 xml:space="preserve">Median </w:t>
            </w:r>
          </w:p>
        </w:tc>
        <w:tc>
          <w:tcPr>
            <w:tcW w:w="991" w:type="dxa"/>
          </w:tcPr>
          <w:p w:rsidR="00640213" w:rsidRPr="00640213" w:rsidRDefault="00640213"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Median</w:t>
            </w:r>
          </w:p>
        </w:tc>
        <w:tc>
          <w:tcPr>
            <w:tcW w:w="992" w:type="dxa"/>
          </w:tcPr>
          <w:p w:rsidR="00640213" w:rsidRPr="00640213" w:rsidRDefault="00640213"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 xml:space="preserve">Median </w:t>
            </w:r>
          </w:p>
        </w:tc>
        <w:tc>
          <w:tcPr>
            <w:tcW w:w="0" w:type="auto"/>
          </w:tcPr>
          <w:p w:rsidR="00640213" w:rsidRPr="00640213" w:rsidRDefault="00640213"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Avg.</w:t>
            </w:r>
          </w:p>
        </w:tc>
        <w:tc>
          <w:tcPr>
            <w:tcW w:w="0" w:type="auto"/>
          </w:tcPr>
          <w:p w:rsidR="00640213" w:rsidRPr="00640213" w:rsidRDefault="00640213"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Median</w:t>
            </w:r>
          </w:p>
        </w:tc>
      </w:tr>
      <w:tr w:rsidR="00640213" w:rsidRPr="00640213" w:rsidTr="009A671B">
        <w:trPr>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640213" w:rsidRDefault="00640213" w:rsidP="005A0873">
            <w:pPr>
              <w:pStyle w:val="Paragraphedeliste"/>
              <w:spacing w:line="240" w:lineRule="auto"/>
              <w:ind w:left="0"/>
              <w:rPr>
                <w:rFonts w:ascii="Times New Roman" w:hAnsi="Times New Roman"/>
                <w:sz w:val="24"/>
              </w:rPr>
            </w:pPr>
            <w:r>
              <w:rPr>
                <w:rFonts w:ascii="Times New Roman" w:hAnsi="Times New Roman"/>
                <w:sz w:val="24"/>
              </w:rPr>
              <w:t>Capital (millions 1983$)</w:t>
            </w:r>
          </w:p>
        </w:tc>
        <w:tc>
          <w:tcPr>
            <w:tcW w:w="0" w:type="auto"/>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953.18</w:t>
            </w:r>
          </w:p>
        </w:tc>
        <w:tc>
          <w:tcPr>
            <w:tcW w:w="1016" w:type="dxa"/>
            <w:gridSpan w:val="2"/>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35.61</w:t>
            </w:r>
          </w:p>
        </w:tc>
        <w:tc>
          <w:tcPr>
            <w:tcW w:w="991" w:type="dxa"/>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408.78</w:t>
            </w:r>
          </w:p>
        </w:tc>
        <w:tc>
          <w:tcPr>
            <w:tcW w:w="992" w:type="dxa"/>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70.05</w:t>
            </w:r>
          </w:p>
        </w:tc>
        <w:tc>
          <w:tcPr>
            <w:tcW w:w="0" w:type="auto"/>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88.02</w:t>
            </w:r>
          </w:p>
        </w:tc>
        <w:tc>
          <w:tcPr>
            <w:tcW w:w="0" w:type="auto"/>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24.58</w:t>
            </w:r>
          </w:p>
        </w:tc>
      </w:tr>
      <w:tr w:rsidR="00640213" w:rsidRPr="00640213" w:rsidTr="009A671B">
        <w:trPr>
          <w:cnfStyle w:val="000000100000" w:firstRow="0" w:lastRow="0" w:firstColumn="0" w:lastColumn="0" w:oddVBand="0" w:evenVBand="0" w:oddHBand="1" w:evenHBand="0" w:firstRowFirstColumn="0" w:firstRowLastColumn="0" w:lastRowFirstColumn="0" w:lastRowLastColumn="0"/>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640213" w:rsidRDefault="00640213" w:rsidP="005A0873">
            <w:pPr>
              <w:pStyle w:val="Paragraphedeliste"/>
              <w:spacing w:line="240" w:lineRule="auto"/>
              <w:ind w:left="0"/>
              <w:rPr>
                <w:rFonts w:ascii="Times New Roman" w:hAnsi="Times New Roman"/>
                <w:sz w:val="24"/>
              </w:rPr>
            </w:pPr>
            <w:r>
              <w:rPr>
                <w:rFonts w:ascii="Times New Roman" w:hAnsi="Times New Roman"/>
                <w:sz w:val="24"/>
              </w:rPr>
              <w:t>Cash (millions 1983$)</w:t>
            </w:r>
          </w:p>
        </w:tc>
        <w:tc>
          <w:tcPr>
            <w:tcW w:w="1005" w:type="dxa"/>
            <w:gridSpan w:val="2"/>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125.77</w:t>
            </w:r>
          </w:p>
        </w:tc>
        <w:tc>
          <w:tcPr>
            <w:tcW w:w="1006" w:type="dxa"/>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9.87</w:t>
            </w:r>
          </w:p>
        </w:tc>
        <w:tc>
          <w:tcPr>
            <w:tcW w:w="991" w:type="dxa"/>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52.84</w:t>
            </w:r>
          </w:p>
        </w:tc>
        <w:tc>
          <w:tcPr>
            <w:tcW w:w="992" w:type="dxa"/>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5.78</w:t>
            </w:r>
          </w:p>
        </w:tc>
        <w:tc>
          <w:tcPr>
            <w:tcW w:w="0" w:type="auto"/>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14.70</w:t>
            </w:r>
          </w:p>
        </w:tc>
        <w:tc>
          <w:tcPr>
            <w:tcW w:w="0" w:type="auto"/>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3.74</w:t>
            </w:r>
          </w:p>
        </w:tc>
      </w:tr>
      <w:tr w:rsidR="00640213" w:rsidRPr="00640213" w:rsidTr="009A671B">
        <w:trPr>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640213" w:rsidRDefault="00640213" w:rsidP="005A0873">
            <w:pPr>
              <w:pStyle w:val="Paragraphedeliste"/>
              <w:spacing w:line="240" w:lineRule="auto"/>
              <w:ind w:left="0"/>
              <w:rPr>
                <w:rFonts w:ascii="Times New Roman" w:hAnsi="Times New Roman"/>
                <w:sz w:val="24"/>
              </w:rPr>
            </w:pPr>
            <w:r>
              <w:rPr>
                <w:rFonts w:ascii="Times New Roman" w:hAnsi="Times New Roman"/>
                <w:sz w:val="24"/>
              </w:rPr>
              <w:t>Assets (millions 1983$)</w:t>
            </w:r>
          </w:p>
        </w:tc>
        <w:tc>
          <w:tcPr>
            <w:tcW w:w="1005" w:type="dxa"/>
            <w:gridSpan w:val="2"/>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1371.17</w:t>
            </w:r>
          </w:p>
        </w:tc>
        <w:tc>
          <w:tcPr>
            <w:tcW w:w="1006" w:type="dxa"/>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95.59</w:t>
            </w:r>
          </w:p>
        </w:tc>
        <w:tc>
          <w:tcPr>
            <w:tcW w:w="991" w:type="dxa"/>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503.79</w:t>
            </w:r>
          </w:p>
        </w:tc>
        <w:tc>
          <w:tcPr>
            <w:tcW w:w="992" w:type="dxa"/>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97.49</w:t>
            </w:r>
          </w:p>
        </w:tc>
        <w:tc>
          <w:tcPr>
            <w:tcW w:w="0" w:type="auto"/>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139.16</w:t>
            </w:r>
          </w:p>
        </w:tc>
        <w:tc>
          <w:tcPr>
            <w:tcW w:w="0" w:type="auto"/>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53.57</w:t>
            </w:r>
          </w:p>
        </w:tc>
      </w:tr>
      <w:tr w:rsidR="00640213" w:rsidRPr="00640213" w:rsidTr="009A671B">
        <w:trPr>
          <w:cnfStyle w:val="000000100000" w:firstRow="0" w:lastRow="0" w:firstColumn="0" w:lastColumn="0" w:oddVBand="0" w:evenVBand="0" w:oddHBand="1" w:evenHBand="0" w:firstRowFirstColumn="0" w:firstRowLastColumn="0" w:lastRowFirstColumn="0" w:lastRowLastColumn="0"/>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640213" w:rsidRDefault="00640213" w:rsidP="005A0873">
            <w:pPr>
              <w:pStyle w:val="Paragraphedeliste"/>
              <w:spacing w:line="240" w:lineRule="auto"/>
              <w:ind w:left="0"/>
              <w:rPr>
                <w:rFonts w:ascii="Times New Roman" w:hAnsi="Times New Roman"/>
                <w:sz w:val="24"/>
              </w:rPr>
            </w:pPr>
            <w:r>
              <w:rPr>
                <w:rFonts w:ascii="Times New Roman" w:hAnsi="Times New Roman"/>
                <w:sz w:val="24"/>
              </w:rPr>
              <w:t>Op. Income (EBITDA) / Assets (%)</w:t>
            </w:r>
          </w:p>
        </w:tc>
        <w:tc>
          <w:tcPr>
            <w:tcW w:w="1005" w:type="dxa"/>
            <w:gridSpan w:val="2"/>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5.49</w:t>
            </w:r>
          </w:p>
        </w:tc>
        <w:tc>
          <w:tcPr>
            <w:tcW w:w="1006" w:type="dxa"/>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10.90</w:t>
            </w:r>
          </w:p>
        </w:tc>
        <w:tc>
          <w:tcPr>
            <w:tcW w:w="991" w:type="dxa"/>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-8.34</w:t>
            </w:r>
          </w:p>
        </w:tc>
        <w:tc>
          <w:tcPr>
            <w:tcW w:w="992" w:type="dxa"/>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-1.18</w:t>
            </w:r>
          </w:p>
        </w:tc>
        <w:tc>
          <w:tcPr>
            <w:tcW w:w="0" w:type="auto"/>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-12.36</w:t>
            </w:r>
          </w:p>
        </w:tc>
        <w:tc>
          <w:tcPr>
            <w:tcW w:w="0" w:type="auto"/>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-5.34</w:t>
            </w:r>
          </w:p>
        </w:tc>
      </w:tr>
      <w:tr w:rsidR="00640213" w:rsidRPr="00640213" w:rsidTr="009A671B">
        <w:trPr>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640213" w:rsidRDefault="00640213" w:rsidP="009A671B">
            <w:pPr>
              <w:pStyle w:val="Paragraphedeliste"/>
              <w:spacing w:line="240" w:lineRule="auto"/>
              <w:ind w:left="0"/>
              <w:rPr>
                <w:rFonts w:ascii="Times New Roman" w:hAnsi="Times New Roman"/>
                <w:sz w:val="24"/>
              </w:rPr>
            </w:pPr>
            <w:r>
              <w:rPr>
                <w:rFonts w:ascii="Times New Roman" w:hAnsi="Times New Roman"/>
                <w:sz w:val="24"/>
              </w:rPr>
              <w:t>Net Debt/Assets (%)</w:t>
            </w:r>
          </w:p>
        </w:tc>
        <w:tc>
          <w:tcPr>
            <w:tcW w:w="1005" w:type="dxa"/>
            <w:gridSpan w:val="2"/>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9.11</w:t>
            </w:r>
          </w:p>
        </w:tc>
        <w:tc>
          <w:tcPr>
            <w:tcW w:w="1006" w:type="dxa"/>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11.30</w:t>
            </w:r>
          </w:p>
        </w:tc>
        <w:tc>
          <w:tcPr>
            <w:tcW w:w="991" w:type="dxa"/>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29.61</w:t>
            </w:r>
          </w:p>
        </w:tc>
        <w:tc>
          <w:tcPr>
            <w:tcW w:w="992" w:type="dxa"/>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25.25</w:t>
            </w:r>
          </w:p>
        </w:tc>
        <w:tc>
          <w:tcPr>
            <w:tcW w:w="0" w:type="auto"/>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21.80</w:t>
            </w:r>
          </w:p>
        </w:tc>
        <w:tc>
          <w:tcPr>
            <w:tcW w:w="0" w:type="auto"/>
          </w:tcPr>
          <w:p w:rsidR="00640213" w:rsidRPr="00640213"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20.38</w:t>
            </w:r>
          </w:p>
        </w:tc>
      </w:tr>
      <w:tr w:rsidR="00640213" w:rsidRPr="00640213" w:rsidTr="009A671B">
        <w:trPr>
          <w:cnfStyle w:val="000000100000" w:firstRow="0" w:lastRow="0" w:firstColumn="0" w:lastColumn="0" w:oddVBand="0" w:evenVBand="0" w:oddHBand="1" w:evenHBand="0" w:firstRowFirstColumn="0" w:firstRowLastColumn="0" w:lastRowFirstColumn="0" w:lastRowLastColumn="0"/>
          <w:trHeight w:val="315"/>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640213" w:rsidRDefault="00640213" w:rsidP="009A671B">
            <w:pPr>
              <w:pStyle w:val="Paragraphedeliste"/>
              <w:spacing w:line="240" w:lineRule="auto"/>
              <w:ind w:left="0"/>
              <w:rPr>
                <w:rFonts w:ascii="Times New Roman" w:hAnsi="Times New Roman"/>
                <w:sz w:val="24"/>
              </w:rPr>
            </w:pPr>
            <w:r>
              <w:rPr>
                <w:rFonts w:ascii="Times New Roman" w:hAnsi="Times New Roman"/>
                <w:sz w:val="24"/>
              </w:rPr>
              <w:t>Total Debt/Assets (%)</w:t>
            </w:r>
          </w:p>
        </w:tc>
        <w:tc>
          <w:tcPr>
            <w:tcW w:w="1005" w:type="dxa"/>
            <w:gridSpan w:val="2"/>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28.31</w:t>
            </w:r>
          </w:p>
        </w:tc>
        <w:tc>
          <w:tcPr>
            <w:tcW w:w="1006" w:type="dxa"/>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24.45</w:t>
            </w:r>
          </w:p>
        </w:tc>
        <w:tc>
          <w:tcPr>
            <w:tcW w:w="991" w:type="dxa"/>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41.99</w:t>
            </w:r>
          </w:p>
        </w:tc>
        <w:tc>
          <w:tcPr>
            <w:tcW w:w="992" w:type="dxa"/>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36.81</w:t>
            </w:r>
          </w:p>
        </w:tc>
        <w:tc>
          <w:tcPr>
            <w:tcW w:w="0" w:type="auto"/>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39.74</w:t>
            </w:r>
          </w:p>
        </w:tc>
        <w:tc>
          <w:tcPr>
            <w:tcW w:w="0" w:type="auto"/>
          </w:tcPr>
          <w:p w:rsidR="00640213" w:rsidRPr="00640213"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34.12</w:t>
            </w:r>
          </w:p>
        </w:tc>
      </w:tr>
      <w:tr w:rsidR="00640213" w:rsidRPr="009A671B" w:rsidTr="009A671B">
        <w:trPr>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9A671B" w:rsidRDefault="009A671B" w:rsidP="005A0873">
            <w:pPr>
              <w:pStyle w:val="Paragraphedeliste"/>
              <w:spacing w:line="240" w:lineRule="auto"/>
              <w:ind w:left="0"/>
              <w:rPr>
                <w:rFonts w:ascii="Times New Roman" w:hAnsi="Times New Roman"/>
                <w:sz w:val="24"/>
                <w:lang w:val="en-US"/>
              </w:rPr>
            </w:pPr>
            <w:r w:rsidRPr="009A671B">
              <w:rPr>
                <w:rFonts w:ascii="Times New Roman" w:hAnsi="Times New Roman"/>
                <w:sz w:val="24"/>
                <w:lang w:val="en-US"/>
              </w:rPr>
              <w:t>Frac. Firms with Negative Net Debt (%)</w:t>
            </w:r>
          </w:p>
        </w:tc>
        <w:tc>
          <w:tcPr>
            <w:tcW w:w="1005" w:type="dxa"/>
            <w:gridSpan w:val="2"/>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36.07</w:t>
            </w:r>
          </w:p>
        </w:tc>
        <w:tc>
          <w:tcPr>
            <w:tcW w:w="1006" w:type="dxa"/>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w:t>
            </w:r>
          </w:p>
        </w:tc>
        <w:tc>
          <w:tcPr>
            <w:tcW w:w="991" w:type="dxa"/>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21.88</w:t>
            </w:r>
          </w:p>
        </w:tc>
        <w:tc>
          <w:tcPr>
            <w:tcW w:w="992" w:type="dxa"/>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w:t>
            </w:r>
          </w:p>
        </w:tc>
        <w:tc>
          <w:tcPr>
            <w:tcW w:w="0" w:type="auto"/>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29.30</w:t>
            </w:r>
          </w:p>
        </w:tc>
        <w:tc>
          <w:tcPr>
            <w:tcW w:w="0" w:type="auto"/>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w:t>
            </w:r>
          </w:p>
        </w:tc>
      </w:tr>
      <w:tr w:rsidR="00640213" w:rsidRPr="009A671B" w:rsidTr="009A671B">
        <w:trPr>
          <w:cnfStyle w:val="000000100000" w:firstRow="0" w:lastRow="0" w:firstColumn="0" w:lastColumn="0" w:oddVBand="0" w:evenVBand="0" w:oddHBand="1" w:evenHBand="0" w:firstRowFirstColumn="0" w:firstRowLastColumn="0" w:lastRowFirstColumn="0" w:lastRowLastColumn="0"/>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9A671B" w:rsidRDefault="009A671B" w:rsidP="009A671B">
            <w:pPr>
              <w:pStyle w:val="Paragraphedeliste"/>
              <w:spacing w:line="240" w:lineRule="auto"/>
              <w:ind w:left="0"/>
              <w:rPr>
                <w:rFonts w:ascii="Times New Roman" w:hAnsi="Times New Roman"/>
                <w:sz w:val="24"/>
                <w:lang w:val="en-US"/>
              </w:rPr>
            </w:pPr>
            <w:r>
              <w:rPr>
                <w:rFonts w:ascii="Times New Roman" w:hAnsi="Times New Roman"/>
                <w:sz w:val="24"/>
                <w:lang w:val="en-US"/>
              </w:rPr>
              <w:t>Secured Debt / Total Debt %</w:t>
            </w:r>
          </w:p>
        </w:tc>
        <w:tc>
          <w:tcPr>
            <w:tcW w:w="1005" w:type="dxa"/>
            <w:gridSpan w:val="2"/>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43.90</w:t>
            </w:r>
          </w:p>
        </w:tc>
        <w:tc>
          <w:tcPr>
            <w:tcW w:w="1006" w:type="dxa"/>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40.77</w:t>
            </w:r>
          </w:p>
        </w:tc>
        <w:tc>
          <w:tcPr>
            <w:tcW w:w="991" w:type="dxa"/>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47.63</w:t>
            </w:r>
          </w:p>
        </w:tc>
        <w:tc>
          <w:tcPr>
            <w:tcW w:w="992" w:type="dxa"/>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43.91</w:t>
            </w:r>
          </w:p>
        </w:tc>
        <w:tc>
          <w:tcPr>
            <w:tcW w:w="0" w:type="auto"/>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49.67</w:t>
            </w:r>
          </w:p>
        </w:tc>
        <w:tc>
          <w:tcPr>
            <w:tcW w:w="0" w:type="auto"/>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48.59</w:t>
            </w:r>
          </w:p>
        </w:tc>
      </w:tr>
      <w:tr w:rsidR="00640213" w:rsidRPr="009A671B" w:rsidTr="009A671B">
        <w:trPr>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9A671B" w:rsidRDefault="009A671B" w:rsidP="005A0873">
            <w:pPr>
              <w:pStyle w:val="Paragraphedeliste"/>
              <w:spacing w:line="240" w:lineRule="auto"/>
              <w:ind w:left="0"/>
              <w:rPr>
                <w:rFonts w:ascii="Times New Roman" w:hAnsi="Times New Roman"/>
                <w:sz w:val="24"/>
                <w:lang w:val="en-US"/>
              </w:rPr>
            </w:pPr>
            <w:r>
              <w:rPr>
                <w:rFonts w:ascii="Times New Roman" w:hAnsi="Times New Roman"/>
                <w:sz w:val="24"/>
                <w:lang w:val="en-US"/>
              </w:rPr>
              <w:t>Interest Coverage (EBITDA/Interest)</w:t>
            </w:r>
          </w:p>
        </w:tc>
        <w:tc>
          <w:tcPr>
            <w:tcW w:w="1005" w:type="dxa"/>
            <w:gridSpan w:val="2"/>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14.01</w:t>
            </w:r>
          </w:p>
        </w:tc>
        <w:tc>
          <w:tcPr>
            <w:tcW w:w="1006" w:type="dxa"/>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4.89</w:t>
            </w:r>
          </w:p>
        </w:tc>
        <w:tc>
          <w:tcPr>
            <w:tcW w:w="991" w:type="dxa"/>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-0.22</w:t>
            </w:r>
          </w:p>
        </w:tc>
        <w:tc>
          <w:tcPr>
            <w:tcW w:w="992" w:type="dxa"/>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-0.22</w:t>
            </w:r>
          </w:p>
        </w:tc>
        <w:tc>
          <w:tcPr>
            <w:tcW w:w="0" w:type="auto"/>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-6.42</w:t>
            </w:r>
          </w:p>
        </w:tc>
        <w:tc>
          <w:tcPr>
            <w:tcW w:w="0" w:type="auto"/>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-0.32</w:t>
            </w:r>
          </w:p>
        </w:tc>
      </w:tr>
      <w:tr w:rsidR="00640213" w:rsidRPr="009A671B" w:rsidTr="009A671B">
        <w:trPr>
          <w:cnfStyle w:val="000000100000" w:firstRow="0" w:lastRow="0" w:firstColumn="0" w:lastColumn="0" w:oddVBand="0" w:evenVBand="0" w:oddHBand="1" w:evenHBand="0" w:firstRowFirstColumn="0" w:firstRowLastColumn="0" w:lastRowFirstColumn="0" w:lastRowLastColumn="0"/>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9A671B" w:rsidRDefault="009A671B" w:rsidP="005A0873">
            <w:pPr>
              <w:pStyle w:val="Paragraphedeliste"/>
              <w:spacing w:line="240" w:lineRule="auto"/>
              <w:ind w:left="0"/>
              <w:rPr>
                <w:rFonts w:ascii="Times New Roman" w:hAnsi="Times New Roman"/>
                <w:sz w:val="24"/>
                <w:lang w:val="en-US"/>
              </w:rPr>
            </w:pPr>
            <w:r>
              <w:rPr>
                <w:rFonts w:ascii="Times New Roman" w:hAnsi="Times New Roman"/>
                <w:sz w:val="24"/>
                <w:lang w:val="en-US"/>
              </w:rPr>
              <w:t>Equity Issuance/Assets (%)</w:t>
            </w:r>
          </w:p>
        </w:tc>
        <w:tc>
          <w:tcPr>
            <w:tcW w:w="1005" w:type="dxa"/>
            <w:gridSpan w:val="2"/>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4.70</w:t>
            </w:r>
          </w:p>
        </w:tc>
        <w:tc>
          <w:tcPr>
            <w:tcW w:w="1006" w:type="dxa"/>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0.06</w:t>
            </w:r>
          </w:p>
        </w:tc>
        <w:tc>
          <w:tcPr>
            <w:tcW w:w="991" w:type="dxa"/>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2.84</w:t>
            </w:r>
          </w:p>
        </w:tc>
        <w:tc>
          <w:tcPr>
            <w:tcW w:w="992" w:type="dxa"/>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0.01</w:t>
            </w:r>
          </w:p>
        </w:tc>
        <w:tc>
          <w:tcPr>
            <w:tcW w:w="0" w:type="auto"/>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2.64</w:t>
            </w:r>
          </w:p>
        </w:tc>
        <w:tc>
          <w:tcPr>
            <w:tcW w:w="0" w:type="auto"/>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0.01</w:t>
            </w:r>
          </w:p>
        </w:tc>
      </w:tr>
      <w:tr w:rsidR="00640213" w:rsidRPr="009A671B" w:rsidTr="009A671B">
        <w:trPr>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9A671B" w:rsidRDefault="009A671B" w:rsidP="005A0873">
            <w:pPr>
              <w:pStyle w:val="Paragraphedeliste"/>
              <w:spacing w:line="240" w:lineRule="auto"/>
              <w:ind w:left="0"/>
              <w:rPr>
                <w:rFonts w:ascii="Times New Roman" w:hAnsi="Times New Roman"/>
                <w:sz w:val="24"/>
                <w:lang w:val="en-US"/>
              </w:rPr>
            </w:pPr>
            <w:r>
              <w:rPr>
                <w:rFonts w:ascii="Times New Roman" w:hAnsi="Times New Roman"/>
                <w:sz w:val="24"/>
                <w:lang w:val="en-US"/>
              </w:rPr>
              <w:t>Fraction Firms Issuing Equity (%)</w:t>
            </w:r>
          </w:p>
        </w:tc>
        <w:tc>
          <w:tcPr>
            <w:tcW w:w="1005" w:type="dxa"/>
            <w:gridSpan w:val="2"/>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22.04</w:t>
            </w:r>
          </w:p>
        </w:tc>
        <w:tc>
          <w:tcPr>
            <w:tcW w:w="1006" w:type="dxa"/>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w:t>
            </w:r>
          </w:p>
        </w:tc>
        <w:tc>
          <w:tcPr>
            <w:tcW w:w="991" w:type="dxa"/>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13.14</w:t>
            </w:r>
          </w:p>
        </w:tc>
        <w:tc>
          <w:tcPr>
            <w:tcW w:w="992" w:type="dxa"/>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w:t>
            </w:r>
          </w:p>
        </w:tc>
        <w:tc>
          <w:tcPr>
            <w:tcW w:w="0" w:type="auto"/>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15.61</w:t>
            </w:r>
          </w:p>
        </w:tc>
        <w:tc>
          <w:tcPr>
            <w:tcW w:w="0" w:type="auto"/>
          </w:tcPr>
          <w:p w:rsidR="00640213"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w:t>
            </w:r>
          </w:p>
        </w:tc>
      </w:tr>
      <w:tr w:rsidR="00640213" w:rsidRPr="009A671B" w:rsidTr="009A671B">
        <w:trPr>
          <w:cnfStyle w:val="000000100000" w:firstRow="0" w:lastRow="0" w:firstColumn="0" w:lastColumn="0" w:oddVBand="0" w:evenVBand="0" w:oddHBand="1" w:evenHBand="0" w:firstRowFirstColumn="0" w:firstRowLastColumn="0" w:lastRowFirstColumn="0" w:lastRowLastColumn="0"/>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640213" w:rsidRPr="009A671B" w:rsidRDefault="009A671B" w:rsidP="005A0873">
            <w:pPr>
              <w:pStyle w:val="Paragraphedeliste"/>
              <w:spacing w:line="240" w:lineRule="auto"/>
              <w:ind w:left="0"/>
              <w:rPr>
                <w:rFonts w:ascii="Times New Roman" w:hAnsi="Times New Roman"/>
                <w:sz w:val="24"/>
                <w:lang w:val="en-US"/>
              </w:rPr>
            </w:pPr>
            <w:r>
              <w:rPr>
                <w:rFonts w:ascii="Times New Roman" w:hAnsi="Times New Roman"/>
                <w:sz w:val="24"/>
                <w:lang w:val="en-US"/>
              </w:rPr>
              <w:t>Net Investment/Assets (%)</w:t>
            </w:r>
          </w:p>
        </w:tc>
        <w:tc>
          <w:tcPr>
            <w:tcW w:w="1005" w:type="dxa"/>
            <w:gridSpan w:val="2"/>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1.16</w:t>
            </w:r>
          </w:p>
        </w:tc>
        <w:tc>
          <w:tcPr>
            <w:tcW w:w="1006" w:type="dxa"/>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0.34</w:t>
            </w:r>
          </w:p>
        </w:tc>
        <w:tc>
          <w:tcPr>
            <w:tcW w:w="991" w:type="dxa"/>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-2.94</w:t>
            </w:r>
          </w:p>
        </w:tc>
        <w:tc>
          <w:tcPr>
            <w:tcW w:w="992" w:type="dxa"/>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-3.09</w:t>
            </w:r>
          </w:p>
        </w:tc>
        <w:tc>
          <w:tcPr>
            <w:tcW w:w="0" w:type="auto"/>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-2.24</w:t>
            </w:r>
          </w:p>
        </w:tc>
        <w:tc>
          <w:tcPr>
            <w:tcW w:w="0" w:type="auto"/>
          </w:tcPr>
          <w:p w:rsidR="00640213"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-2.30</w:t>
            </w:r>
          </w:p>
        </w:tc>
      </w:tr>
      <w:tr w:rsidR="009A671B" w:rsidRPr="009A671B" w:rsidTr="009A671B">
        <w:trPr>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9A671B" w:rsidRDefault="009A671B" w:rsidP="005A0873">
            <w:pPr>
              <w:pStyle w:val="Paragraphedeliste"/>
              <w:spacing w:line="240" w:lineRule="auto"/>
              <w:ind w:left="0"/>
              <w:rPr>
                <w:rFonts w:ascii="Times New Roman" w:hAnsi="Times New Roman"/>
                <w:sz w:val="24"/>
                <w:lang w:val="en-US"/>
              </w:rPr>
            </w:pPr>
            <w:r>
              <w:rPr>
                <w:rFonts w:ascii="Times New Roman" w:hAnsi="Times New Roman"/>
                <w:sz w:val="24"/>
                <w:lang w:val="en-US"/>
              </w:rPr>
              <w:t>Dividend/Assets (%)</w:t>
            </w:r>
          </w:p>
        </w:tc>
        <w:tc>
          <w:tcPr>
            <w:tcW w:w="1005" w:type="dxa"/>
            <w:gridSpan w:val="2"/>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3.49</w:t>
            </w:r>
          </w:p>
        </w:tc>
        <w:tc>
          <w:tcPr>
            <w:tcW w:w="1006" w:type="dxa"/>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2.03</w:t>
            </w:r>
          </w:p>
        </w:tc>
        <w:tc>
          <w:tcPr>
            <w:tcW w:w="991" w:type="dxa"/>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1.80</w:t>
            </w:r>
          </w:p>
        </w:tc>
        <w:tc>
          <w:tcPr>
            <w:tcW w:w="992" w:type="dxa"/>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0.87</w:t>
            </w:r>
          </w:p>
        </w:tc>
        <w:tc>
          <w:tcPr>
            <w:tcW w:w="0" w:type="auto"/>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2.31</w:t>
            </w:r>
          </w:p>
        </w:tc>
        <w:tc>
          <w:tcPr>
            <w:tcW w:w="0" w:type="auto"/>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1.19</w:t>
            </w:r>
          </w:p>
        </w:tc>
      </w:tr>
      <w:tr w:rsidR="009A671B" w:rsidRPr="009A671B" w:rsidTr="009A671B">
        <w:trPr>
          <w:cnfStyle w:val="000000100000" w:firstRow="0" w:lastRow="0" w:firstColumn="0" w:lastColumn="0" w:oddVBand="0" w:evenVBand="0" w:oddHBand="1" w:evenHBand="0" w:firstRowFirstColumn="0" w:firstRowLastColumn="0" w:lastRowFirstColumn="0" w:lastRowLastColumn="0"/>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9A671B" w:rsidRDefault="009A671B" w:rsidP="005A0873">
            <w:pPr>
              <w:pStyle w:val="Paragraphedeliste"/>
              <w:spacing w:line="240" w:lineRule="auto"/>
              <w:ind w:left="0"/>
              <w:rPr>
                <w:rFonts w:ascii="Times New Roman" w:hAnsi="Times New Roman"/>
                <w:sz w:val="24"/>
                <w:lang w:val="en-US"/>
              </w:rPr>
            </w:pPr>
            <w:r>
              <w:rPr>
                <w:rFonts w:ascii="Times New Roman" w:hAnsi="Times New Roman"/>
                <w:sz w:val="24"/>
                <w:lang w:val="en-US"/>
              </w:rPr>
              <w:t>Z-score</w:t>
            </w:r>
          </w:p>
        </w:tc>
        <w:tc>
          <w:tcPr>
            <w:tcW w:w="1005" w:type="dxa"/>
            <w:gridSpan w:val="2"/>
          </w:tcPr>
          <w:p w:rsidR="009A671B"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3.74</w:t>
            </w:r>
          </w:p>
        </w:tc>
        <w:tc>
          <w:tcPr>
            <w:tcW w:w="1006" w:type="dxa"/>
          </w:tcPr>
          <w:p w:rsidR="009A671B"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3.20</w:t>
            </w:r>
          </w:p>
        </w:tc>
        <w:tc>
          <w:tcPr>
            <w:tcW w:w="991" w:type="dxa"/>
          </w:tcPr>
          <w:p w:rsidR="009A671B"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-1.36</w:t>
            </w:r>
          </w:p>
        </w:tc>
        <w:tc>
          <w:tcPr>
            <w:tcW w:w="992" w:type="dxa"/>
          </w:tcPr>
          <w:p w:rsidR="009A671B"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-0.05</w:t>
            </w:r>
          </w:p>
        </w:tc>
        <w:tc>
          <w:tcPr>
            <w:tcW w:w="0" w:type="auto"/>
          </w:tcPr>
          <w:p w:rsidR="009A671B"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-1.42</w:t>
            </w:r>
          </w:p>
        </w:tc>
        <w:tc>
          <w:tcPr>
            <w:tcW w:w="0" w:type="auto"/>
          </w:tcPr>
          <w:p w:rsidR="009A671B" w:rsidRPr="009A671B" w:rsidRDefault="009A671B" w:rsidP="005A0873">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0.14</w:t>
            </w:r>
          </w:p>
        </w:tc>
      </w:tr>
      <w:tr w:rsidR="009A671B" w:rsidRPr="009A671B" w:rsidTr="009A671B">
        <w:trPr>
          <w:trHeight w:val="298"/>
          <w:jc w:val="right"/>
        </w:trPr>
        <w:tc>
          <w:tcPr>
            <w:cnfStyle w:val="001000000000" w:firstRow="0" w:lastRow="0" w:firstColumn="1" w:lastColumn="0" w:oddVBand="0" w:evenVBand="0" w:oddHBand="0" w:evenHBand="0" w:firstRowFirstColumn="0" w:firstRowLastColumn="0" w:lastRowFirstColumn="0" w:lastRowLastColumn="0"/>
            <w:tcW w:w="0" w:type="auto"/>
          </w:tcPr>
          <w:p w:rsidR="009A671B" w:rsidRDefault="009A671B" w:rsidP="005A0873">
            <w:pPr>
              <w:pStyle w:val="Paragraphedeliste"/>
              <w:spacing w:line="240" w:lineRule="auto"/>
              <w:ind w:left="0"/>
              <w:rPr>
                <w:rFonts w:ascii="Times New Roman" w:hAnsi="Times New Roman"/>
                <w:sz w:val="24"/>
                <w:lang w:val="en-US"/>
              </w:rPr>
            </w:pPr>
            <w:r>
              <w:rPr>
                <w:rFonts w:ascii="Times New Roman" w:hAnsi="Times New Roman"/>
                <w:sz w:val="24"/>
                <w:lang w:val="en-US"/>
              </w:rPr>
              <w:t>DD Prob. Of Default (%)</w:t>
            </w:r>
          </w:p>
        </w:tc>
        <w:tc>
          <w:tcPr>
            <w:tcW w:w="1005" w:type="dxa"/>
            <w:gridSpan w:val="2"/>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2.13</w:t>
            </w:r>
          </w:p>
        </w:tc>
        <w:tc>
          <w:tcPr>
            <w:tcW w:w="1006" w:type="dxa"/>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0.01</w:t>
            </w:r>
          </w:p>
        </w:tc>
        <w:tc>
          <w:tcPr>
            <w:tcW w:w="991" w:type="dxa"/>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3.60</w:t>
            </w:r>
          </w:p>
        </w:tc>
        <w:tc>
          <w:tcPr>
            <w:tcW w:w="992" w:type="dxa"/>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1.24</w:t>
            </w:r>
          </w:p>
        </w:tc>
        <w:tc>
          <w:tcPr>
            <w:tcW w:w="0" w:type="auto"/>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3.71</w:t>
            </w:r>
          </w:p>
        </w:tc>
        <w:tc>
          <w:tcPr>
            <w:tcW w:w="0" w:type="auto"/>
          </w:tcPr>
          <w:p w:rsidR="009A671B" w:rsidRPr="009A671B" w:rsidRDefault="009A671B" w:rsidP="005A0873">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1.07</w:t>
            </w:r>
          </w:p>
        </w:tc>
      </w:tr>
    </w:tbl>
    <w:p w:rsidR="00640213" w:rsidRDefault="00640213" w:rsidP="005A0873">
      <w:pPr>
        <w:pStyle w:val="Paragraphedeliste"/>
        <w:spacing w:line="240" w:lineRule="auto"/>
        <w:ind w:left="786"/>
        <w:rPr>
          <w:rFonts w:ascii="Times New Roman" w:hAnsi="Times New Roman"/>
          <w:sz w:val="24"/>
          <w:u w:val="single"/>
          <w:lang w:val="en-US"/>
        </w:rPr>
      </w:pPr>
    </w:p>
    <w:p w:rsidR="009A671B" w:rsidRDefault="009A671B" w:rsidP="005A0873">
      <w:pPr>
        <w:pStyle w:val="Paragraphedeliste"/>
        <w:spacing w:line="240" w:lineRule="auto"/>
        <w:ind w:left="786"/>
        <w:rPr>
          <w:rFonts w:ascii="Times New Roman" w:hAnsi="Times New Roman"/>
          <w:sz w:val="24"/>
        </w:rPr>
      </w:pPr>
      <w:r w:rsidRPr="009A671B">
        <w:rPr>
          <w:rFonts w:ascii="Times New Roman" w:hAnsi="Times New Roman"/>
          <w:sz w:val="24"/>
        </w:rPr>
        <w:t>On voit que l’analyse macro des données financières</w:t>
      </w:r>
      <w:r w:rsidR="00354961">
        <w:rPr>
          <w:rStyle w:val="Appelnotedebasdep"/>
          <w:rFonts w:ascii="Times New Roman" w:hAnsi="Times New Roman"/>
          <w:sz w:val="24"/>
        </w:rPr>
        <w:footnoteReference w:id="340"/>
      </w:r>
      <w:r w:rsidRPr="009A671B">
        <w:rPr>
          <w:rFonts w:ascii="Times New Roman" w:hAnsi="Times New Roman"/>
          <w:sz w:val="24"/>
        </w:rPr>
        <w:t xml:space="preserve"> permet</w:t>
      </w:r>
      <w:r>
        <w:rPr>
          <w:rFonts w:ascii="Times New Roman" w:hAnsi="Times New Roman"/>
          <w:sz w:val="24"/>
        </w:rPr>
        <w:t xml:space="preserve"> de définir les cibles potentielles du droit au retour à la solvabilité.</w:t>
      </w:r>
    </w:p>
    <w:p w:rsidR="009A671B" w:rsidRDefault="009A671B" w:rsidP="005A0873">
      <w:pPr>
        <w:pStyle w:val="Paragraphedeliste"/>
        <w:spacing w:line="240" w:lineRule="auto"/>
        <w:ind w:left="786"/>
        <w:rPr>
          <w:rFonts w:ascii="Times New Roman" w:hAnsi="Times New Roman"/>
          <w:sz w:val="24"/>
        </w:rPr>
      </w:pPr>
    </w:p>
    <w:p w:rsidR="009A671B" w:rsidRDefault="009A671B" w:rsidP="005A0873">
      <w:pPr>
        <w:pStyle w:val="Paragraphedeliste"/>
        <w:spacing w:line="240" w:lineRule="auto"/>
        <w:ind w:left="786"/>
        <w:rPr>
          <w:rFonts w:ascii="Times New Roman" w:hAnsi="Times New Roman"/>
          <w:sz w:val="24"/>
        </w:rPr>
      </w:pPr>
      <w:r>
        <w:rPr>
          <w:rFonts w:ascii="Times New Roman" w:hAnsi="Times New Roman"/>
          <w:sz w:val="24"/>
        </w:rPr>
        <w:t>Le tableau suivant illustre les ratios dette/actif et EBITDA/actif.</w:t>
      </w:r>
    </w:p>
    <w:p w:rsidR="009A671B" w:rsidRDefault="009A671B" w:rsidP="005A0873">
      <w:pPr>
        <w:pStyle w:val="Paragraphedeliste"/>
        <w:spacing w:line="240" w:lineRule="auto"/>
        <w:ind w:left="786"/>
        <w:rPr>
          <w:rFonts w:ascii="Times New Roman" w:hAnsi="Times New Roman"/>
          <w:sz w:val="24"/>
        </w:rPr>
      </w:pPr>
    </w:p>
    <w:p w:rsidR="009A671B" w:rsidRPr="009A671B" w:rsidRDefault="009A671B" w:rsidP="005A0873">
      <w:pPr>
        <w:pStyle w:val="Paragraphedeliste"/>
        <w:spacing w:line="240" w:lineRule="auto"/>
        <w:ind w:left="786"/>
        <w:rPr>
          <w:rFonts w:ascii="Times New Roman" w:hAnsi="Times New Roman"/>
          <w:sz w:val="24"/>
        </w:rPr>
      </w:pPr>
      <w:r>
        <w:rPr>
          <w:noProof/>
          <w:lang w:eastAsia="fr-BE"/>
        </w:rPr>
        <w:drawing>
          <wp:inline distT="0" distB="0" distL="0" distR="0" wp14:anchorId="3DB74620" wp14:editId="3B0A15A3">
            <wp:extent cx="5286375" cy="4619625"/>
            <wp:effectExtent l="19050" t="19050" r="28575" b="285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25865" cy="4654134"/>
                    </a:xfrm>
                    <a:prstGeom prst="rect">
                      <a:avLst/>
                    </a:prstGeom>
                    <a:ln w="12700">
                      <a:solidFill>
                        <a:schemeClr val="accent1"/>
                      </a:solidFill>
                    </a:ln>
                  </pic:spPr>
                </pic:pic>
              </a:graphicData>
            </a:graphic>
          </wp:inline>
        </w:drawing>
      </w:r>
    </w:p>
    <w:p w:rsidR="008064D7" w:rsidRDefault="008064D7" w:rsidP="000E4FCA">
      <w:pPr>
        <w:spacing w:line="240" w:lineRule="auto"/>
        <w:rPr>
          <w:rFonts w:ascii="Times New Roman" w:hAnsi="Times New Roman"/>
          <w:sz w:val="24"/>
          <w:u w:val="single"/>
        </w:rPr>
      </w:pPr>
    </w:p>
    <w:p w:rsidR="00CB620C" w:rsidRPr="009A671B" w:rsidRDefault="00CB620C" w:rsidP="000E4FCA">
      <w:pPr>
        <w:spacing w:line="240" w:lineRule="auto"/>
        <w:rPr>
          <w:rFonts w:ascii="Times New Roman" w:hAnsi="Times New Roman"/>
          <w:sz w:val="24"/>
          <w:u w:val="single"/>
        </w:rPr>
      </w:pPr>
    </w:p>
    <w:p w:rsidR="008064D7" w:rsidRDefault="008064D7" w:rsidP="000E4FCA">
      <w:pPr>
        <w:spacing w:line="240" w:lineRule="auto"/>
        <w:ind w:left="786"/>
        <w:rPr>
          <w:rFonts w:ascii="Times New Roman" w:hAnsi="Times New Roman"/>
          <w:sz w:val="24"/>
        </w:rPr>
      </w:pPr>
      <w:r w:rsidRPr="000E4FCA">
        <w:rPr>
          <w:rFonts w:ascii="Times New Roman" w:hAnsi="Times New Roman"/>
          <w:sz w:val="24"/>
        </w:rPr>
        <w:t>D’autres auteurs</w:t>
      </w:r>
      <w:r w:rsidRPr="00A51A45">
        <w:rPr>
          <w:rStyle w:val="Appelnotedebasdep"/>
          <w:rFonts w:ascii="Times New Roman" w:hAnsi="Times New Roman"/>
          <w:sz w:val="24"/>
        </w:rPr>
        <w:footnoteReference w:id="341"/>
      </w:r>
      <w:r w:rsidRPr="00A51A45">
        <w:t xml:space="preserve"> </w:t>
      </w:r>
      <w:r w:rsidRPr="000E4FCA">
        <w:rPr>
          <w:rFonts w:ascii="Times New Roman" w:hAnsi="Times New Roman"/>
          <w:sz w:val="24"/>
        </w:rPr>
        <w:t xml:space="preserve">ont </w:t>
      </w:r>
      <w:r w:rsidR="009A671B">
        <w:rPr>
          <w:rFonts w:ascii="Times New Roman" w:hAnsi="Times New Roman"/>
          <w:sz w:val="24"/>
        </w:rPr>
        <w:t>cherché, sur des bases de données similaires, quels étaient les effets de ces procédures</w:t>
      </w:r>
      <w:r w:rsidRPr="00A51A45">
        <w:rPr>
          <w:rFonts w:ascii="Times New Roman" w:hAnsi="Times New Roman"/>
        </w:rPr>
        <w:t xml:space="preserve">. </w:t>
      </w:r>
      <w:r w:rsidRPr="00A51A45">
        <w:rPr>
          <w:rFonts w:ascii="Times New Roman" w:hAnsi="Times New Roman"/>
          <w:sz w:val="24"/>
        </w:rPr>
        <w:t>Ils ont établi un</w:t>
      </w:r>
      <w:r>
        <w:rPr>
          <w:rFonts w:ascii="Times New Roman" w:hAnsi="Times New Roman"/>
          <w:sz w:val="24"/>
        </w:rPr>
        <w:t xml:space="preserve"> tableau qui ne peut être décorrélée</w:t>
      </w:r>
      <w:r w:rsidRPr="00A51A45">
        <w:rPr>
          <w:rFonts w:ascii="Times New Roman" w:hAnsi="Times New Roman"/>
          <w:sz w:val="24"/>
        </w:rPr>
        <w:t xml:space="preserve"> de la question de la valeur. </w:t>
      </w:r>
    </w:p>
    <w:p w:rsidR="00CB620C" w:rsidRDefault="00CB620C" w:rsidP="000E4FCA">
      <w:pPr>
        <w:spacing w:line="240" w:lineRule="auto"/>
        <w:ind w:left="786"/>
        <w:rPr>
          <w:rFonts w:ascii="Times New Roman" w:hAnsi="Times New Roman"/>
          <w:sz w:val="24"/>
        </w:rPr>
      </w:pPr>
    </w:p>
    <w:p w:rsidR="00CB620C" w:rsidRDefault="00CB620C" w:rsidP="000E4FCA">
      <w:pPr>
        <w:spacing w:line="240" w:lineRule="auto"/>
        <w:ind w:left="786"/>
        <w:rPr>
          <w:rFonts w:ascii="Times New Roman" w:hAnsi="Times New Roman"/>
          <w:sz w:val="24"/>
        </w:rPr>
      </w:pPr>
      <w:r>
        <w:rPr>
          <w:rFonts w:ascii="Times New Roman" w:hAnsi="Times New Roman"/>
          <w:sz w:val="24"/>
        </w:rPr>
        <w:t>Le tableau illustre la valeur en PIB apportée et la valeur par vente apportée.</w:t>
      </w:r>
    </w:p>
    <w:p w:rsidR="00CB620C" w:rsidRDefault="00CB620C">
      <w:pPr>
        <w:spacing w:after="160" w:line="259" w:lineRule="auto"/>
        <w:jc w:val="left"/>
        <w:rPr>
          <w:rFonts w:ascii="Times New Roman" w:hAnsi="Times New Roman"/>
          <w:sz w:val="24"/>
        </w:rPr>
      </w:pPr>
      <w:r>
        <w:rPr>
          <w:rFonts w:ascii="Times New Roman" w:hAnsi="Times New Roman"/>
          <w:sz w:val="24"/>
        </w:rPr>
        <w:br w:type="page"/>
      </w:r>
    </w:p>
    <w:p w:rsidR="00CB620C" w:rsidRDefault="00CB620C" w:rsidP="000E4FCA">
      <w:pPr>
        <w:spacing w:line="240" w:lineRule="auto"/>
        <w:ind w:left="786"/>
        <w:rPr>
          <w:rFonts w:ascii="Times New Roman" w:hAnsi="Times New Roman"/>
          <w:sz w:val="24"/>
        </w:rPr>
      </w:pPr>
    </w:p>
    <w:p w:rsidR="00CB620C" w:rsidRPr="00A51A45" w:rsidRDefault="00CB620C" w:rsidP="000E4FCA">
      <w:pPr>
        <w:spacing w:line="240" w:lineRule="auto"/>
        <w:ind w:left="786"/>
        <w:rPr>
          <w:rFonts w:ascii="Times New Roman" w:hAnsi="Times New Roman"/>
          <w:sz w:val="24"/>
        </w:rPr>
      </w:pPr>
      <w:r>
        <w:rPr>
          <w:noProof/>
          <w:lang w:eastAsia="fr-BE"/>
        </w:rPr>
        <w:drawing>
          <wp:anchor distT="0" distB="0" distL="114300" distR="114300" simplePos="0" relativeHeight="251670528" behindDoc="1" locked="0" layoutInCell="1" allowOverlap="1" wp14:anchorId="0CECEA28" wp14:editId="77DFAF22">
            <wp:simplePos x="0" y="0"/>
            <wp:positionH relativeFrom="margin">
              <wp:align>center</wp:align>
            </wp:positionH>
            <wp:positionV relativeFrom="paragraph">
              <wp:posOffset>11430</wp:posOffset>
            </wp:positionV>
            <wp:extent cx="5330431" cy="5238750"/>
            <wp:effectExtent l="19050" t="19050" r="22860" b="190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330431" cy="5238750"/>
                    </a:xfrm>
                    <a:prstGeom prst="rect">
                      <a:avLst/>
                    </a:prstGeom>
                    <a:ln w="12700">
                      <a:solidFill>
                        <a:schemeClr val="accent1"/>
                      </a:solidFill>
                    </a:ln>
                  </pic:spPr>
                </pic:pic>
              </a:graphicData>
            </a:graphic>
            <wp14:sizeRelH relativeFrom="margin">
              <wp14:pctWidth>0</wp14:pctWidth>
            </wp14:sizeRelH>
            <wp14:sizeRelV relativeFrom="margin">
              <wp14:pctHeight>0</wp14:pctHeight>
            </wp14:sizeRelV>
          </wp:anchor>
        </w:drawing>
      </w:r>
    </w:p>
    <w:p w:rsidR="008064D7" w:rsidRPr="00A51A45" w:rsidRDefault="008064D7" w:rsidP="000E4FCA">
      <w:pPr>
        <w:spacing w:line="240" w:lineRule="auto"/>
        <w:ind w:left="786"/>
        <w:rPr>
          <w:rFonts w:ascii="Times New Roman" w:hAnsi="Times New Roman"/>
          <w:sz w:val="24"/>
        </w:rPr>
      </w:pPr>
    </w:p>
    <w:p w:rsidR="008064D7" w:rsidRDefault="008064D7" w:rsidP="00366DEE">
      <w:pPr>
        <w:pStyle w:val="Paragraphedeliste"/>
        <w:spacing w:line="240" w:lineRule="auto"/>
        <w:ind w:left="786"/>
        <w:rPr>
          <w:rFonts w:ascii="Times New Roman" w:hAnsi="Times New Roman"/>
          <w:sz w:val="24"/>
        </w:rPr>
      </w:pPr>
    </w:p>
    <w:p w:rsidR="008064D7" w:rsidRDefault="008064D7" w:rsidP="00366DEE">
      <w:pPr>
        <w:pStyle w:val="Paragraphedeliste"/>
        <w:spacing w:line="240" w:lineRule="auto"/>
        <w:ind w:left="786"/>
        <w:rPr>
          <w:rFonts w:ascii="Times New Roman" w:hAnsi="Times New Roman"/>
          <w:sz w:val="24"/>
        </w:rPr>
      </w:pPr>
    </w:p>
    <w:p w:rsidR="008064D7" w:rsidRDefault="008064D7" w:rsidP="00366DEE">
      <w:pPr>
        <w:pStyle w:val="Paragraphedeliste"/>
        <w:spacing w:line="240" w:lineRule="auto"/>
        <w:ind w:left="786"/>
        <w:rPr>
          <w:rFonts w:ascii="Times New Roman" w:hAnsi="Times New Roman"/>
          <w:sz w:val="24"/>
        </w:rPr>
      </w:pPr>
    </w:p>
    <w:p w:rsidR="008064D7" w:rsidRDefault="008064D7" w:rsidP="00366DEE">
      <w:pPr>
        <w:pStyle w:val="Paragraphedeliste"/>
        <w:spacing w:line="240" w:lineRule="auto"/>
        <w:ind w:left="786"/>
        <w:rPr>
          <w:rFonts w:ascii="Times New Roman" w:hAnsi="Times New Roman"/>
          <w:sz w:val="24"/>
        </w:rPr>
      </w:pPr>
    </w:p>
    <w:p w:rsidR="008064D7" w:rsidRDefault="008064D7" w:rsidP="00366DEE">
      <w:pPr>
        <w:pStyle w:val="Paragraphedeliste"/>
        <w:spacing w:line="240" w:lineRule="auto"/>
        <w:ind w:left="786"/>
        <w:rPr>
          <w:rFonts w:ascii="Times New Roman" w:hAnsi="Times New Roman"/>
          <w:sz w:val="24"/>
        </w:rPr>
      </w:pPr>
    </w:p>
    <w:p w:rsidR="008064D7" w:rsidRDefault="008064D7"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CB620C" w:rsidRDefault="00CB620C" w:rsidP="00366DEE">
      <w:pPr>
        <w:pStyle w:val="Paragraphedeliste"/>
        <w:spacing w:line="240" w:lineRule="auto"/>
        <w:ind w:left="786"/>
        <w:rPr>
          <w:rFonts w:ascii="Times New Roman" w:hAnsi="Times New Roman"/>
          <w:sz w:val="24"/>
        </w:rPr>
      </w:pPr>
    </w:p>
    <w:p w:rsidR="008064D7" w:rsidRDefault="008064D7" w:rsidP="00366DEE">
      <w:pPr>
        <w:pStyle w:val="Paragraphedeliste"/>
        <w:spacing w:line="240" w:lineRule="auto"/>
        <w:ind w:left="786"/>
        <w:rPr>
          <w:rFonts w:ascii="Times New Roman" w:hAnsi="Times New Roman"/>
          <w:sz w:val="24"/>
        </w:rPr>
      </w:pPr>
    </w:p>
    <w:p w:rsidR="008064D7" w:rsidRDefault="008064D7" w:rsidP="00366DEE">
      <w:pPr>
        <w:pStyle w:val="Paragraphedeliste"/>
        <w:spacing w:line="240" w:lineRule="auto"/>
        <w:ind w:left="786"/>
        <w:rPr>
          <w:rFonts w:ascii="Times New Roman" w:hAnsi="Times New Roman"/>
          <w:sz w:val="24"/>
        </w:rPr>
      </w:pPr>
      <w:r>
        <w:rPr>
          <w:rFonts w:ascii="Times New Roman" w:hAnsi="Times New Roman"/>
          <w:sz w:val="24"/>
        </w:rPr>
        <w:t xml:space="preserve"> </w:t>
      </w:r>
    </w:p>
    <w:p w:rsidR="00CB620C" w:rsidRDefault="00CB620C" w:rsidP="00CB620C">
      <w:pPr>
        <w:pStyle w:val="Paragraphedeliste"/>
        <w:spacing w:line="240" w:lineRule="auto"/>
        <w:ind w:left="786"/>
        <w:rPr>
          <w:rFonts w:ascii="Times New Roman" w:hAnsi="Times New Roman"/>
          <w:sz w:val="24"/>
        </w:rPr>
      </w:pPr>
    </w:p>
    <w:p w:rsidR="00CB620C" w:rsidRDefault="00CB620C" w:rsidP="00CB620C">
      <w:pPr>
        <w:pStyle w:val="Paragraphedeliste"/>
        <w:spacing w:line="240" w:lineRule="auto"/>
        <w:ind w:left="786"/>
        <w:rPr>
          <w:rFonts w:ascii="Times New Roman" w:hAnsi="Times New Roman"/>
          <w:sz w:val="24"/>
        </w:rPr>
      </w:pPr>
    </w:p>
    <w:p w:rsidR="00CB620C" w:rsidRDefault="00CB620C" w:rsidP="00CB620C">
      <w:pPr>
        <w:pStyle w:val="Paragraphedeliste"/>
        <w:spacing w:line="240" w:lineRule="auto"/>
        <w:ind w:left="786"/>
        <w:rPr>
          <w:rFonts w:ascii="Times New Roman" w:hAnsi="Times New Roman"/>
          <w:sz w:val="24"/>
        </w:rPr>
      </w:pPr>
    </w:p>
    <w:p w:rsidR="00CB620C" w:rsidRDefault="00CB620C" w:rsidP="00CB620C">
      <w:pPr>
        <w:pStyle w:val="Paragraphedeliste"/>
        <w:spacing w:line="240" w:lineRule="auto"/>
        <w:ind w:left="786"/>
        <w:rPr>
          <w:rFonts w:ascii="Times New Roman" w:hAnsi="Times New Roman"/>
          <w:sz w:val="24"/>
        </w:rPr>
      </w:pPr>
    </w:p>
    <w:p w:rsidR="00CB620C" w:rsidRDefault="00CB620C" w:rsidP="00CB620C">
      <w:pPr>
        <w:pStyle w:val="Paragraphedeliste"/>
        <w:tabs>
          <w:tab w:val="left" w:pos="3060"/>
        </w:tabs>
        <w:spacing w:line="240" w:lineRule="auto"/>
        <w:ind w:left="786"/>
        <w:rPr>
          <w:rFonts w:ascii="Times New Roman" w:hAnsi="Times New Roman"/>
          <w:sz w:val="24"/>
        </w:rPr>
      </w:pPr>
      <w:r>
        <w:rPr>
          <w:rFonts w:ascii="Times New Roman" w:hAnsi="Times New Roman"/>
          <w:sz w:val="24"/>
        </w:rPr>
        <w:tab/>
      </w:r>
    </w:p>
    <w:p w:rsidR="00CB620C" w:rsidRDefault="00CB620C" w:rsidP="00CB620C">
      <w:pPr>
        <w:pStyle w:val="Paragraphedeliste"/>
        <w:spacing w:line="240" w:lineRule="auto"/>
        <w:ind w:left="786"/>
        <w:rPr>
          <w:rFonts w:ascii="Times New Roman" w:hAnsi="Times New Roman"/>
          <w:sz w:val="24"/>
        </w:rPr>
      </w:pPr>
    </w:p>
    <w:p w:rsidR="00CB620C" w:rsidRDefault="00CB620C" w:rsidP="00CB620C">
      <w:pPr>
        <w:pStyle w:val="Paragraphedeliste"/>
        <w:spacing w:line="240" w:lineRule="auto"/>
        <w:ind w:left="786"/>
        <w:rPr>
          <w:rFonts w:ascii="Times New Roman" w:hAnsi="Times New Roman"/>
          <w:sz w:val="24"/>
        </w:rPr>
      </w:pPr>
    </w:p>
    <w:p w:rsidR="00CB620C" w:rsidRDefault="00CB620C" w:rsidP="00CB620C">
      <w:pPr>
        <w:pStyle w:val="Paragraphedeliste"/>
        <w:spacing w:line="240" w:lineRule="auto"/>
        <w:ind w:left="786"/>
        <w:rPr>
          <w:rFonts w:ascii="Times New Roman" w:hAnsi="Times New Roman"/>
          <w:sz w:val="24"/>
        </w:rPr>
      </w:pPr>
    </w:p>
    <w:p w:rsidR="00CB620C" w:rsidRDefault="00CB620C" w:rsidP="00CB620C">
      <w:pPr>
        <w:pStyle w:val="Paragraphedeliste"/>
        <w:spacing w:line="240" w:lineRule="auto"/>
        <w:ind w:left="786"/>
        <w:rPr>
          <w:rFonts w:ascii="Times New Roman" w:hAnsi="Times New Roman"/>
          <w:sz w:val="24"/>
        </w:rPr>
      </w:pPr>
    </w:p>
    <w:p w:rsidR="00CB620C" w:rsidRDefault="00CB620C" w:rsidP="00CB620C">
      <w:pPr>
        <w:pStyle w:val="Paragraphedeliste"/>
        <w:spacing w:line="240" w:lineRule="auto"/>
        <w:ind w:left="786"/>
        <w:rPr>
          <w:rFonts w:ascii="Times New Roman" w:hAnsi="Times New Roman"/>
          <w:sz w:val="24"/>
        </w:rPr>
      </w:pPr>
    </w:p>
    <w:p w:rsidR="00CB620C" w:rsidRDefault="00CB620C" w:rsidP="00CB620C">
      <w:pPr>
        <w:pStyle w:val="Paragraphedeliste"/>
        <w:spacing w:line="240" w:lineRule="auto"/>
        <w:ind w:left="786"/>
        <w:rPr>
          <w:rFonts w:ascii="Times New Roman" w:hAnsi="Times New Roman"/>
          <w:sz w:val="24"/>
        </w:rPr>
      </w:pPr>
    </w:p>
    <w:p w:rsidR="00354961" w:rsidRDefault="00354961" w:rsidP="00CB620C">
      <w:pPr>
        <w:pStyle w:val="Paragraphedeliste"/>
        <w:spacing w:line="240" w:lineRule="auto"/>
        <w:ind w:left="786"/>
        <w:rPr>
          <w:rFonts w:ascii="Times New Roman" w:hAnsi="Times New Roman"/>
          <w:sz w:val="24"/>
        </w:rPr>
      </w:pPr>
      <w:r>
        <w:rPr>
          <w:rFonts w:ascii="Times New Roman" w:hAnsi="Times New Roman"/>
          <w:sz w:val="24"/>
        </w:rPr>
        <w:t>La conclusion, certes sommaire et à approfondir par des études, est que bien traitée, la restructuration peut effectivement apporter à l’économie une valeur ajoutée. Dans une étude intéressante en français</w:t>
      </w:r>
      <w:r>
        <w:rPr>
          <w:rStyle w:val="Appelnotedebasdep"/>
          <w:rFonts w:ascii="Times New Roman" w:hAnsi="Times New Roman"/>
          <w:sz w:val="24"/>
        </w:rPr>
        <w:footnoteReference w:id="342"/>
      </w:r>
      <w:r>
        <w:rPr>
          <w:rFonts w:ascii="Times New Roman" w:hAnsi="Times New Roman"/>
          <w:sz w:val="24"/>
        </w:rPr>
        <w:t>, une approche du coût et des bénéfices de ces restructurations est réalisée tant en rapport à la performance boursière éventuelle qu’à la perspective économique à moyen terme.</w:t>
      </w:r>
    </w:p>
    <w:p w:rsidR="00354961" w:rsidRDefault="00354961" w:rsidP="00CB620C">
      <w:pPr>
        <w:pStyle w:val="Paragraphedeliste"/>
        <w:spacing w:line="240" w:lineRule="auto"/>
        <w:ind w:left="786"/>
        <w:rPr>
          <w:rFonts w:ascii="Times New Roman" w:hAnsi="Times New Roman"/>
          <w:sz w:val="24"/>
        </w:rPr>
      </w:pPr>
    </w:p>
    <w:p w:rsidR="00354961" w:rsidRPr="00354961" w:rsidRDefault="00354961" w:rsidP="00354961">
      <w:pPr>
        <w:pStyle w:val="Titre2"/>
        <w:numPr>
          <w:ilvl w:val="2"/>
          <w:numId w:val="12"/>
        </w:numPr>
        <w:ind w:left="1276" w:hanging="425"/>
        <w:rPr>
          <w:rFonts w:ascii="Times New Roman" w:hAnsi="Times New Roman" w:cs="Times New Roman"/>
        </w:rPr>
      </w:pPr>
      <w:bookmarkStart w:id="55" w:name="_Toc55407500"/>
      <w:r w:rsidRPr="00354961">
        <w:rPr>
          <w:rFonts w:ascii="Times New Roman" w:hAnsi="Times New Roman" w:cs="Times New Roman"/>
        </w:rPr>
        <w:t>Le contrôle des valeurs</w:t>
      </w:r>
      <w:bookmarkEnd w:id="55"/>
    </w:p>
    <w:p w:rsidR="008064D7" w:rsidRDefault="00354961" w:rsidP="00CB620C">
      <w:pPr>
        <w:pStyle w:val="Paragraphedeliste"/>
        <w:numPr>
          <w:ilvl w:val="0"/>
          <w:numId w:val="2"/>
        </w:numPr>
        <w:spacing w:line="240" w:lineRule="auto"/>
        <w:ind w:hanging="567"/>
        <w:rPr>
          <w:rFonts w:ascii="Times New Roman" w:hAnsi="Times New Roman"/>
          <w:sz w:val="24"/>
        </w:rPr>
      </w:pPr>
      <w:r>
        <w:rPr>
          <w:rFonts w:ascii="Times New Roman" w:hAnsi="Times New Roman"/>
          <w:sz w:val="24"/>
        </w:rPr>
        <w:t>Parmi</w:t>
      </w:r>
      <w:r w:rsidR="008064D7">
        <w:rPr>
          <w:rFonts w:ascii="Times New Roman" w:hAnsi="Times New Roman"/>
          <w:sz w:val="24"/>
        </w:rPr>
        <w:t xml:space="preserve"> l</w:t>
      </w:r>
      <w:r w:rsidR="008064D7" w:rsidRPr="00682C2A">
        <w:rPr>
          <w:rFonts w:ascii="Times New Roman" w:hAnsi="Times New Roman"/>
          <w:sz w:val="24"/>
        </w:rPr>
        <w:t xml:space="preserve">es tâches </w:t>
      </w:r>
      <w:r w:rsidR="008064D7">
        <w:rPr>
          <w:rFonts w:ascii="Times New Roman" w:hAnsi="Times New Roman"/>
          <w:sz w:val="24"/>
        </w:rPr>
        <w:t xml:space="preserve">du juge </w:t>
      </w:r>
      <w:r>
        <w:rPr>
          <w:rFonts w:ascii="Times New Roman" w:hAnsi="Times New Roman"/>
          <w:sz w:val="24"/>
        </w:rPr>
        <w:t>figure</w:t>
      </w:r>
      <w:r w:rsidR="008064D7" w:rsidRPr="00682C2A">
        <w:rPr>
          <w:rFonts w:ascii="Times New Roman" w:hAnsi="Times New Roman"/>
          <w:sz w:val="24"/>
        </w:rPr>
        <w:t xml:space="preserve">, </w:t>
      </w:r>
      <w:r w:rsidR="008064D7">
        <w:rPr>
          <w:rFonts w:ascii="Times New Roman" w:hAnsi="Times New Roman"/>
          <w:sz w:val="24"/>
        </w:rPr>
        <w:t>en particulier</w:t>
      </w:r>
      <w:r w:rsidR="008064D7" w:rsidRPr="00682C2A">
        <w:rPr>
          <w:rFonts w:ascii="Times New Roman" w:hAnsi="Times New Roman"/>
          <w:sz w:val="24"/>
        </w:rPr>
        <w:t xml:space="preserve">, celle de valider le plan puis de </w:t>
      </w:r>
      <w:r>
        <w:rPr>
          <w:rFonts w:ascii="Times New Roman" w:hAnsi="Times New Roman"/>
          <w:sz w:val="24"/>
        </w:rPr>
        <w:t xml:space="preserve">faire une éventuelle </w:t>
      </w:r>
      <w:r w:rsidR="008064D7" w:rsidRPr="00682C2A">
        <w:rPr>
          <w:rFonts w:ascii="Times New Roman" w:hAnsi="Times New Roman"/>
          <w:sz w:val="24"/>
        </w:rPr>
        <w:t>application interclasse,</w:t>
      </w:r>
      <w:r>
        <w:rPr>
          <w:rFonts w:ascii="Times New Roman" w:hAnsi="Times New Roman"/>
          <w:sz w:val="24"/>
        </w:rPr>
        <w:t xml:space="preserve"> ce qui induit de retenir deux valeurs – la valeur de liquidation et la valeur going-concern -</w:t>
      </w:r>
      <w:r w:rsidR="008064D7" w:rsidRPr="00682C2A">
        <w:rPr>
          <w:rFonts w:ascii="Times New Roman" w:hAnsi="Times New Roman"/>
          <w:sz w:val="24"/>
        </w:rPr>
        <w:t xml:space="preserve"> repose sur l’évaluation de la valeur de liquidation et </w:t>
      </w:r>
      <w:r w:rsidR="008064D7" w:rsidRPr="007C17D3">
        <w:rPr>
          <w:rFonts w:ascii="Times New Roman" w:hAnsi="Times New Roman"/>
          <w:i/>
          <w:sz w:val="24"/>
        </w:rPr>
        <w:t>going-concern</w:t>
      </w:r>
      <w:r w:rsidR="008064D7" w:rsidRPr="00682C2A">
        <w:rPr>
          <w:rFonts w:ascii="Times New Roman" w:hAnsi="Times New Roman"/>
          <w:sz w:val="24"/>
        </w:rPr>
        <w:t xml:space="preserve"> de l’entreprise.</w:t>
      </w:r>
      <w:r w:rsidR="008064D7">
        <w:rPr>
          <w:rFonts w:ascii="Times New Roman" w:hAnsi="Times New Roman"/>
          <w:sz w:val="24"/>
        </w:rPr>
        <w:t xml:space="preserve"> </w:t>
      </w:r>
    </w:p>
    <w:p w:rsidR="008064D7" w:rsidRDefault="008064D7" w:rsidP="0025199B">
      <w:pPr>
        <w:pStyle w:val="Paragraphedeliste"/>
        <w:spacing w:line="240" w:lineRule="auto"/>
        <w:ind w:left="786"/>
        <w:rPr>
          <w:rFonts w:ascii="Times New Roman" w:hAnsi="Times New Roman"/>
          <w:sz w:val="24"/>
        </w:rPr>
      </w:pPr>
    </w:p>
    <w:p w:rsidR="008064D7" w:rsidRDefault="008064D7" w:rsidP="0025199B">
      <w:pPr>
        <w:pStyle w:val="Paragraphedeliste"/>
        <w:spacing w:line="240" w:lineRule="auto"/>
        <w:ind w:left="786"/>
        <w:rPr>
          <w:rFonts w:ascii="Times New Roman" w:hAnsi="Times New Roman"/>
          <w:sz w:val="24"/>
        </w:rPr>
      </w:pPr>
      <w:r w:rsidRPr="00682C2A">
        <w:rPr>
          <w:rFonts w:ascii="Times New Roman" w:hAnsi="Times New Roman"/>
          <w:sz w:val="24"/>
        </w:rPr>
        <w:t xml:space="preserve">L’article 13 </w:t>
      </w:r>
      <w:r w:rsidR="00354961">
        <w:rPr>
          <w:rFonts w:ascii="Times New Roman" w:hAnsi="Times New Roman"/>
          <w:sz w:val="24"/>
        </w:rPr>
        <w:t xml:space="preserve">de la directive </w:t>
      </w:r>
      <w:r w:rsidRPr="00682C2A">
        <w:rPr>
          <w:rFonts w:ascii="Times New Roman" w:hAnsi="Times New Roman"/>
          <w:sz w:val="24"/>
        </w:rPr>
        <w:t>confie au juge le pouvoir de déterminer la valeur de l’entreprise au cas où le plan (et donc souvent la valeur) est contesté comme non-</w:t>
      </w:r>
      <w:r w:rsidRPr="00682C2A">
        <w:rPr>
          <w:rFonts w:ascii="Times New Roman" w:hAnsi="Times New Roman"/>
          <w:sz w:val="24"/>
        </w:rPr>
        <w:lastRenderedPageBreak/>
        <w:t>confo</w:t>
      </w:r>
      <w:r w:rsidR="00354961">
        <w:rPr>
          <w:rFonts w:ascii="Times New Roman" w:hAnsi="Times New Roman"/>
          <w:sz w:val="24"/>
        </w:rPr>
        <w:t>rme à l’intérêt des créanciers uniquement dans le cas de la contestation de la règle du Best intérêt des créanciers ou de l’application interclasse.</w:t>
      </w:r>
    </w:p>
    <w:p w:rsidR="00354961" w:rsidRDefault="00354961" w:rsidP="0025199B">
      <w:pPr>
        <w:pStyle w:val="Paragraphedeliste"/>
        <w:spacing w:line="240" w:lineRule="auto"/>
        <w:ind w:left="786"/>
        <w:rPr>
          <w:rFonts w:ascii="Times New Roman" w:hAnsi="Times New Roman"/>
          <w:sz w:val="24"/>
        </w:rPr>
      </w:pPr>
    </w:p>
    <w:p w:rsidR="00354961" w:rsidRDefault="00354961" w:rsidP="0025199B">
      <w:pPr>
        <w:pStyle w:val="Paragraphedeliste"/>
        <w:spacing w:line="240" w:lineRule="auto"/>
        <w:ind w:left="786"/>
        <w:rPr>
          <w:rFonts w:ascii="Times New Roman" w:hAnsi="Times New Roman"/>
          <w:sz w:val="24"/>
        </w:rPr>
      </w:pPr>
      <w:r>
        <w:rPr>
          <w:rFonts w:ascii="Times New Roman" w:hAnsi="Times New Roman"/>
          <w:sz w:val="24"/>
        </w:rPr>
        <w:t>L’article 14 impose aux Etats de permettre au juge de désigner ou d’entendre des experts.</w:t>
      </w:r>
    </w:p>
    <w:p w:rsidR="008064D7" w:rsidRDefault="008064D7" w:rsidP="00CE0C79">
      <w:pPr>
        <w:pStyle w:val="Paragraphedeliste"/>
        <w:spacing w:line="240" w:lineRule="auto"/>
        <w:ind w:left="786"/>
        <w:rPr>
          <w:rFonts w:ascii="Times New Roman" w:hAnsi="Times New Roman"/>
          <w:sz w:val="24"/>
        </w:rPr>
      </w:pPr>
    </w:p>
    <w:p w:rsidR="008064D7" w:rsidRPr="00936647" w:rsidRDefault="008064D7" w:rsidP="00354961">
      <w:pPr>
        <w:pStyle w:val="Paragraphedeliste"/>
        <w:spacing w:line="240" w:lineRule="auto"/>
        <w:ind w:left="786"/>
        <w:rPr>
          <w:rFonts w:ascii="Times New Roman" w:hAnsi="Times New Roman"/>
          <w:sz w:val="24"/>
          <w:u w:val="single"/>
        </w:rPr>
      </w:pPr>
      <w:r w:rsidRPr="00936647">
        <w:rPr>
          <w:rFonts w:ascii="Times New Roman" w:hAnsi="Times New Roman"/>
          <w:sz w:val="24"/>
        </w:rPr>
        <w:t xml:space="preserve">Au départ de la jurisprudence américaine, il est possible de déterminer le rôle </w:t>
      </w:r>
      <w:r>
        <w:rPr>
          <w:rFonts w:ascii="Times New Roman" w:hAnsi="Times New Roman"/>
          <w:sz w:val="24"/>
        </w:rPr>
        <w:t>que le</w:t>
      </w:r>
      <w:r w:rsidRPr="00936647">
        <w:rPr>
          <w:rFonts w:ascii="Times New Roman" w:hAnsi="Times New Roman"/>
          <w:sz w:val="24"/>
        </w:rPr>
        <w:t xml:space="preserve"> juge </w:t>
      </w:r>
      <w:r>
        <w:rPr>
          <w:rFonts w:ascii="Times New Roman" w:hAnsi="Times New Roman"/>
          <w:sz w:val="24"/>
        </w:rPr>
        <w:t xml:space="preserve">peut avoir </w:t>
      </w:r>
      <w:r w:rsidRPr="00936647">
        <w:rPr>
          <w:rFonts w:ascii="Times New Roman" w:hAnsi="Times New Roman"/>
          <w:sz w:val="24"/>
        </w:rPr>
        <w:t xml:space="preserve">dans la fixation de </w:t>
      </w:r>
      <w:r w:rsidR="00354961">
        <w:rPr>
          <w:rFonts w:ascii="Times New Roman" w:hAnsi="Times New Roman"/>
          <w:sz w:val="24"/>
        </w:rPr>
        <w:t>ces</w:t>
      </w:r>
      <w:r w:rsidRPr="00936647">
        <w:rPr>
          <w:rFonts w:ascii="Times New Roman" w:hAnsi="Times New Roman"/>
          <w:sz w:val="24"/>
        </w:rPr>
        <w:t xml:space="preserve"> valeur</w:t>
      </w:r>
      <w:r w:rsidR="00354961">
        <w:rPr>
          <w:rFonts w:ascii="Times New Roman" w:hAnsi="Times New Roman"/>
          <w:sz w:val="24"/>
        </w:rPr>
        <w:t>s</w:t>
      </w:r>
      <w:r w:rsidRPr="00936647">
        <w:rPr>
          <w:rFonts w:ascii="Times New Roman" w:hAnsi="Times New Roman"/>
          <w:sz w:val="24"/>
        </w:rPr>
        <w:t>.</w:t>
      </w:r>
    </w:p>
    <w:p w:rsidR="008064D7" w:rsidRDefault="008064D7" w:rsidP="00F7377D">
      <w:pPr>
        <w:pStyle w:val="Paragraphedeliste"/>
        <w:spacing w:line="240" w:lineRule="auto"/>
        <w:ind w:left="786"/>
        <w:rPr>
          <w:rFonts w:ascii="Times New Roman" w:hAnsi="Times New Roman"/>
          <w:sz w:val="24"/>
          <w:u w:val="single"/>
        </w:rPr>
      </w:pPr>
    </w:p>
    <w:p w:rsidR="008064D7" w:rsidRPr="00354961" w:rsidRDefault="008064D7" w:rsidP="007565AA">
      <w:pPr>
        <w:pStyle w:val="Paragraphedeliste"/>
        <w:numPr>
          <w:ilvl w:val="0"/>
          <w:numId w:val="9"/>
        </w:numPr>
        <w:spacing w:line="240" w:lineRule="auto"/>
        <w:rPr>
          <w:rFonts w:ascii="Times New Roman" w:hAnsi="Times New Roman"/>
          <w:i/>
          <w:smallCaps/>
          <w:u w:val="single"/>
        </w:rPr>
      </w:pPr>
      <w:r w:rsidRPr="00354961">
        <w:rPr>
          <w:rFonts w:ascii="Times New Roman" w:hAnsi="Times New Roman"/>
          <w:i/>
          <w:smallCaps/>
          <w:u w:val="single"/>
        </w:rPr>
        <w:t>Rejet des décotes ou du principe du DCF.</w:t>
      </w:r>
      <w:r w:rsidRPr="00354961">
        <w:rPr>
          <w:rFonts w:ascii="Times New Roman" w:hAnsi="Times New Roman"/>
          <w:i/>
          <w:smallCaps/>
        </w:rPr>
        <w:t xml:space="preserve"> </w:t>
      </w:r>
      <w:r w:rsidRPr="00354961">
        <w:rPr>
          <w:rFonts w:ascii="Times New Roman" w:hAnsi="Times New Roman"/>
        </w:rPr>
        <w:t>Le juge</w:t>
      </w:r>
      <w:r w:rsidR="00E80B6C">
        <w:rPr>
          <w:rFonts w:ascii="Times New Roman" w:hAnsi="Times New Roman"/>
        </w:rPr>
        <w:t>,</w:t>
      </w:r>
      <w:r w:rsidRPr="00354961">
        <w:rPr>
          <w:rFonts w:ascii="Times New Roman" w:hAnsi="Times New Roman"/>
        </w:rPr>
        <w:t xml:space="preserve"> saisi d’évaluation </w:t>
      </w:r>
      <w:r w:rsidR="00354961">
        <w:rPr>
          <w:rFonts w:ascii="Times New Roman" w:hAnsi="Times New Roman"/>
        </w:rPr>
        <w:t xml:space="preserve">incluant </w:t>
      </w:r>
      <w:r w:rsidRPr="00354961">
        <w:rPr>
          <w:rFonts w:ascii="Times New Roman" w:hAnsi="Times New Roman"/>
        </w:rPr>
        <w:t>des décotes</w:t>
      </w:r>
      <w:r w:rsidRPr="00354961">
        <w:rPr>
          <w:rStyle w:val="Appelnotedebasdep"/>
          <w:rFonts w:ascii="Times New Roman" w:hAnsi="Times New Roman"/>
        </w:rPr>
        <w:footnoteReference w:id="343"/>
      </w:r>
      <w:r w:rsidR="00E80B6C">
        <w:rPr>
          <w:rFonts w:ascii="Times New Roman" w:hAnsi="Times New Roman"/>
        </w:rPr>
        <w:t>, pourra els écarter ou les minimiser</w:t>
      </w:r>
      <w:r w:rsidRPr="00354961">
        <w:rPr>
          <w:rFonts w:ascii="Times New Roman" w:hAnsi="Times New Roman"/>
        </w:rPr>
        <w:t xml:space="preserve">. Le juge peut d’abord </w:t>
      </w:r>
      <w:r w:rsidR="00E80B6C">
        <w:rPr>
          <w:rFonts w:ascii="Times New Roman" w:hAnsi="Times New Roman"/>
        </w:rPr>
        <w:t>faire</w:t>
      </w:r>
      <w:r w:rsidRPr="00354961">
        <w:rPr>
          <w:rFonts w:ascii="Times New Roman" w:hAnsi="Times New Roman"/>
        </w:rPr>
        <w:t xml:space="preserve"> prouver comme des faits les éléments matér</w:t>
      </w:r>
      <w:r w:rsidR="00E80B6C">
        <w:rPr>
          <w:rFonts w:ascii="Times New Roman" w:hAnsi="Times New Roman"/>
        </w:rPr>
        <w:t>iels sur lesquelles s’appuient c</w:t>
      </w:r>
      <w:r w:rsidRPr="00354961">
        <w:rPr>
          <w:rFonts w:ascii="Times New Roman" w:hAnsi="Times New Roman"/>
        </w:rPr>
        <w:t>es décotes. Le juge peut ensuite, le fait retenu, demander de discuter le pourcentage de surcote ou de décote en demandant de produire soit de la littérature, soit des relevés du marché pertinent. Le juge peut aussi demander les éléments utiles à qualifier le type d’entreprise</w:t>
      </w:r>
      <w:r w:rsidRPr="00354961">
        <w:rPr>
          <w:rStyle w:val="Appelnotedebasdep"/>
          <w:rFonts w:ascii="Times New Roman" w:hAnsi="Times New Roman"/>
        </w:rPr>
        <w:footnoteReference w:id="344"/>
      </w:r>
      <w:r w:rsidRPr="00354961">
        <w:rPr>
          <w:rFonts w:ascii="Times New Roman" w:hAnsi="Times New Roman"/>
        </w:rPr>
        <w:t xml:space="preserve"> pour retenir les décotes spécifiques à la nature ou à la taille de l’entreprise. Le juge peut enfin retenir les faits pertinents pour qualifier tous les éléments du WAAC</w:t>
      </w:r>
      <w:r w:rsidRPr="00354961">
        <w:rPr>
          <w:rStyle w:val="Appelnotedebasdep"/>
          <w:rFonts w:ascii="Times New Roman" w:hAnsi="Times New Roman"/>
        </w:rPr>
        <w:footnoteReference w:id="345"/>
      </w:r>
      <w:r w:rsidRPr="00354961">
        <w:rPr>
          <w:rFonts w:ascii="Times New Roman" w:hAnsi="Times New Roman"/>
        </w:rPr>
        <w:t xml:space="preserve"> et, en particulier, la prime de risque.</w:t>
      </w:r>
    </w:p>
    <w:p w:rsidR="008064D7" w:rsidRPr="00354961" w:rsidRDefault="008064D7" w:rsidP="005D2D57">
      <w:pPr>
        <w:pStyle w:val="Paragraphedeliste"/>
        <w:spacing w:line="240" w:lineRule="auto"/>
        <w:ind w:left="1506"/>
        <w:rPr>
          <w:rFonts w:ascii="Times New Roman" w:hAnsi="Times New Roman"/>
        </w:rPr>
      </w:pPr>
    </w:p>
    <w:p w:rsidR="008064D7" w:rsidRPr="00354961" w:rsidRDefault="008064D7" w:rsidP="007565AA">
      <w:pPr>
        <w:pStyle w:val="Paragraphedeliste"/>
        <w:numPr>
          <w:ilvl w:val="0"/>
          <w:numId w:val="9"/>
        </w:numPr>
        <w:spacing w:line="240" w:lineRule="auto"/>
        <w:rPr>
          <w:rFonts w:ascii="Times New Roman" w:hAnsi="Times New Roman"/>
        </w:rPr>
      </w:pPr>
      <w:r w:rsidRPr="00354961">
        <w:rPr>
          <w:rFonts w:ascii="Times New Roman" w:hAnsi="Times New Roman"/>
          <w:i/>
          <w:smallCaps/>
          <w:u w:val="single"/>
        </w:rPr>
        <w:t>Choix de la méthode</w:t>
      </w:r>
      <w:r w:rsidRPr="00354961">
        <w:rPr>
          <w:rFonts w:ascii="Times New Roman" w:hAnsi="Times New Roman"/>
          <w:smallCaps/>
        </w:rPr>
        <w:t xml:space="preserve">. </w:t>
      </w:r>
      <w:r w:rsidRPr="00354961">
        <w:rPr>
          <w:rFonts w:ascii="Times New Roman" w:hAnsi="Times New Roman"/>
        </w:rPr>
        <w:t xml:space="preserve">Le juge, une fois qu’il a qualifié l’entreprise et au départ des éléments prouvant la pertinence du plan financier prévisionnel, devra motiver les faits sur lesquels il s’appuie pour retenir </w:t>
      </w:r>
      <w:r w:rsidR="00E80B6C">
        <w:rPr>
          <w:rFonts w:ascii="Times New Roman" w:hAnsi="Times New Roman"/>
        </w:rPr>
        <w:t>telle ou telle</w:t>
      </w:r>
      <w:r w:rsidRPr="00354961">
        <w:rPr>
          <w:rFonts w:ascii="Times New Roman" w:hAnsi="Times New Roman"/>
        </w:rPr>
        <w:t xml:space="preserve"> méthode d’évaluation pertinente. Il devra le </w:t>
      </w:r>
      <w:r w:rsidR="00E80B6C">
        <w:rPr>
          <w:rFonts w:ascii="Times New Roman" w:hAnsi="Times New Roman"/>
        </w:rPr>
        <w:t>faire</w:t>
      </w:r>
      <w:r w:rsidRPr="00354961">
        <w:rPr>
          <w:rFonts w:ascii="Times New Roman" w:hAnsi="Times New Roman"/>
        </w:rPr>
        <w:t xml:space="preserve"> sans donner aux experts des parties ni à d’autres experts qu’il choisira un poids déterminant. Plus que dans toute autre situation, l’application de la méthode dépend de l’analyse factuelle de la nature et de l’importance de l’insolvabilité et, surtout, de l’analyse juridique de la capacité de restructurer l’entreprise par le droit de l’insolvabilité : un mélange subtil de droit, de fait et de chiffres qui nécessite un jugement intégrant ces aspects.</w:t>
      </w:r>
    </w:p>
    <w:p w:rsidR="008064D7" w:rsidRPr="00354961" w:rsidRDefault="008064D7" w:rsidP="005D2D57">
      <w:pPr>
        <w:pStyle w:val="Paragraphedeliste"/>
        <w:spacing w:line="240" w:lineRule="auto"/>
        <w:ind w:left="1506"/>
        <w:rPr>
          <w:rFonts w:ascii="Times New Roman" w:hAnsi="Times New Roman"/>
        </w:rPr>
      </w:pPr>
    </w:p>
    <w:p w:rsidR="008064D7" w:rsidRPr="00354961" w:rsidRDefault="008064D7" w:rsidP="007565AA">
      <w:pPr>
        <w:pStyle w:val="Paragraphedeliste"/>
        <w:numPr>
          <w:ilvl w:val="0"/>
          <w:numId w:val="9"/>
        </w:numPr>
        <w:spacing w:line="240" w:lineRule="auto"/>
        <w:rPr>
          <w:rFonts w:ascii="Times New Roman" w:hAnsi="Times New Roman"/>
        </w:rPr>
      </w:pPr>
      <w:r w:rsidRPr="00354961">
        <w:rPr>
          <w:rFonts w:ascii="Times New Roman" w:hAnsi="Times New Roman"/>
          <w:i/>
          <w:smallCaps/>
          <w:u w:val="single"/>
        </w:rPr>
        <w:t>L’approche du marché</w:t>
      </w:r>
      <w:r w:rsidRPr="00354961">
        <w:rPr>
          <w:rStyle w:val="Appelnotedebasdep"/>
          <w:rFonts w:ascii="Times New Roman" w:hAnsi="Times New Roman"/>
          <w:i/>
          <w:smallCaps/>
          <w:u w:val="single"/>
        </w:rPr>
        <w:footnoteReference w:id="346"/>
      </w:r>
      <w:r w:rsidRPr="00354961">
        <w:rPr>
          <w:rFonts w:ascii="Times New Roman" w:hAnsi="Times New Roman"/>
          <w:smallCaps/>
        </w:rPr>
        <w:t xml:space="preserve">. </w:t>
      </w:r>
      <w:r w:rsidRPr="00354961">
        <w:rPr>
          <w:rFonts w:ascii="Times New Roman" w:hAnsi="Times New Roman"/>
        </w:rPr>
        <w:t xml:space="preserve">Le juge peut penser que la valeur de l’entreprise sur le marché pertinent ou non conduit à une évaluation très distincte de la valeur théorique ou que cette valeur est très impactée par la réalité du marché économique sous-jacent, ce qui conduit à relativiser la valeur des plans prévisionnels ou d’apprécier les primes de risque ou des décotes. </w:t>
      </w:r>
    </w:p>
    <w:p w:rsidR="008064D7" w:rsidRPr="00354961" w:rsidRDefault="008064D7" w:rsidP="005D2D57">
      <w:pPr>
        <w:pStyle w:val="Paragraphedeliste"/>
        <w:spacing w:line="240" w:lineRule="auto"/>
        <w:ind w:left="1506"/>
        <w:rPr>
          <w:rFonts w:ascii="Times New Roman" w:hAnsi="Times New Roman"/>
        </w:rPr>
      </w:pPr>
    </w:p>
    <w:p w:rsidR="008064D7" w:rsidRPr="00354961" w:rsidRDefault="008064D7" w:rsidP="00A241BF">
      <w:pPr>
        <w:pStyle w:val="Paragraphedeliste"/>
        <w:spacing w:line="240" w:lineRule="auto"/>
        <w:ind w:left="1506"/>
        <w:rPr>
          <w:rFonts w:ascii="Times New Roman" w:hAnsi="Times New Roman"/>
        </w:rPr>
      </w:pPr>
      <w:r w:rsidRPr="00354961">
        <w:rPr>
          <w:rFonts w:ascii="Times New Roman" w:hAnsi="Times New Roman"/>
        </w:rPr>
        <w:t>Une 1</w:t>
      </w:r>
      <w:r w:rsidRPr="00354961">
        <w:rPr>
          <w:rFonts w:ascii="Times New Roman" w:hAnsi="Times New Roman"/>
          <w:vertAlign w:val="superscript"/>
        </w:rPr>
        <w:t>ère</w:t>
      </w:r>
      <w:r w:rsidRPr="00354961">
        <w:rPr>
          <w:rFonts w:ascii="Times New Roman" w:hAnsi="Times New Roman"/>
        </w:rPr>
        <w:t xml:space="preserve"> manière que les parties </w:t>
      </w:r>
      <w:r w:rsidR="00E80B6C">
        <w:rPr>
          <w:rFonts w:ascii="Times New Roman" w:hAnsi="Times New Roman"/>
        </w:rPr>
        <w:t>choisissent parfois</w:t>
      </w:r>
      <w:r w:rsidRPr="00354961">
        <w:rPr>
          <w:rFonts w:ascii="Times New Roman" w:hAnsi="Times New Roman"/>
        </w:rPr>
        <w:t xml:space="preserve"> – </w:t>
      </w:r>
      <w:r w:rsidR="00E80B6C">
        <w:rPr>
          <w:rFonts w:ascii="Times New Roman" w:hAnsi="Times New Roman"/>
        </w:rPr>
        <w:t xml:space="preserve">plus </w:t>
      </w:r>
      <w:r w:rsidRPr="00354961">
        <w:rPr>
          <w:rFonts w:ascii="Times New Roman" w:hAnsi="Times New Roman"/>
        </w:rPr>
        <w:t>souvent le débiteur – est de présenter le résultat d’un appel d’offre restreint ou non-public</w:t>
      </w:r>
      <w:r w:rsidRPr="00354961">
        <w:rPr>
          <w:rStyle w:val="Appelnotedebasdep"/>
          <w:rFonts w:ascii="Times New Roman" w:hAnsi="Times New Roman"/>
        </w:rPr>
        <w:footnoteReference w:id="347"/>
      </w:r>
      <w:r w:rsidRPr="00354961">
        <w:rPr>
          <w:rStyle w:val="Appelnotedebasdep"/>
          <w:rFonts w:ascii="Times New Roman" w:hAnsi="Times New Roman"/>
        </w:rPr>
        <w:footnoteReference w:id="348"/>
      </w:r>
      <w:r w:rsidRPr="00354961">
        <w:rPr>
          <w:rFonts w:ascii="Times New Roman" w:hAnsi="Times New Roman"/>
        </w:rPr>
        <w:t>. Le juge pourrait d’abord vérifier que le résultat de l’appel d’offre est pertinent en raison des informations commu</w:t>
      </w:r>
      <w:r w:rsidR="00E80B6C">
        <w:rPr>
          <w:rFonts w:ascii="Times New Roman" w:hAnsi="Times New Roman"/>
        </w:rPr>
        <w:t>niquées, des diligences autorisée</w:t>
      </w:r>
      <w:r w:rsidRPr="00354961">
        <w:rPr>
          <w:rFonts w:ascii="Times New Roman" w:hAnsi="Times New Roman"/>
        </w:rPr>
        <w:t>s, du temps laissé et de la capacité de « </w:t>
      </w:r>
      <w:r w:rsidRPr="00354961">
        <w:rPr>
          <w:rFonts w:ascii="Times New Roman" w:hAnsi="Times New Roman"/>
          <w:i/>
        </w:rPr>
        <w:t>discuter »</w:t>
      </w:r>
      <w:r w:rsidRPr="00354961">
        <w:rPr>
          <w:rFonts w:ascii="Times New Roman" w:hAnsi="Times New Roman"/>
        </w:rPr>
        <w:t xml:space="preserve"> les éléments de la valeur. Il peut aussi demander le témoignage, l’avis, les expertises sur ces éléments de marché qui sont le reflet de fait. Le juge devra écarter les faits (frauduleux ou non) ayant impacté</w:t>
      </w:r>
      <w:r w:rsidR="00E80B6C">
        <w:rPr>
          <w:rFonts w:ascii="Times New Roman" w:hAnsi="Times New Roman"/>
        </w:rPr>
        <w:t>,</w:t>
      </w:r>
      <w:r w:rsidRPr="00354961">
        <w:rPr>
          <w:rFonts w:ascii="Times New Roman" w:hAnsi="Times New Roman"/>
        </w:rPr>
        <w:t xml:space="preserve"> sur le marché</w:t>
      </w:r>
      <w:r w:rsidR="00E80B6C">
        <w:rPr>
          <w:rFonts w:ascii="Times New Roman" w:hAnsi="Times New Roman"/>
        </w:rPr>
        <w:t>,</w:t>
      </w:r>
      <w:r w:rsidRPr="00354961">
        <w:rPr>
          <w:rFonts w:ascii="Times New Roman" w:hAnsi="Times New Roman"/>
        </w:rPr>
        <w:t xml:space="preserve"> la valeur de l’entreprise (vente d’actifs, contrats onéreux, …)</w:t>
      </w:r>
      <w:r w:rsidRPr="00354961">
        <w:rPr>
          <w:rStyle w:val="Appelnotedebasdep"/>
          <w:rFonts w:ascii="Times New Roman" w:hAnsi="Times New Roman"/>
        </w:rPr>
        <w:footnoteReference w:id="349"/>
      </w:r>
      <w:r w:rsidRPr="00354961">
        <w:rPr>
          <w:rFonts w:ascii="Times New Roman" w:hAnsi="Times New Roman"/>
        </w:rPr>
        <w:t>.</w:t>
      </w:r>
    </w:p>
    <w:p w:rsidR="008064D7" w:rsidRPr="00354961" w:rsidRDefault="008064D7" w:rsidP="00A241BF">
      <w:pPr>
        <w:pStyle w:val="Paragraphedeliste"/>
        <w:spacing w:line="240" w:lineRule="auto"/>
        <w:ind w:left="1506"/>
        <w:rPr>
          <w:rFonts w:ascii="Times New Roman" w:hAnsi="Times New Roman"/>
        </w:rPr>
      </w:pPr>
    </w:p>
    <w:p w:rsidR="008064D7" w:rsidRPr="00354961" w:rsidRDefault="008064D7" w:rsidP="007565AA">
      <w:pPr>
        <w:pStyle w:val="Paragraphedeliste"/>
        <w:numPr>
          <w:ilvl w:val="0"/>
          <w:numId w:val="9"/>
        </w:numPr>
        <w:spacing w:line="240" w:lineRule="auto"/>
        <w:rPr>
          <w:rFonts w:ascii="Times New Roman" w:hAnsi="Times New Roman"/>
        </w:rPr>
      </w:pPr>
      <w:r w:rsidRPr="00354961">
        <w:rPr>
          <w:rFonts w:ascii="Times New Roman" w:hAnsi="Times New Roman"/>
          <w:i/>
          <w:smallCaps/>
          <w:u w:val="single"/>
        </w:rPr>
        <w:t>L’approche des comparables</w:t>
      </w:r>
      <w:r w:rsidRPr="00354961">
        <w:rPr>
          <w:rFonts w:ascii="Times New Roman" w:hAnsi="Times New Roman"/>
          <w:smallCaps/>
        </w:rPr>
        <w:t xml:space="preserve">. </w:t>
      </w:r>
      <w:r w:rsidRPr="00354961">
        <w:rPr>
          <w:rFonts w:ascii="Times New Roman" w:hAnsi="Times New Roman"/>
        </w:rPr>
        <w:t xml:space="preserve">Comme précisé, la doctrine et la jurisprudence américaine développent le principe de la comparaison entre la valeur DCF et la valeur </w:t>
      </w:r>
      <w:r w:rsidRPr="00354961">
        <w:rPr>
          <w:rFonts w:ascii="Times New Roman" w:hAnsi="Times New Roman"/>
        </w:rPr>
        <w:lastRenderedPageBreak/>
        <w:t>comparable, soit de type de transaction, soit de type d’entreprise. Ce travail est, avant tout, une appréciation factuelle et donc juridique des éléments qui rendent pertinente la comparaison. Les experts listeront les comparables et indiqueront les éléments factuels sur lesquels on peut les considérer comparables, mais la dernière ligne droite de la comparaison appartient au juge.</w:t>
      </w:r>
    </w:p>
    <w:p w:rsidR="008064D7" w:rsidRDefault="008064D7" w:rsidP="00A241BF">
      <w:pPr>
        <w:pStyle w:val="Paragraphedeliste"/>
        <w:spacing w:line="240" w:lineRule="auto"/>
        <w:ind w:left="1506"/>
        <w:rPr>
          <w:rFonts w:ascii="Times New Roman" w:hAnsi="Times New Roman"/>
          <w:sz w:val="24"/>
        </w:rPr>
      </w:pPr>
    </w:p>
    <w:p w:rsidR="00E80B6C" w:rsidRDefault="008064D7" w:rsidP="00E80B6C">
      <w:pPr>
        <w:pStyle w:val="Paragraphedeliste"/>
        <w:numPr>
          <w:ilvl w:val="0"/>
          <w:numId w:val="2"/>
        </w:numPr>
        <w:spacing w:line="240" w:lineRule="auto"/>
        <w:ind w:hanging="567"/>
        <w:rPr>
          <w:rFonts w:ascii="Times New Roman" w:hAnsi="Times New Roman"/>
          <w:sz w:val="24"/>
        </w:rPr>
      </w:pPr>
      <w:r>
        <w:rPr>
          <w:rFonts w:ascii="Times New Roman" w:hAnsi="Times New Roman"/>
          <w:sz w:val="24"/>
        </w:rPr>
        <w:t>Une étude</w:t>
      </w:r>
      <w:r>
        <w:rPr>
          <w:rStyle w:val="Appelnotedebasdep"/>
          <w:rFonts w:ascii="Times New Roman" w:hAnsi="Times New Roman"/>
          <w:sz w:val="24"/>
        </w:rPr>
        <w:footnoteReference w:id="350"/>
      </w:r>
      <w:r>
        <w:rPr>
          <w:rFonts w:ascii="Times New Roman" w:hAnsi="Times New Roman"/>
          <w:sz w:val="24"/>
        </w:rPr>
        <w:t xml:space="preserve"> a procédé à une étude quantitative et qualitative de 143 procès portant sur l’évaluation de l’entreprise par </w:t>
      </w:r>
      <w:r w:rsidR="00E80B6C">
        <w:rPr>
          <w:rFonts w:ascii="Times New Roman" w:hAnsi="Times New Roman"/>
          <w:sz w:val="24"/>
        </w:rPr>
        <w:t>le juge américain depuis 1990 (le plus grand</w:t>
      </w:r>
      <w:r>
        <w:rPr>
          <w:rFonts w:ascii="Times New Roman" w:hAnsi="Times New Roman"/>
          <w:sz w:val="24"/>
        </w:rPr>
        <w:t xml:space="preserve"> nombre </w:t>
      </w:r>
      <w:r w:rsidR="00E80B6C">
        <w:rPr>
          <w:rFonts w:ascii="Times New Roman" w:hAnsi="Times New Roman"/>
          <w:sz w:val="24"/>
        </w:rPr>
        <w:t>entre</w:t>
      </w:r>
      <w:r>
        <w:rPr>
          <w:rFonts w:ascii="Times New Roman" w:hAnsi="Times New Roman"/>
          <w:sz w:val="24"/>
        </w:rPr>
        <w:t xml:space="preserve"> 2009 </w:t>
      </w:r>
      <w:r w:rsidR="00E80B6C">
        <w:rPr>
          <w:rFonts w:ascii="Times New Roman" w:hAnsi="Times New Roman"/>
          <w:sz w:val="24"/>
        </w:rPr>
        <w:t>et</w:t>
      </w:r>
      <w:r>
        <w:rPr>
          <w:rFonts w:ascii="Times New Roman" w:hAnsi="Times New Roman"/>
          <w:sz w:val="24"/>
        </w:rPr>
        <w:t xml:space="preserve"> 2014). </w:t>
      </w:r>
    </w:p>
    <w:p w:rsidR="00E80B6C" w:rsidRDefault="00E80B6C" w:rsidP="00E80B6C">
      <w:pPr>
        <w:pStyle w:val="Paragraphedeliste"/>
        <w:spacing w:line="240" w:lineRule="auto"/>
        <w:ind w:left="786"/>
        <w:rPr>
          <w:rFonts w:ascii="Times New Roman" w:hAnsi="Times New Roman"/>
          <w:sz w:val="24"/>
        </w:rPr>
      </w:pPr>
    </w:p>
    <w:p w:rsidR="00E80B6C" w:rsidRDefault="008064D7" w:rsidP="00E80B6C">
      <w:pPr>
        <w:pStyle w:val="Paragraphedeliste"/>
        <w:spacing w:line="240" w:lineRule="auto"/>
        <w:ind w:left="786"/>
        <w:rPr>
          <w:rFonts w:ascii="Times New Roman" w:hAnsi="Times New Roman"/>
          <w:sz w:val="24"/>
        </w:rPr>
      </w:pPr>
      <w:r w:rsidRPr="00936647">
        <w:rPr>
          <w:rFonts w:ascii="Times New Roman" w:hAnsi="Times New Roman"/>
          <w:sz w:val="24"/>
        </w:rPr>
        <w:t xml:space="preserve">La figure qui suit reprend, par rapport aux valeurs hautes et basses soutenues dans les </w:t>
      </w:r>
      <w:r w:rsidRPr="007C17D3">
        <w:rPr>
          <w:rFonts w:ascii="Times New Roman" w:hAnsi="Times New Roman"/>
          <w:sz w:val="24"/>
        </w:rPr>
        <w:t>affaire</w:t>
      </w:r>
      <w:r w:rsidRPr="00936647">
        <w:rPr>
          <w:rFonts w:ascii="Times New Roman" w:hAnsi="Times New Roman"/>
          <w:sz w:val="24"/>
        </w:rPr>
        <w:t>s où des éléments frauduleux ont été écartés et ceux où il n’y avait pas d’élément</w:t>
      </w:r>
      <w:r w:rsidR="00E80B6C">
        <w:rPr>
          <w:rFonts w:ascii="Times New Roman" w:hAnsi="Times New Roman"/>
          <w:sz w:val="24"/>
        </w:rPr>
        <w:t>s frauduleux.</w:t>
      </w:r>
    </w:p>
    <w:p w:rsidR="00E80B6C" w:rsidRDefault="00E80B6C" w:rsidP="00E80B6C">
      <w:pPr>
        <w:pStyle w:val="Paragraphedeliste"/>
        <w:spacing w:line="240" w:lineRule="auto"/>
        <w:ind w:left="786"/>
        <w:rPr>
          <w:rFonts w:ascii="Times New Roman" w:hAnsi="Times New Roman"/>
          <w:sz w:val="24"/>
        </w:rPr>
      </w:pPr>
    </w:p>
    <w:p w:rsidR="008064D7" w:rsidRPr="00936647" w:rsidRDefault="008064D7" w:rsidP="00E80B6C">
      <w:pPr>
        <w:pStyle w:val="Paragraphedeliste"/>
        <w:spacing w:line="240" w:lineRule="auto"/>
        <w:ind w:left="786"/>
        <w:rPr>
          <w:rFonts w:ascii="Times New Roman" w:hAnsi="Times New Roman"/>
          <w:sz w:val="24"/>
        </w:rPr>
      </w:pPr>
      <w:r w:rsidRPr="00936647">
        <w:rPr>
          <w:rFonts w:ascii="Times New Roman" w:hAnsi="Times New Roman"/>
          <w:sz w:val="24"/>
        </w:rPr>
        <w:t xml:space="preserve">Dans ces dossiers, 39% des plans ont été confirmés, 23% ont été qualifiés au regard des faits frauduleux, les autres </w:t>
      </w:r>
      <w:r w:rsidR="00E80B6C">
        <w:rPr>
          <w:rFonts w:ascii="Times New Roman" w:hAnsi="Times New Roman"/>
          <w:sz w:val="24"/>
        </w:rPr>
        <w:t xml:space="preserve">sur base </w:t>
      </w:r>
      <w:r w:rsidRPr="00936647">
        <w:rPr>
          <w:rFonts w:ascii="Times New Roman" w:hAnsi="Times New Roman"/>
          <w:sz w:val="24"/>
        </w:rPr>
        <w:t>d’appréciation d’experts.</w:t>
      </w:r>
    </w:p>
    <w:p w:rsidR="008064D7" w:rsidRDefault="008064D7" w:rsidP="00A241BF">
      <w:pPr>
        <w:pStyle w:val="Paragraphedeliste"/>
        <w:spacing w:line="240" w:lineRule="auto"/>
        <w:ind w:left="1506"/>
        <w:rPr>
          <w:rFonts w:ascii="Times New Roman" w:hAnsi="Times New Roman"/>
          <w:sz w:val="24"/>
        </w:rPr>
      </w:pPr>
    </w:p>
    <w:p w:rsidR="008064D7" w:rsidRDefault="008064D7" w:rsidP="00E80B6C">
      <w:pPr>
        <w:pStyle w:val="Paragraphedeliste"/>
        <w:spacing w:line="240" w:lineRule="auto"/>
        <w:ind w:left="786"/>
        <w:rPr>
          <w:rFonts w:ascii="Times New Roman" w:hAnsi="Times New Roman"/>
          <w:sz w:val="24"/>
        </w:rPr>
      </w:pPr>
      <w:r>
        <w:rPr>
          <w:rFonts w:ascii="Times New Roman" w:hAnsi="Times New Roman"/>
          <w:sz w:val="24"/>
        </w:rPr>
        <w:t xml:space="preserve">Le tableau qui suit </w:t>
      </w:r>
      <w:r w:rsidR="00E80B6C">
        <w:rPr>
          <w:rFonts w:ascii="Times New Roman" w:hAnsi="Times New Roman"/>
          <w:sz w:val="24"/>
        </w:rPr>
        <w:t>reprend</w:t>
      </w:r>
      <w:r>
        <w:rPr>
          <w:rFonts w:ascii="Times New Roman" w:hAnsi="Times New Roman"/>
          <w:sz w:val="24"/>
        </w:rPr>
        <w:t xml:space="preserve"> le résultat des jugements sur la valeur retenue</w:t>
      </w:r>
      <w:r>
        <w:rPr>
          <w:rStyle w:val="Appelnotedebasdep"/>
          <w:rFonts w:ascii="Times New Roman" w:hAnsi="Times New Roman"/>
          <w:sz w:val="24"/>
        </w:rPr>
        <w:footnoteReference w:id="351"/>
      </w:r>
    </w:p>
    <w:p w:rsidR="008064D7" w:rsidRDefault="008064D7" w:rsidP="00A241BF">
      <w:pPr>
        <w:pStyle w:val="Paragraphedeliste"/>
        <w:spacing w:line="240" w:lineRule="auto"/>
        <w:ind w:left="1506"/>
        <w:rPr>
          <w:rFonts w:ascii="Times New Roman" w:hAnsi="Times New Roman"/>
          <w:sz w:val="24"/>
        </w:rPr>
      </w:pPr>
    </w:p>
    <w:p w:rsidR="008064D7" w:rsidRDefault="008064D7" w:rsidP="00A241BF">
      <w:pPr>
        <w:pStyle w:val="Paragraphedeliste"/>
        <w:spacing w:line="240" w:lineRule="auto"/>
        <w:ind w:left="1506"/>
        <w:rPr>
          <w:rFonts w:ascii="Times New Roman" w:hAnsi="Times New Roman"/>
          <w:sz w:val="24"/>
        </w:rPr>
      </w:pPr>
    </w:p>
    <w:tbl>
      <w:tblPr>
        <w:tblStyle w:val="TableauGrille6Couleur"/>
        <w:tblW w:w="7851" w:type="dxa"/>
        <w:jc w:val="center"/>
        <w:tblLook w:val="04A0" w:firstRow="1" w:lastRow="0" w:firstColumn="1" w:lastColumn="0" w:noHBand="0" w:noVBand="1"/>
      </w:tblPr>
      <w:tblGrid>
        <w:gridCol w:w="3026"/>
        <w:gridCol w:w="899"/>
        <w:gridCol w:w="710"/>
        <w:gridCol w:w="887"/>
        <w:gridCol w:w="1112"/>
        <w:gridCol w:w="718"/>
        <w:gridCol w:w="499"/>
      </w:tblGrid>
      <w:tr w:rsidR="008064D7" w:rsidTr="00E80B6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Default="008064D7" w:rsidP="00E91C4E">
            <w:pPr>
              <w:pStyle w:val="Paragraphedeliste"/>
              <w:spacing w:line="240" w:lineRule="auto"/>
              <w:ind w:left="0"/>
              <w:jc w:val="center"/>
              <w:rPr>
                <w:rFonts w:ascii="Times New Roman" w:hAnsi="Times New Roman"/>
                <w:sz w:val="24"/>
              </w:rPr>
            </w:pPr>
          </w:p>
        </w:tc>
        <w:tc>
          <w:tcPr>
            <w:tcW w:w="1609" w:type="dxa"/>
            <w:gridSpan w:val="2"/>
          </w:tcPr>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w:t>
            </w:r>
          </w:p>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All Cases</w:t>
            </w:r>
          </w:p>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N=141</w:t>
            </w:r>
          </w:p>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p>
        </w:tc>
        <w:tc>
          <w:tcPr>
            <w:tcW w:w="0" w:type="auto"/>
            <w:gridSpan w:val="2"/>
          </w:tcPr>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w:t>
            </w:r>
          </w:p>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Clawback Cases</w:t>
            </w:r>
          </w:p>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N=33</w:t>
            </w:r>
          </w:p>
        </w:tc>
        <w:tc>
          <w:tcPr>
            <w:tcW w:w="0" w:type="auto"/>
            <w:gridSpan w:val="2"/>
          </w:tcPr>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w:t>
            </w:r>
          </w:p>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Other Cases</w:t>
            </w:r>
          </w:p>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N=108</w:t>
            </w:r>
          </w:p>
        </w:tc>
      </w:tr>
      <w:tr w:rsidR="008064D7" w:rsidTr="00E80B6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Default="008064D7" w:rsidP="00A241BF">
            <w:pPr>
              <w:pStyle w:val="Paragraphedeliste"/>
              <w:spacing w:line="240" w:lineRule="auto"/>
              <w:ind w:left="0"/>
              <w:rPr>
                <w:rFonts w:ascii="Times New Roman" w:hAnsi="Times New Roman"/>
                <w:sz w:val="24"/>
              </w:rPr>
            </w:pPr>
          </w:p>
        </w:tc>
        <w:tc>
          <w:tcPr>
            <w:tcW w:w="899"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w:t>
            </w:r>
          </w:p>
        </w:tc>
        <w:tc>
          <w:tcPr>
            <w:tcW w:w="710"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N</w:t>
            </w:r>
          </w:p>
        </w:tc>
        <w:tc>
          <w:tcPr>
            <w:tcW w:w="887"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w:t>
            </w:r>
          </w:p>
        </w:tc>
        <w:tc>
          <w:tcPr>
            <w:tcW w:w="1112"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N</w:t>
            </w:r>
          </w:p>
        </w:tc>
        <w:tc>
          <w:tcPr>
            <w:tcW w:w="0" w:type="auto"/>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w:t>
            </w:r>
          </w:p>
        </w:tc>
        <w:tc>
          <w:tcPr>
            <w:tcW w:w="0" w:type="auto"/>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N</w:t>
            </w:r>
          </w:p>
        </w:tc>
      </w:tr>
      <w:tr w:rsidR="008064D7" w:rsidTr="00E80B6C">
        <w:trPr>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sz w:val="24"/>
              </w:rPr>
            </w:pPr>
            <w:r w:rsidRPr="00E91C4E">
              <w:rPr>
                <w:rFonts w:ascii="Times New Roman" w:hAnsi="Times New Roman"/>
                <w:sz w:val="24"/>
              </w:rPr>
              <w:t>Panel 1 : DCF Disputes</w:t>
            </w:r>
          </w:p>
        </w:tc>
        <w:tc>
          <w:tcPr>
            <w:tcW w:w="899"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710"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887"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1112"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0" w:type="auto"/>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0" w:type="auto"/>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8064D7" w:rsidTr="00E80B6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rPr>
            </w:pPr>
            <w:r w:rsidRPr="00E91C4E">
              <w:rPr>
                <w:rFonts w:ascii="Times New Roman" w:hAnsi="Times New Roman"/>
                <w:b w:val="0"/>
                <w:sz w:val="24"/>
              </w:rPr>
              <w:t>Number of DCF Cases</w:t>
            </w:r>
          </w:p>
        </w:tc>
        <w:tc>
          <w:tcPr>
            <w:tcW w:w="899"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710"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122</w:t>
            </w:r>
          </w:p>
        </w:tc>
        <w:tc>
          <w:tcPr>
            <w:tcW w:w="887"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1112"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29</w:t>
            </w:r>
          </w:p>
        </w:tc>
        <w:tc>
          <w:tcPr>
            <w:tcW w:w="0" w:type="auto"/>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p>
        </w:tc>
        <w:tc>
          <w:tcPr>
            <w:tcW w:w="0" w:type="auto"/>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93</w:t>
            </w:r>
          </w:p>
        </w:tc>
      </w:tr>
      <w:tr w:rsidR="008064D7" w:rsidTr="00E80B6C">
        <w:trPr>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rPr>
            </w:pPr>
            <w:r w:rsidRPr="00E91C4E">
              <w:rPr>
                <w:rFonts w:ascii="Times New Roman" w:hAnsi="Times New Roman"/>
                <w:b w:val="0"/>
                <w:sz w:val="24"/>
              </w:rPr>
              <w:t>WAAC Dispute</w:t>
            </w:r>
          </w:p>
        </w:tc>
        <w:tc>
          <w:tcPr>
            <w:tcW w:w="899"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46%</w:t>
            </w:r>
          </w:p>
        </w:tc>
        <w:tc>
          <w:tcPr>
            <w:tcW w:w="710"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56</w:t>
            </w:r>
          </w:p>
        </w:tc>
        <w:tc>
          <w:tcPr>
            <w:tcW w:w="887"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52%</w:t>
            </w:r>
          </w:p>
        </w:tc>
        <w:tc>
          <w:tcPr>
            <w:tcW w:w="1112"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15</w:t>
            </w:r>
          </w:p>
        </w:tc>
        <w:tc>
          <w:tcPr>
            <w:tcW w:w="0" w:type="auto"/>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44%</w:t>
            </w:r>
          </w:p>
        </w:tc>
        <w:tc>
          <w:tcPr>
            <w:tcW w:w="0" w:type="auto"/>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41</w:t>
            </w:r>
          </w:p>
        </w:tc>
      </w:tr>
      <w:tr w:rsidR="008064D7" w:rsidTr="00E80B6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rPr>
            </w:pPr>
            <w:r w:rsidRPr="00E91C4E">
              <w:rPr>
                <w:rFonts w:ascii="Times New Roman" w:hAnsi="Times New Roman"/>
                <w:b w:val="0"/>
                <w:sz w:val="24"/>
              </w:rPr>
              <w:t>Projection Dispute</w:t>
            </w:r>
          </w:p>
        </w:tc>
        <w:tc>
          <w:tcPr>
            <w:tcW w:w="899"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74%</w:t>
            </w:r>
          </w:p>
        </w:tc>
        <w:tc>
          <w:tcPr>
            <w:tcW w:w="710"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90</w:t>
            </w:r>
          </w:p>
        </w:tc>
        <w:tc>
          <w:tcPr>
            <w:tcW w:w="887"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79%</w:t>
            </w:r>
          </w:p>
        </w:tc>
        <w:tc>
          <w:tcPr>
            <w:tcW w:w="1112" w:type="dxa"/>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23</w:t>
            </w:r>
          </w:p>
        </w:tc>
        <w:tc>
          <w:tcPr>
            <w:tcW w:w="0" w:type="auto"/>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72%</w:t>
            </w:r>
          </w:p>
        </w:tc>
        <w:tc>
          <w:tcPr>
            <w:tcW w:w="0" w:type="auto"/>
          </w:tcPr>
          <w:p w:rsidR="008064D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67</w:t>
            </w:r>
          </w:p>
        </w:tc>
      </w:tr>
      <w:tr w:rsidR="008064D7" w:rsidTr="00E80B6C">
        <w:trPr>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rPr>
            </w:pPr>
            <w:r w:rsidRPr="00E91C4E">
              <w:rPr>
                <w:rFonts w:ascii="Times New Roman" w:hAnsi="Times New Roman"/>
                <w:b w:val="0"/>
                <w:sz w:val="24"/>
              </w:rPr>
              <w:t xml:space="preserve">Terminal </w:t>
            </w:r>
            <w:r w:rsidRPr="007C17D3">
              <w:rPr>
                <w:rFonts w:ascii="Times New Roman" w:hAnsi="Times New Roman"/>
                <w:b w:val="0"/>
                <w:i/>
                <w:sz w:val="24"/>
              </w:rPr>
              <w:t>Value</w:t>
            </w:r>
            <w:r w:rsidRPr="00E91C4E">
              <w:rPr>
                <w:rFonts w:ascii="Times New Roman" w:hAnsi="Times New Roman"/>
                <w:b w:val="0"/>
                <w:sz w:val="24"/>
              </w:rPr>
              <w:t xml:space="preserve"> Dispute</w:t>
            </w:r>
          </w:p>
        </w:tc>
        <w:tc>
          <w:tcPr>
            <w:tcW w:w="899"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15%</w:t>
            </w:r>
          </w:p>
        </w:tc>
        <w:tc>
          <w:tcPr>
            <w:tcW w:w="710"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18</w:t>
            </w:r>
          </w:p>
        </w:tc>
        <w:tc>
          <w:tcPr>
            <w:tcW w:w="887"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14%</w:t>
            </w:r>
          </w:p>
        </w:tc>
        <w:tc>
          <w:tcPr>
            <w:tcW w:w="1112" w:type="dxa"/>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w:t>
            </w:r>
          </w:p>
        </w:tc>
        <w:tc>
          <w:tcPr>
            <w:tcW w:w="0" w:type="auto"/>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15%</w:t>
            </w:r>
          </w:p>
        </w:tc>
        <w:tc>
          <w:tcPr>
            <w:tcW w:w="0" w:type="auto"/>
          </w:tcPr>
          <w:p w:rsidR="008064D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14</w:t>
            </w:r>
          </w:p>
        </w:tc>
      </w:tr>
      <w:tr w:rsidR="008064D7" w:rsidRPr="005426C7" w:rsidTr="00E80B6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lang w:val="en-US"/>
              </w:rPr>
            </w:pPr>
            <w:r w:rsidRPr="00E91C4E">
              <w:rPr>
                <w:rFonts w:ascii="Times New Roman" w:hAnsi="Times New Roman"/>
                <w:b w:val="0"/>
                <w:sz w:val="24"/>
                <w:lang w:val="en-US"/>
              </w:rPr>
              <w:t>At Least One Input Disputed</w:t>
            </w:r>
          </w:p>
        </w:tc>
        <w:tc>
          <w:tcPr>
            <w:tcW w:w="899" w:type="dxa"/>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84%</w:t>
            </w:r>
          </w:p>
        </w:tc>
        <w:tc>
          <w:tcPr>
            <w:tcW w:w="710" w:type="dxa"/>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102</w:t>
            </w:r>
          </w:p>
        </w:tc>
        <w:tc>
          <w:tcPr>
            <w:tcW w:w="887" w:type="dxa"/>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86%</w:t>
            </w:r>
          </w:p>
        </w:tc>
        <w:tc>
          <w:tcPr>
            <w:tcW w:w="1112" w:type="dxa"/>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25</w:t>
            </w:r>
          </w:p>
        </w:tc>
        <w:tc>
          <w:tcPr>
            <w:tcW w:w="0" w:type="auto"/>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83%</w:t>
            </w:r>
          </w:p>
        </w:tc>
        <w:tc>
          <w:tcPr>
            <w:tcW w:w="0" w:type="auto"/>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77</w:t>
            </w:r>
          </w:p>
        </w:tc>
      </w:tr>
      <w:tr w:rsidR="008064D7" w:rsidRPr="00A70B3F" w:rsidTr="00E80B6C">
        <w:trPr>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sz w:val="24"/>
                <w:lang w:val="en-US"/>
              </w:rPr>
            </w:pPr>
            <w:r w:rsidRPr="00E91C4E">
              <w:rPr>
                <w:rFonts w:ascii="Times New Roman" w:hAnsi="Times New Roman"/>
                <w:sz w:val="24"/>
                <w:lang w:val="en-US"/>
              </w:rPr>
              <w:t>Panel 2: CC and TM Disputes</w:t>
            </w:r>
          </w:p>
        </w:tc>
        <w:tc>
          <w:tcPr>
            <w:tcW w:w="899" w:type="dxa"/>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c>
          <w:tcPr>
            <w:tcW w:w="710" w:type="dxa"/>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c>
          <w:tcPr>
            <w:tcW w:w="887" w:type="dxa"/>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c>
          <w:tcPr>
            <w:tcW w:w="1112" w:type="dxa"/>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c>
          <w:tcPr>
            <w:tcW w:w="0" w:type="auto"/>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c>
          <w:tcPr>
            <w:tcW w:w="0" w:type="auto"/>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p>
        </w:tc>
      </w:tr>
      <w:tr w:rsidR="008064D7" w:rsidRPr="005426C7" w:rsidTr="00E80B6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lang w:val="en-US"/>
              </w:rPr>
            </w:pPr>
            <w:r w:rsidRPr="00E91C4E">
              <w:rPr>
                <w:rFonts w:ascii="Times New Roman" w:hAnsi="Times New Roman"/>
                <w:b w:val="0"/>
                <w:sz w:val="24"/>
                <w:lang w:val="en-US"/>
              </w:rPr>
              <w:t>Number of CC and TM Cases</w:t>
            </w:r>
          </w:p>
        </w:tc>
        <w:tc>
          <w:tcPr>
            <w:tcW w:w="899" w:type="dxa"/>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p>
        </w:tc>
        <w:tc>
          <w:tcPr>
            <w:tcW w:w="710" w:type="dxa"/>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105</w:t>
            </w:r>
          </w:p>
        </w:tc>
        <w:tc>
          <w:tcPr>
            <w:tcW w:w="887" w:type="dxa"/>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p>
        </w:tc>
        <w:tc>
          <w:tcPr>
            <w:tcW w:w="1112" w:type="dxa"/>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22</w:t>
            </w:r>
          </w:p>
        </w:tc>
        <w:tc>
          <w:tcPr>
            <w:tcW w:w="0" w:type="auto"/>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p>
        </w:tc>
        <w:tc>
          <w:tcPr>
            <w:tcW w:w="0" w:type="auto"/>
          </w:tcPr>
          <w:p w:rsidR="008064D7" w:rsidRPr="005426C7" w:rsidRDefault="008064D7" w:rsidP="00E91C4E">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83</w:t>
            </w:r>
          </w:p>
        </w:tc>
      </w:tr>
      <w:tr w:rsidR="008064D7" w:rsidRPr="005426C7" w:rsidTr="00E80B6C">
        <w:trPr>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lang w:val="en-US"/>
              </w:rPr>
            </w:pPr>
            <w:r w:rsidRPr="00E91C4E">
              <w:rPr>
                <w:rFonts w:ascii="Times New Roman" w:hAnsi="Times New Roman"/>
                <w:b w:val="0"/>
                <w:sz w:val="24"/>
                <w:lang w:val="en-US"/>
              </w:rPr>
              <w:t>Comparables Dispute</w:t>
            </w:r>
          </w:p>
        </w:tc>
        <w:tc>
          <w:tcPr>
            <w:tcW w:w="899" w:type="dxa"/>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61%</w:t>
            </w:r>
          </w:p>
        </w:tc>
        <w:tc>
          <w:tcPr>
            <w:tcW w:w="710" w:type="dxa"/>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64</w:t>
            </w:r>
          </w:p>
        </w:tc>
        <w:tc>
          <w:tcPr>
            <w:tcW w:w="887" w:type="dxa"/>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73%</w:t>
            </w:r>
          </w:p>
        </w:tc>
        <w:tc>
          <w:tcPr>
            <w:tcW w:w="1112" w:type="dxa"/>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16</w:t>
            </w:r>
          </w:p>
        </w:tc>
        <w:tc>
          <w:tcPr>
            <w:tcW w:w="0" w:type="auto"/>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58%</w:t>
            </w:r>
          </w:p>
        </w:tc>
        <w:tc>
          <w:tcPr>
            <w:tcW w:w="0" w:type="auto"/>
          </w:tcPr>
          <w:p w:rsidR="008064D7" w:rsidRPr="005426C7" w:rsidRDefault="008064D7" w:rsidP="00E91C4E">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48</w:t>
            </w:r>
          </w:p>
        </w:tc>
      </w:tr>
      <w:tr w:rsidR="008064D7" w:rsidRPr="005426C7" w:rsidTr="00E80B6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lang w:val="en-US"/>
              </w:rPr>
            </w:pPr>
            <w:r w:rsidRPr="00E91C4E">
              <w:rPr>
                <w:rFonts w:ascii="Times New Roman" w:hAnsi="Times New Roman"/>
                <w:b w:val="0"/>
                <w:sz w:val="24"/>
                <w:lang w:val="en-US"/>
              </w:rPr>
              <w:t>Multiplier Dispute</w:t>
            </w:r>
          </w:p>
        </w:tc>
        <w:tc>
          <w:tcPr>
            <w:tcW w:w="899" w:type="dxa"/>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20%</w:t>
            </w:r>
          </w:p>
        </w:tc>
        <w:tc>
          <w:tcPr>
            <w:tcW w:w="710" w:type="dxa"/>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21</w:t>
            </w:r>
          </w:p>
        </w:tc>
        <w:tc>
          <w:tcPr>
            <w:tcW w:w="887" w:type="dxa"/>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50%</w:t>
            </w:r>
          </w:p>
        </w:tc>
        <w:tc>
          <w:tcPr>
            <w:tcW w:w="1112" w:type="dxa"/>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11</w:t>
            </w:r>
          </w:p>
        </w:tc>
        <w:tc>
          <w:tcPr>
            <w:tcW w:w="0" w:type="auto"/>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12%</w:t>
            </w:r>
          </w:p>
        </w:tc>
        <w:tc>
          <w:tcPr>
            <w:tcW w:w="0" w:type="auto"/>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10</w:t>
            </w:r>
          </w:p>
        </w:tc>
      </w:tr>
      <w:tr w:rsidR="008064D7" w:rsidRPr="005426C7" w:rsidTr="00E80B6C">
        <w:trPr>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lang w:val="en-US"/>
              </w:rPr>
            </w:pPr>
            <w:r w:rsidRPr="007C17D3">
              <w:rPr>
                <w:rFonts w:ascii="Times New Roman" w:hAnsi="Times New Roman"/>
                <w:b w:val="0"/>
                <w:i/>
                <w:sz w:val="24"/>
                <w:lang w:val="en-US"/>
              </w:rPr>
              <w:t>Market</w:t>
            </w:r>
            <w:r w:rsidRPr="00E91C4E">
              <w:rPr>
                <w:rFonts w:ascii="Times New Roman" w:hAnsi="Times New Roman"/>
                <w:b w:val="0"/>
                <w:sz w:val="24"/>
                <w:lang w:val="en-US"/>
              </w:rPr>
              <w:t xml:space="preserve"> </w:t>
            </w:r>
            <w:r w:rsidRPr="007C17D3">
              <w:rPr>
                <w:rFonts w:ascii="Times New Roman" w:hAnsi="Times New Roman"/>
                <w:b w:val="0"/>
                <w:i/>
                <w:sz w:val="24"/>
                <w:lang w:val="en-US"/>
              </w:rPr>
              <w:t>Value</w:t>
            </w:r>
            <w:r w:rsidRPr="00E91C4E">
              <w:rPr>
                <w:rFonts w:ascii="Times New Roman" w:hAnsi="Times New Roman"/>
                <w:b w:val="0"/>
                <w:sz w:val="24"/>
                <w:lang w:val="en-US"/>
              </w:rPr>
              <w:t xml:space="preserve"> of Comparables Dispute</w:t>
            </w:r>
          </w:p>
        </w:tc>
        <w:tc>
          <w:tcPr>
            <w:tcW w:w="899" w:type="dxa"/>
          </w:tcPr>
          <w:p w:rsidR="008064D7" w:rsidRPr="005426C7" w:rsidRDefault="008064D7" w:rsidP="00A241BF">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39%</w:t>
            </w:r>
          </w:p>
        </w:tc>
        <w:tc>
          <w:tcPr>
            <w:tcW w:w="710" w:type="dxa"/>
          </w:tcPr>
          <w:p w:rsidR="008064D7" w:rsidRPr="005426C7" w:rsidRDefault="008064D7" w:rsidP="00A241BF">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41</w:t>
            </w:r>
          </w:p>
        </w:tc>
        <w:tc>
          <w:tcPr>
            <w:tcW w:w="887" w:type="dxa"/>
          </w:tcPr>
          <w:p w:rsidR="008064D7" w:rsidRPr="005426C7" w:rsidRDefault="008064D7" w:rsidP="00A241BF">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50%</w:t>
            </w:r>
          </w:p>
        </w:tc>
        <w:tc>
          <w:tcPr>
            <w:tcW w:w="1112" w:type="dxa"/>
          </w:tcPr>
          <w:p w:rsidR="008064D7" w:rsidRPr="005426C7" w:rsidRDefault="008064D7" w:rsidP="00A241BF">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11</w:t>
            </w:r>
          </w:p>
        </w:tc>
        <w:tc>
          <w:tcPr>
            <w:tcW w:w="0" w:type="auto"/>
          </w:tcPr>
          <w:p w:rsidR="008064D7" w:rsidRPr="005426C7" w:rsidRDefault="008064D7" w:rsidP="00A241BF">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36%</w:t>
            </w:r>
          </w:p>
        </w:tc>
        <w:tc>
          <w:tcPr>
            <w:tcW w:w="0" w:type="auto"/>
          </w:tcPr>
          <w:p w:rsidR="008064D7" w:rsidRPr="005426C7" w:rsidRDefault="008064D7" w:rsidP="00A241BF">
            <w:pPr>
              <w:pStyle w:val="Paragraphedeliste"/>
              <w:spacing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30</w:t>
            </w:r>
          </w:p>
        </w:tc>
      </w:tr>
      <w:tr w:rsidR="008064D7" w:rsidRPr="005426C7" w:rsidTr="00E80B6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026" w:type="dxa"/>
          </w:tcPr>
          <w:p w:rsidR="008064D7" w:rsidRPr="00E91C4E" w:rsidRDefault="008064D7" w:rsidP="00A241BF">
            <w:pPr>
              <w:pStyle w:val="Paragraphedeliste"/>
              <w:spacing w:line="240" w:lineRule="auto"/>
              <w:ind w:left="0"/>
              <w:rPr>
                <w:rFonts w:ascii="Times New Roman" w:hAnsi="Times New Roman"/>
                <w:b w:val="0"/>
                <w:sz w:val="24"/>
                <w:lang w:val="en-US"/>
              </w:rPr>
            </w:pPr>
            <w:r w:rsidRPr="00E91C4E">
              <w:rPr>
                <w:rFonts w:ascii="Times New Roman" w:hAnsi="Times New Roman"/>
                <w:b w:val="0"/>
                <w:sz w:val="24"/>
                <w:lang w:val="en-US"/>
              </w:rPr>
              <w:t>At Least One Input Dispute</w:t>
            </w:r>
          </w:p>
        </w:tc>
        <w:tc>
          <w:tcPr>
            <w:tcW w:w="899" w:type="dxa"/>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76%</w:t>
            </w:r>
          </w:p>
        </w:tc>
        <w:tc>
          <w:tcPr>
            <w:tcW w:w="710" w:type="dxa"/>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80</w:t>
            </w:r>
          </w:p>
        </w:tc>
        <w:tc>
          <w:tcPr>
            <w:tcW w:w="887" w:type="dxa"/>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95%</w:t>
            </w:r>
          </w:p>
        </w:tc>
        <w:tc>
          <w:tcPr>
            <w:tcW w:w="1112" w:type="dxa"/>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21</w:t>
            </w:r>
          </w:p>
        </w:tc>
        <w:tc>
          <w:tcPr>
            <w:tcW w:w="0" w:type="auto"/>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71%</w:t>
            </w:r>
          </w:p>
        </w:tc>
        <w:tc>
          <w:tcPr>
            <w:tcW w:w="0" w:type="auto"/>
          </w:tcPr>
          <w:p w:rsidR="008064D7" w:rsidRPr="005426C7" w:rsidRDefault="008064D7" w:rsidP="00A241BF">
            <w:pPr>
              <w:pStyle w:val="Paragraphedeliste"/>
              <w:spacing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59</w:t>
            </w:r>
          </w:p>
        </w:tc>
      </w:tr>
    </w:tbl>
    <w:p w:rsidR="008064D7" w:rsidRPr="005426C7" w:rsidRDefault="008064D7" w:rsidP="00A241BF">
      <w:pPr>
        <w:pStyle w:val="Paragraphedeliste"/>
        <w:spacing w:line="240" w:lineRule="auto"/>
        <w:ind w:left="1506"/>
        <w:rPr>
          <w:rFonts w:ascii="Times New Roman" w:hAnsi="Times New Roman"/>
          <w:sz w:val="24"/>
          <w:lang w:val="en-US"/>
        </w:rPr>
      </w:pPr>
    </w:p>
    <w:p w:rsidR="008064D7" w:rsidRPr="00A241BF" w:rsidRDefault="008064D7" w:rsidP="00E80B6C">
      <w:pPr>
        <w:pStyle w:val="Paragraphedeliste"/>
        <w:spacing w:line="240" w:lineRule="auto"/>
        <w:ind w:left="786"/>
        <w:rPr>
          <w:rFonts w:ascii="Times New Roman" w:hAnsi="Times New Roman"/>
          <w:sz w:val="24"/>
        </w:rPr>
      </w:pPr>
      <w:r>
        <w:rPr>
          <w:rFonts w:ascii="Times New Roman" w:hAnsi="Times New Roman"/>
          <w:sz w:val="24"/>
        </w:rPr>
        <w:t>Enfin, le tableau suivant illustre la différence entre les avis des experts et els avis des juges</w:t>
      </w:r>
      <w:r w:rsidR="00E80B6C">
        <w:rPr>
          <w:rFonts w:ascii="Times New Roman" w:hAnsi="Times New Roman"/>
          <w:sz w:val="24"/>
        </w:rPr>
        <w:t>.</w:t>
      </w:r>
    </w:p>
    <w:p w:rsidR="008064D7" w:rsidRDefault="008064D7" w:rsidP="00017A1A">
      <w:pPr>
        <w:pStyle w:val="Paragraphedeliste"/>
        <w:spacing w:line="240" w:lineRule="auto"/>
        <w:ind w:left="786"/>
        <w:rPr>
          <w:rFonts w:ascii="Times New Roman" w:hAnsi="Times New Roman"/>
          <w:sz w:val="24"/>
        </w:rPr>
      </w:pPr>
    </w:p>
    <w:tbl>
      <w:tblPr>
        <w:tblStyle w:val="TableauGrille6Couleur"/>
        <w:tblW w:w="6634" w:type="dxa"/>
        <w:jc w:val="center"/>
        <w:tblLook w:val="04A0" w:firstRow="1" w:lastRow="0" w:firstColumn="1" w:lastColumn="0" w:noHBand="0" w:noVBand="1"/>
      </w:tblPr>
      <w:tblGrid>
        <w:gridCol w:w="1495"/>
        <w:gridCol w:w="1080"/>
        <w:gridCol w:w="1134"/>
        <w:gridCol w:w="1418"/>
        <w:gridCol w:w="1507"/>
      </w:tblGrid>
      <w:tr w:rsidR="008064D7" w:rsidRPr="00A70B3F" w:rsidTr="00E80B6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95" w:type="dxa"/>
          </w:tcPr>
          <w:p w:rsidR="008064D7" w:rsidRDefault="008064D7" w:rsidP="004D2D0B">
            <w:pPr>
              <w:pStyle w:val="Paragraphedeliste"/>
              <w:spacing w:line="240" w:lineRule="auto"/>
              <w:ind w:left="0"/>
              <w:jc w:val="center"/>
              <w:rPr>
                <w:rFonts w:ascii="Times New Roman" w:hAnsi="Times New Roman"/>
                <w:sz w:val="24"/>
              </w:rPr>
            </w:pPr>
          </w:p>
        </w:tc>
        <w:tc>
          <w:tcPr>
            <w:tcW w:w="2214" w:type="dxa"/>
            <w:gridSpan w:val="2"/>
          </w:tcPr>
          <w:p w:rsidR="008064D7" w:rsidRDefault="008064D7" w:rsidP="004D2D0B">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w:t>
            </w:r>
          </w:p>
          <w:p w:rsidR="008064D7" w:rsidRDefault="008064D7" w:rsidP="004D2D0B">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Experts Proposing</w:t>
            </w:r>
          </w:p>
          <w:p w:rsidR="008064D7" w:rsidRDefault="008064D7" w:rsidP="004D2D0B">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Non-Equal Weightings</w:t>
            </w:r>
          </w:p>
          <w:p w:rsidR="008064D7" w:rsidRDefault="008064D7" w:rsidP="004D2D0B">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p>
        </w:tc>
        <w:tc>
          <w:tcPr>
            <w:tcW w:w="2925" w:type="dxa"/>
            <w:gridSpan w:val="2"/>
          </w:tcPr>
          <w:p w:rsidR="008064D7" w:rsidRPr="00E91C4E" w:rsidRDefault="008064D7" w:rsidP="004D2D0B">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US"/>
              </w:rPr>
            </w:pPr>
            <w:r w:rsidRPr="00E91C4E">
              <w:rPr>
                <w:rFonts w:ascii="Times New Roman" w:hAnsi="Times New Roman"/>
                <w:sz w:val="24"/>
                <w:lang w:val="en-US"/>
              </w:rPr>
              <w:t>(2)</w:t>
            </w:r>
          </w:p>
          <w:p w:rsidR="008064D7"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US"/>
              </w:rPr>
            </w:pPr>
            <w:r w:rsidRPr="00E91C4E">
              <w:rPr>
                <w:rFonts w:ascii="Times New Roman" w:hAnsi="Times New Roman"/>
                <w:sz w:val="24"/>
                <w:lang w:val="en-US"/>
              </w:rPr>
              <w:t>Experts P</w:t>
            </w:r>
            <w:r>
              <w:rPr>
                <w:rFonts w:ascii="Times New Roman" w:hAnsi="Times New Roman"/>
                <w:sz w:val="24"/>
                <w:lang w:val="en-US"/>
              </w:rPr>
              <w:t>roposing Most Weigh on</w:t>
            </w:r>
          </w:p>
          <w:p w:rsidR="008064D7" w:rsidRPr="00E91C4E" w:rsidRDefault="008064D7" w:rsidP="00E91C4E">
            <w:pPr>
              <w:pStyle w:val="Paragraphedeliste"/>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Heighest/Lowest Valuation</w:t>
            </w:r>
          </w:p>
        </w:tc>
      </w:tr>
      <w:tr w:rsidR="008064D7" w:rsidRPr="00E91C4E" w:rsidTr="00E80B6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95" w:type="dxa"/>
          </w:tcPr>
          <w:p w:rsidR="008064D7" w:rsidRPr="007C17D3" w:rsidRDefault="008064D7" w:rsidP="004D2D0B">
            <w:pPr>
              <w:pStyle w:val="Paragraphedeliste"/>
              <w:spacing w:line="240" w:lineRule="auto"/>
              <w:ind w:left="0"/>
              <w:jc w:val="center"/>
              <w:rPr>
                <w:rFonts w:ascii="Times New Roman" w:hAnsi="Times New Roman"/>
                <w:sz w:val="24"/>
                <w:lang w:val="en-US"/>
              </w:rPr>
            </w:pPr>
          </w:p>
        </w:tc>
        <w:tc>
          <w:tcPr>
            <w:tcW w:w="1080" w:type="dxa"/>
          </w:tcPr>
          <w:p w:rsidR="008064D7" w:rsidRDefault="008064D7" w:rsidP="004D2D0B">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w:t>
            </w:r>
          </w:p>
        </w:tc>
        <w:tc>
          <w:tcPr>
            <w:tcW w:w="1134" w:type="dxa"/>
          </w:tcPr>
          <w:p w:rsidR="008064D7" w:rsidRDefault="008064D7" w:rsidP="004D2D0B">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N</w:t>
            </w:r>
          </w:p>
        </w:tc>
        <w:tc>
          <w:tcPr>
            <w:tcW w:w="1418" w:type="dxa"/>
          </w:tcPr>
          <w:p w:rsidR="008064D7" w:rsidRPr="00E91C4E" w:rsidRDefault="008064D7" w:rsidP="004D2D0B">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w:t>
            </w:r>
          </w:p>
        </w:tc>
        <w:tc>
          <w:tcPr>
            <w:tcW w:w="1507" w:type="dxa"/>
          </w:tcPr>
          <w:p w:rsidR="008064D7" w:rsidRPr="00E91C4E" w:rsidRDefault="008064D7" w:rsidP="004D2D0B">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lang w:val="en-US"/>
              </w:rPr>
            </w:pPr>
            <w:r>
              <w:rPr>
                <w:rFonts w:ascii="Times New Roman" w:hAnsi="Times New Roman"/>
                <w:sz w:val="24"/>
                <w:lang w:val="en-US"/>
              </w:rPr>
              <w:t>N</w:t>
            </w:r>
          </w:p>
        </w:tc>
      </w:tr>
      <w:tr w:rsidR="008064D7" w:rsidTr="00E80B6C">
        <w:trPr>
          <w:trHeight w:val="340"/>
          <w:jc w:val="center"/>
        </w:trPr>
        <w:tc>
          <w:tcPr>
            <w:cnfStyle w:val="001000000000" w:firstRow="0" w:lastRow="0" w:firstColumn="1" w:lastColumn="0" w:oddVBand="0" w:evenVBand="0" w:oddHBand="0" w:evenHBand="0" w:firstRowFirstColumn="0" w:firstRowLastColumn="0" w:lastRowFirstColumn="0" w:lastRowLastColumn="0"/>
            <w:tcW w:w="1495" w:type="dxa"/>
          </w:tcPr>
          <w:p w:rsidR="008064D7" w:rsidRPr="00E91C4E" w:rsidRDefault="008064D7" w:rsidP="004D2D0B">
            <w:pPr>
              <w:pStyle w:val="Paragraphedeliste"/>
              <w:spacing w:line="240" w:lineRule="auto"/>
              <w:ind w:left="0"/>
              <w:rPr>
                <w:rFonts w:ascii="Times New Roman" w:hAnsi="Times New Roman"/>
                <w:sz w:val="24"/>
                <w:lang w:val="en-US"/>
              </w:rPr>
            </w:pPr>
            <w:r>
              <w:rPr>
                <w:rFonts w:ascii="Times New Roman" w:hAnsi="Times New Roman"/>
                <w:sz w:val="24"/>
                <w:lang w:val="en-US"/>
              </w:rPr>
              <w:t xml:space="preserve">Yes </w:t>
            </w:r>
          </w:p>
        </w:tc>
        <w:tc>
          <w:tcPr>
            <w:tcW w:w="1080" w:type="dxa"/>
          </w:tcPr>
          <w:p w:rsidR="008064D7" w:rsidRDefault="008064D7" w:rsidP="004D2D0B">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75.00</w:t>
            </w:r>
          </w:p>
        </w:tc>
        <w:tc>
          <w:tcPr>
            <w:tcW w:w="1134" w:type="dxa"/>
          </w:tcPr>
          <w:p w:rsidR="008064D7" w:rsidRDefault="008064D7" w:rsidP="004D2D0B">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24</w:t>
            </w:r>
          </w:p>
        </w:tc>
        <w:tc>
          <w:tcPr>
            <w:tcW w:w="1418" w:type="dxa"/>
          </w:tcPr>
          <w:p w:rsidR="008064D7" w:rsidRDefault="008064D7" w:rsidP="004D2D0B">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58.33</w:t>
            </w:r>
          </w:p>
        </w:tc>
        <w:tc>
          <w:tcPr>
            <w:tcW w:w="1507" w:type="dxa"/>
          </w:tcPr>
          <w:p w:rsidR="008064D7" w:rsidRDefault="008064D7" w:rsidP="004D2D0B">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7</w:t>
            </w:r>
          </w:p>
        </w:tc>
      </w:tr>
      <w:tr w:rsidR="008064D7" w:rsidTr="00E80B6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495" w:type="dxa"/>
          </w:tcPr>
          <w:p w:rsidR="008064D7" w:rsidRPr="00E91C4E" w:rsidRDefault="008064D7" w:rsidP="004D2D0B">
            <w:pPr>
              <w:pStyle w:val="Paragraphedeliste"/>
              <w:spacing w:line="240" w:lineRule="auto"/>
              <w:ind w:left="0"/>
              <w:rPr>
                <w:rFonts w:ascii="Times New Roman" w:hAnsi="Times New Roman"/>
                <w:sz w:val="24"/>
              </w:rPr>
            </w:pPr>
            <w:r>
              <w:rPr>
                <w:rFonts w:ascii="Times New Roman" w:hAnsi="Times New Roman"/>
                <w:sz w:val="24"/>
              </w:rPr>
              <w:t>No</w:t>
            </w:r>
          </w:p>
        </w:tc>
        <w:tc>
          <w:tcPr>
            <w:tcW w:w="1080" w:type="dxa"/>
          </w:tcPr>
          <w:p w:rsidR="008064D7" w:rsidRDefault="008064D7" w:rsidP="004D2D0B">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25.00</w:t>
            </w:r>
          </w:p>
        </w:tc>
        <w:tc>
          <w:tcPr>
            <w:tcW w:w="1134" w:type="dxa"/>
          </w:tcPr>
          <w:p w:rsidR="008064D7" w:rsidRDefault="008064D7" w:rsidP="004D2D0B">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8</w:t>
            </w:r>
          </w:p>
        </w:tc>
        <w:tc>
          <w:tcPr>
            <w:tcW w:w="1418" w:type="dxa"/>
          </w:tcPr>
          <w:p w:rsidR="008064D7" w:rsidRDefault="008064D7" w:rsidP="004D2D0B">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41.67</w:t>
            </w:r>
          </w:p>
        </w:tc>
        <w:tc>
          <w:tcPr>
            <w:tcW w:w="1507" w:type="dxa"/>
          </w:tcPr>
          <w:p w:rsidR="008064D7" w:rsidRDefault="008064D7" w:rsidP="004D2D0B">
            <w:pPr>
              <w:pStyle w:val="Paragraphedeliste"/>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5</w:t>
            </w:r>
          </w:p>
        </w:tc>
      </w:tr>
      <w:tr w:rsidR="008064D7" w:rsidTr="00E80B6C">
        <w:trPr>
          <w:trHeight w:val="340"/>
          <w:jc w:val="center"/>
        </w:trPr>
        <w:tc>
          <w:tcPr>
            <w:cnfStyle w:val="001000000000" w:firstRow="0" w:lastRow="0" w:firstColumn="1" w:lastColumn="0" w:oddVBand="0" w:evenVBand="0" w:oddHBand="0" w:evenHBand="0" w:firstRowFirstColumn="0" w:firstRowLastColumn="0" w:lastRowFirstColumn="0" w:lastRowLastColumn="0"/>
            <w:tcW w:w="1495" w:type="dxa"/>
          </w:tcPr>
          <w:p w:rsidR="008064D7" w:rsidRPr="00E91C4E" w:rsidRDefault="008064D7" w:rsidP="004D2D0B">
            <w:pPr>
              <w:pStyle w:val="Paragraphedeliste"/>
              <w:spacing w:line="240" w:lineRule="auto"/>
              <w:ind w:left="0"/>
              <w:rPr>
                <w:rFonts w:ascii="Times New Roman" w:hAnsi="Times New Roman"/>
                <w:b w:val="0"/>
                <w:sz w:val="24"/>
              </w:rPr>
            </w:pPr>
            <w:r>
              <w:rPr>
                <w:rFonts w:ascii="Times New Roman" w:hAnsi="Times New Roman"/>
                <w:b w:val="0"/>
                <w:sz w:val="24"/>
              </w:rPr>
              <w:t>Total</w:t>
            </w:r>
          </w:p>
        </w:tc>
        <w:tc>
          <w:tcPr>
            <w:tcW w:w="1080" w:type="dxa"/>
          </w:tcPr>
          <w:p w:rsidR="008064D7" w:rsidRDefault="008064D7" w:rsidP="004D2D0B">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100.00</w:t>
            </w:r>
          </w:p>
        </w:tc>
        <w:tc>
          <w:tcPr>
            <w:tcW w:w="1134" w:type="dxa"/>
          </w:tcPr>
          <w:p w:rsidR="008064D7" w:rsidRDefault="008064D7" w:rsidP="004D2D0B">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32</w:t>
            </w:r>
          </w:p>
        </w:tc>
        <w:tc>
          <w:tcPr>
            <w:tcW w:w="1418" w:type="dxa"/>
          </w:tcPr>
          <w:p w:rsidR="008064D7" w:rsidRDefault="008064D7" w:rsidP="004D2D0B">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100.00</w:t>
            </w:r>
          </w:p>
        </w:tc>
        <w:tc>
          <w:tcPr>
            <w:tcW w:w="1507" w:type="dxa"/>
          </w:tcPr>
          <w:p w:rsidR="008064D7" w:rsidRDefault="008064D7" w:rsidP="004D2D0B">
            <w:pPr>
              <w:pStyle w:val="Paragraphedeliste"/>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12</w:t>
            </w:r>
          </w:p>
        </w:tc>
      </w:tr>
    </w:tbl>
    <w:p w:rsidR="008064D7" w:rsidRDefault="008064D7" w:rsidP="00017A1A">
      <w:pPr>
        <w:pStyle w:val="Paragraphedeliste"/>
        <w:spacing w:line="240" w:lineRule="auto"/>
        <w:ind w:left="786"/>
        <w:rPr>
          <w:rFonts w:ascii="Times New Roman" w:hAnsi="Times New Roman"/>
          <w:sz w:val="24"/>
        </w:rPr>
      </w:pPr>
    </w:p>
    <w:p w:rsidR="00E80B6C" w:rsidRDefault="00E80B6C" w:rsidP="00017A1A">
      <w:pPr>
        <w:pStyle w:val="Paragraphedeliste"/>
        <w:spacing w:line="240" w:lineRule="auto"/>
        <w:ind w:left="786"/>
        <w:rPr>
          <w:rFonts w:ascii="Times New Roman" w:hAnsi="Times New Roman"/>
          <w:sz w:val="24"/>
        </w:rPr>
      </w:pPr>
      <w:r>
        <w:rPr>
          <w:rFonts w:ascii="Times New Roman" w:hAnsi="Times New Roman"/>
          <w:sz w:val="24"/>
        </w:rPr>
        <w:t>On peut en dire de ces tableaux que :</w:t>
      </w:r>
    </w:p>
    <w:p w:rsidR="00E80B6C" w:rsidRDefault="00E80B6C" w:rsidP="00017A1A">
      <w:pPr>
        <w:pStyle w:val="Paragraphedeliste"/>
        <w:spacing w:line="240" w:lineRule="auto"/>
        <w:ind w:left="786"/>
        <w:rPr>
          <w:rFonts w:ascii="Times New Roman" w:hAnsi="Times New Roman"/>
          <w:sz w:val="24"/>
        </w:rPr>
      </w:pPr>
    </w:p>
    <w:p w:rsidR="008064D7" w:rsidRDefault="008064D7" w:rsidP="00E80B6C">
      <w:pPr>
        <w:pStyle w:val="Paragraphedeliste"/>
        <w:numPr>
          <w:ilvl w:val="0"/>
          <w:numId w:val="7"/>
        </w:numPr>
        <w:spacing w:line="240" w:lineRule="auto"/>
        <w:ind w:left="1418" w:hanging="284"/>
        <w:rPr>
          <w:rFonts w:ascii="Times New Roman" w:hAnsi="Times New Roman"/>
          <w:sz w:val="24"/>
        </w:rPr>
      </w:pPr>
      <w:r>
        <w:rPr>
          <w:rFonts w:ascii="Times New Roman" w:hAnsi="Times New Roman"/>
          <w:sz w:val="24"/>
        </w:rPr>
        <w:t>Un nombre important de cas ont dépendu de l’appréciation par le juge de faits (frauduleux ou non</w:t>
      </w:r>
      <w:r>
        <w:rPr>
          <w:rStyle w:val="Appelnotedebasdep"/>
          <w:rFonts w:ascii="Times New Roman" w:hAnsi="Times New Roman"/>
          <w:sz w:val="24"/>
        </w:rPr>
        <w:footnoteReference w:id="352"/>
      </w:r>
      <w:r>
        <w:rPr>
          <w:rFonts w:ascii="Times New Roman" w:hAnsi="Times New Roman"/>
          <w:sz w:val="24"/>
        </w:rPr>
        <w:t>) impactant l’évaluation ;</w:t>
      </w:r>
    </w:p>
    <w:p w:rsidR="008064D7" w:rsidRDefault="008064D7" w:rsidP="00E80B6C">
      <w:pPr>
        <w:pStyle w:val="Paragraphedeliste"/>
        <w:spacing w:line="240" w:lineRule="auto"/>
        <w:ind w:left="1418" w:hanging="284"/>
        <w:rPr>
          <w:rFonts w:ascii="Times New Roman" w:hAnsi="Times New Roman"/>
          <w:sz w:val="24"/>
        </w:rPr>
      </w:pPr>
    </w:p>
    <w:p w:rsidR="008064D7" w:rsidRDefault="008064D7" w:rsidP="00E80B6C">
      <w:pPr>
        <w:pStyle w:val="Paragraphedeliste"/>
        <w:numPr>
          <w:ilvl w:val="0"/>
          <w:numId w:val="7"/>
        </w:numPr>
        <w:spacing w:line="240" w:lineRule="auto"/>
        <w:ind w:left="1418" w:hanging="284"/>
        <w:rPr>
          <w:rFonts w:ascii="Times New Roman" w:hAnsi="Times New Roman"/>
          <w:sz w:val="24"/>
        </w:rPr>
      </w:pPr>
      <w:r>
        <w:rPr>
          <w:rFonts w:ascii="Times New Roman" w:hAnsi="Times New Roman"/>
          <w:sz w:val="24"/>
        </w:rPr>
        <w:t>Un nombre important de décisions s’écarte des éléments-clefs retenus pour é</w:t>
      </w:r>
      <w:r w:rsidRPr="007C17D3">
        <w:rPr>
          <w:rFonts w:ascii="Times New Roman" w:hAnsi="Times New Roman"/>
          <w:i/>
          <w:sz w:val="24"/>
        </w:rPr>
        <w:t>value</w:t>
      </w:r>
      <w:r>
        <w:rPr>
          <w:rFonts w:ascii="Times New Roman" w:hAnsi="Times New Roman"/>
          <w:sz w:val="24"/>
        </w:rPr>
        <w:t>r en DCF ou sur les multiples utilisés ;</w:t>
      </w:r>
    </w:p>
    <w:p w:rsidR="008064D7" w:rsidRDefault="008064D7" w:rsidP="00E80B6C">
      <w:pPr>
        <w:pStyle w:val="Paragraphedeliste"/>
        <w:spacing w:line="240" w:lineRule="auto"/>
        <w:ind w:left="1418" w:hanging="284"/>
        <w:rPr>
          <w:rFonts w:ascii="Times New Roman" w:hAnsi="Times New Roman"/>
          <w:sz w:val="24"/>
        </w:rPr>
      </w:pPr>
    </w:p>
    <w:p w:rsidR="008064D7" w:rsidRDefault="008064D7" w:rsidP="00E80B6C">
      <w:pPr>
        <w:pStyle w:val="Paragraphedeliste"/>
        <w:numPr>
          <w:ilvl w:val="0"/>
          <w:numId w:val="7"/>
        </w:numPr>
        <w:spacing w:line="240" w:lineRule="auto"/>
        <w:ind w:left="1418" w:hanging="284"/>
        <w:rPr>
          <w:rFonts w:ascii="Times New Roman" w:hAnsi="Times New Roman"/>
          <w:sz w:val="24"/>
        </w:rPr>
      </w:pPr>
      <w:r>
        <w:rPr>
          <w:rFonts w:ascii="Times New Roman" w:hAnsi="Times New Roman"/>
          <w:sz w:val="24"/>
        </w:rPr>
        <w:t>L’écart entre la valeur retenue par les juges et les paramètres retenus par la littérature financière</w:t>
      </w:r>
      <w:r w:rsidR="00E80B6C">
        <w:rPr>
          <w:rFonts w:ascii="Times New Roman" w:hAnsi="Times New Roman"/>
          <w:sz w:val="24"/>
        </w:rPr>
        <w:t xml:space="preserve"> est important</w:t>
      </w:r>
      <w:r>
        <w:rPr>
          <w:rFonts w:ascii="Times New Roman" w:hAnsi="Times New Roman"/>
          <w:sz w:val="24"/>
        </w:rPr>
        <w:t> ;</w:t>
      </w:r>
    </w:p>
    <w:p w:rsidR="008064D7" w:rsidRDefault="008064D7" w:rsidP="00E80B6C">
      <w:pPr>
        <w:pStyle w:val="Paragraphedeliste"/>
        <w:spacing w:line="240" w:lineRule="auto"/>
        <w:ind w:left="1418" w:hanging="284"/>
        <w:rPr>
          <w:rFonts w:ascii="Times New Roman" w:hAnsi="Times New Roman"/>
          <w:sz w:val="24"/>
        </w:rPr>
      </w:pPr>
    </w:p>
    <w:p w:rsidR="008064D7" w:rsidRDefault="008064D7" w:rsidP="00E80B6C">
      <w:pPr>
        <w:pStyle w:val="Paragraphedeliste"/>
        <w:numPr>
          <w:ilvl w:val="0"/>
          <w:numId w:val="7"/>
        </w:numPr>
        <w:spacing w:line="240" w:lineRule="auto"/>
        <w:ind w:left="1418" w:hanging="284"/>
        <w:rPr>
          <w:rFonts w:ascii="Times New Roman" w:hAnsi="Times New Roman"/>
          <w:sz w:val="24"/>
        </w:rPr>
      </w:pPr>
      <w:r>
        <w:rPr>
          <w:rFonts w:ascii="Times New Roman" w:hAnsi="Times New Roman"/>
          <w:sz w:val="24"/>
        </w:rPr>
        <w:t xml:space="preserve">Un nombre significatif de décisions se base sur le test de marché, mais s’en écarte parfois lorsque le </w:t>
      </w:r>
      <w:r w:rsidRPr="004352DF">
        <w:rPr>
          <w:rFonts w:ascii="Times New Roman" w:hAnsi="Times New Roman"/>
          <w:i/>
          <w:sz w:val="24"/>
        </w:rPr>
        <w:t xml:space="preserve">process </w:t>
      </w:r>
      <w:r>
        <w:rPr>
          <w:rFonts w:ascii="Times New Roman" w:hAnsi="Times New Roman"/>
          <w:sz w:val="24"/>
        </w:rPr>
        <w:t>du test n’est pas jugé pertinent ;</w:t>
      </w:r>
    </w:p>
    <w:p w:rsidR="008064D7" w:rsidRDefault="008064D7" w:rsidP="00E80B6C">
      <w:pPr>
        <w:pStyle w:val="Paragraphedeliste"/>
        <w:spacing w:line="240" w:lineRule="auto"/>
        <w:ind w:left="1418" w:hanging="284"/>
        <w:rPr>
          <w:rFonts w:ascii="Times New Roman" w:hAnsi="Times New Roman"/>
          <w:sz w:val="24"/>
        </w:rPr>
      </w:pPr>
    </w:p>
    <w:p w:rsidR="008064D7" w:rsidRDefault="00E80B6C" w:rsidP="00E80B6C">
      <w:pPr>
        <w:pStyle w:val="Paragraphedeliste"/>
        <w:numPr>
          <w:ilvl w:val="0"/>
          <w:numId w:val="7"/>
        </w:numPr>
        <w:spacing w:line="240" w:lineRule="auto"/>
        <w:ind w:left="1418" w:hanging="284"/>
        <w:rPr>
          <w:rFonts w:ascii="Times New Roman" w:hAnsi="Times New Roman"/>
          <w:sz w:val="24"/>
        </w:rPr>
      </w:pPr>
      <w:r>
        <w:rPr>
          <w:rFonts w:ascii="Times New Roman" w:hAnsi="Times New Roman"/>
          <w:sz w:val="24"/>
        </w:rPr>
        <w:t>Le</w:t>
      </w:r>
      <w:r w:rsidR="008064D7">
        <w:rPr>
          <w:rFonts w:ascii="Times New Roman" w:hAnsi="Times New Roman"/>
          <w:sz w:val="24"/>
        </w:rPr>
        <w:t xml:space="preserve"> recours aux experts est, pour finir, très souvent moyennement pertinent. Les juges préfèreront la médiation pour rapprocher le point de vue des parties ou d’experts listant les points d’accord ou de désaccord</w:t>
      </w:r>
      <w:r w:rsidR="008064D7">
        <w:rPr>
          <w:rStyle w:val="Appelnotedebasdep"/>
          <w:rFonts w:ascii="Times New Roman" w:hAnsi="Times New Roman"/>
          <w:sz w:val="24"/>
        </w:rPr>
        <w:footnoteReference w:id="353"/>
      </w:r>
      <w:r w:rsidR="008064D7">
        <w:rPr>
          <w:rFonts w:ascii="Times New Roman" w:hAnsi="Times New Roman"/>
          <w:sz w:val="24"/>
        </w:rPr>
        <w:t> ;</w:t>
      </w:r>
    </w:p>
    <w:p w:rsidR="008064D7" w:rsidRDefault="008064D7" w:rsidP="00E80B6C">
      <w:pPr>
        <w:pStyle w:val="Paragraphedeliste"/>
        <w:spacing w:line="240" w:lineRule="auto"/>
        <w:ind w:left="1418" w:hanging="284"/>
        <w:rPr>
          <w:rFonts w:ascii="Times New Roman" w:hAnsi="Times New Roman"/>
          <w:sz w:val="24"/>
        </w:rPr>
      </w:pPr>
    </w:p>
    <w:p w:rsidR="008064D7" w:rsidRDefault="008064D7" w:rsidP="00E80B6C">
      <w:pPr>
        <w:pStyle w:val="Paragraphedeliste"/>
        <w:spacing w:line="240" w:lineRule="auto"/>
        <w:ind w:left="786"/>
        <w:rPr>
          <w:rFonts w:ascii="Times New Roman" w:hAnsi="Times New Roman"/>
          <w:sz w:val="24"/>
        </w:rPr>
      </w:pPr>
      <w:r>
        <w:rPr>
          <w:rFonts w:ascii="Times New Roman" w:hAnsi="Times New Roman"/>
          <w:sz w:val="24"/>
        </w:rPr>
        <w:t xml:space="preserve">L’auteur propose </w:t>
      </w:r>
      <w:r w:rsidR="00E80B6C">
        <w:rPr>
          <w:rFonts w:ascii="Times New Roman" w:hAnsi="Times New Roman"/>
          <w:sz w:val="24"/>
        </w:rPr>
        <w:t xml:space="preserve">d’ailleurs </w:t>
      </w:r>
      <w:r>
        <w:rPr>
          <w:rFonts w:ascii="Times New Roman" w:hAnsi="Times New Roman"/>
          <w:sz w:val="24"/>
        </w:rPr>
        <w:t>que le juge « </w:t>
      </w:r>
      <w:r>
        <w:rPr>
          <w:rFonts w:ascii="Times New Roman" w:hAnsi="Times New Roman"/>
          <w:i/>
          <w:sz w:val="24"/>
        </w:rPr>
        <w:t>annonce »</w:t>
      </w:r>
      <w:r>
        <w:rPr>
          <w:rFonts w:ascii="Times New Roman" w:hAnsi="Times New Roman"/>
          <w:sz w:val="24"/>
        </w:rPr>
        <w:t xml:space="preserve"> les éléments qu’il pourrait retenir dans une forme de « </w:t>
      </w:r>
      <w:r>
        <w:rPr>
          <w:rFonts w:ascii="Times New Roman" w:hAnsi="Times New Roman"/>
          <w:i/>
          <w:sz w:val="24"/>
        </w:rPr>
        <w:t>final arbitration »</w:t>
      </w:r>
      <w:r>
        <w:rPr>
          <w:rFonts w:ascii="Times New Roman" w:hAnsi="Times New Roman"/>
          <w:sz w:val="24"/>
        </w:rPr>
        <w:t>, ce qui simplifie le débat et souvent, aboutit à un accord des parties ou à une limitation de l’ampleur du conflit.</w:t>
      </w:r>
    </w:p>
    <w:p w:rsidR="008064D7" w:rsidRPr="00A51A45" w:rsidRDefault="008064D7" w:rsidP="00A51A45">
      <w:pPr>
        <w:pStyle w:val="Paragraphedeliste"/>
        <w:rPr>
          <w:rFonts w:ascii="Times New Roman" w:hAnsi="Times New Roman"/>
          <w:sz w:val="24"/>
        </w:rPr>
      </w:pPr>
    </w:p>
    <w:p w:rsidR="008064D7" w:rsidRPr="00A51A45" w:rsidRDefault="00E80B6C" w:rsidP="00E80B6C">
      <w:pPr>
        <w:pStyle w:val="Titre2"/>
        <w:numPr>
          <w:ilvl w:val="2"/>
          <w:numId w:val="12"/>
        </w:numPr>
        <w:ind w:left="1276" w:hanging="425"/>
        <w:rPr>
          <w:rFonts w:ascii="Times New Roman" w:hAnsi="Times New Roman" w:cs="Times New Roman"/>
        </w:rPr>
      </w:pPr>
      <w:bookmarkStart w:id="56" w:name="_Toc55407501"/>
      <w:r>
        <w:rPr>
          <w:rFonts w:ascii="Times New Roman" w:hAnsi="Times New Roman" w:cs="Times New Roman"/>
        </w:rPr>
        <w:t>Le juge</w:t>
      </w:r>
      <w:r w:rsidR="008064D7" w:rsidRPr="00A51A45">
        <w:rPr>
          <w:rFonts w:ascii="Times New Roman" w:hAnsi="Times New Roman" w:cs="Times New Roman"/>
        </w:rPr>
        <w:t xml:space="preserve"> et</w:t>
      </w:r>
      <w:r>
        <w:rPr>
          <w:rFonts w:ascii="Times New Roman" w:hAnsi="Times New Roman" w:cs="Times New Roman"/>
        </w:rPr>
        <w:t xml:space="preserve"> la</w:t>
      </w:r>
      <w:r w:rsidR="008064D7" w:rsidRPr="00A51A45">
        <w:rPr>
          <w:rFonts w:ascii="Times New Roman" w:hAnsi="Times New Roman" w:cs="Times New Roman"/>
        </w:rPr>
        <w:t xml:space="preserve"> priorité absolue ou relative</w:t>
      </w:r>
      <w:bookmarkEnd w:id="56"/>
      <w:r w:rsidR="008064D7" w:rsidRPr="00A51A45">
        <w:rPr>
          <w:rFonts w:ascii="Times New Roman" w:hAnsi="Times New Roman" w:cs="Times New Roman"/>
        </w:rPr>
        <w:t xml:space="preserve"> </w:t>
      </w:r>
    </w:p>
    <w:p w:rsidR="008064D7" w:rsidRPr="00936647" w:rsidRDefault="008064D7" w:rsidP="00936647">
      <w:pPr>
        <w:pStyle w:val="Paragraphedeliste"/>
        <w:spacing w:line="240" w:lineRule="auto"/>
        <w:ind w:left="786"/>
        <w:rPr>
          <w:rFonts w:ascii="Times New Roman" w:hAnsi="Times New Roman"/>
          <w:sz w:val="24"/>
        </w:rPr>
      </w:pPr>
    </w:p>
    <w:p w:rsidR="008064D7" w:rsidRPr="00B35718" w:rsidRDefault="00E80B6C" w:rsidP="00CB620C">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Débat priorité absolue – priorité relative selon la doctrine US</w:t>
      </w:r>
      <w:r w:rsidR="008064D7" w:rsidRPr="00B35718">
        <w:rPr>
          <w:rFonts w:ascii="Times New Roman" w:hAnsi="Times New Roman"/>
          <w:sz w:val="24"/>
          <w:u w:val="single"/>
        </w:rPr>
        <w:t>.</w:t>
      </w:r>
      <w:r w:rsidR="008064D7" w:rsidRPr="00B35718">
        <w:rPr>
          <w:rFonts w:ascii="Times New Roman" w:hAnsi="Times New Roman"/>
          <w:sz w:val="24"/>
        </w:rPr>
        <w:t xml:space="preserve"> Un auteur américain</w:t>
      </w:r>
      <w:r w:rsidR="008064D7">
        <w:rPr>
          <w:rStyle w:val="Appelnotedebasdep"/>
          <w:rFonts w:ascii="Times New Roman" w:hAnsi="Times New Roman"/>
          <w:sz w:val="24"/>
        </w:rPr>
        <w:footnoteReference w:id="354"/>
      </w:r>
      <w:r w:rsidR="008064D7" w:rsidRPr="00B35718">
        <w:rPr>
          <w:rFonts w:ascii="Times New Roman" w:hAnsi="Times New Roman"/>
          <w:sz w:val="24"/>
        </w:rPr>
        <w:t xml:space="preserve"> critique sévèrement </w:t>
      </w:r>
      <w:r w:rsidR="008064D7">
        <w:rPr>
          <w:rFonts w:ascii="Times New Roman" w:hAnsi="Times New Roman"/>
          <w:sz w:val="24"/>
        </w:rPr>
        <w:t>la directive qui</w:t>
      </w:r>
      <w:r w:rsidR="008064D7" w:rsidRPr="00B35718">
        <w:rPr>
          <w:rFonts w:ascii="Times New Roman" w:hAnsi="Times New Roman"/>
          <w:sz w:val="24"/>
        </w:rPr>
        <w:t xml:space="preserve"> laisse </w:t>
      </w:r>
      <w:r w:rsidR="008064D7">
        <w:rPr>
          <w:rFonts w:ascii="Times New Roman" w:hAnsi="Times New Roman"/>
          <w:sz w:val="24"/>
        </w:rPr>
        <w:t>aux Etats le choix entre priorité absolue et priorité relative. Il retient, pour justifier le recours à la priorité absolue, du point de vue du juge, les arguments suivants</w:t>
      </w:r>
      <w:r w:rsidR="008064D7" w:rsidRPr="00B35718">
        <w:rPr>
          <w:rFonts w:ascii="Times New Roman" w:hAnsi="Times New Roman"/>
          <w:sz w:val="24"/>
        </w:rPr>
        <w:t> :</w:t>
      </w:r>
    </w:p>
    <w:p w:rsidR="008064D7" w:rsidRDefault="008064D7" w:rsidP="00CC4B86">
      <w:pPr>
        <w:pStyle w:val="Paragraphedeliste"/>
        <w:spacing w:line="240" w:lineRule="auto"/>
        <w:ind w:left="786"/>
        <w:rPr>
          <w:rFonts w:ascii="Times New Roman" w:hAnsi="Times New Roman"/>
          <w:sz w:val="24"/>
        </w:rPr>
      </w:pPr>
    </w:p>
    <w:p w:rsidR="008064D7" w:rsidRDefault="008064D7" w:rsidP="007565AA">
      <w:pPr>
        <w:pStyle w:val="Paragraphedeliste"/>
        <w:numPr>
          <w:ilvl w:val="1"/>
          <w:numId w:val="1"/>
        </w:numPr>
        <w:spacing w:line="240" w:lineRule="auto"/>
        <w:rPr>
          <w:rFonts w:ascii="Times New Roman" w:hAnsi="Times New Roman"/>
          <w:sz w:val="24"/>
        </w:rPr>
      </w:pPr>
      <w:r>
        <w:rPr>
          <w:rFonts w:ascii="Times New Roman" w:hAnsi="Times New Roman"/>
          <w:sz w:val="24"/>
        </w:rPr>
        <w:t xml:space="preserve">La règle de priorité absolue pousse et incite à la négociation entre créancier de différentes classes et entre créanciers et actionnaires : des accords protègent la </w:t>
      </w:r>
      <w:r>
        <w:rPr>
          <w:rFonts w:ascii="Times New Roman" w:hAnsi="Times New Roman"/>
          <w:sz w:val="24"/>
        </w:rPr>
        <w:lastRenderedPageBreak/>
        <w:t>valeur. Cette négociation facilite grandement le travail du juge. Cette négociation documente le juge et fixe une fourchette ;</w:t>
      </w:r>
    </w:p>
    <w:p w:rsidR="008064D7" w:rsidRDefault="008064D7" w:rsidP="00B35718">
      <w:pPr>
        <w:pStyle w:val="Paragraphedeliste"/>
        <w:spacing w:line="240" w:lineRule="auto"/>
        <w:ind w:left="1506"/>
        <w:rPr>
          <w:rFonts w:ascii="Times New Roman" w:hAnsi="Times New Roman"/>
          <w:sz w:val="24"/>
        </w:rPr>
      </w:pPr>
    </w:p>
    <w:p w:rsidR="008064D7" w:rsidRDefault="008064D7" w:rsidP="007565AA">
      <w:pPr>
        <w:pStyle w:val="Paragraphedeliste"/>
        <w:numPr>
          <w:ilvl w:val="1"/>
          <w:numId w:val="1"/>
        </w:numPr>
        <w:spacing w:line="240" w:lineRule="auto"/>
        <w:rPr>
          <w:rFonts w:ascii="Times New Roman" w:hAnsi="Times New Roman"/>
          <w:sz w:val="24"/>
        </w:rPr>
      </w:pPr>
      <w:r>
        <w:rPr>
          <w:rFonts w:ascii="Times New Roman" w:hAnsi="Times New Roman"/>
          <w:sz w:val="24"/>
        </w:rPr>
        <w:t>Le test financier</w:t>
      </w:r>
      <w:r>
        <w:rPr>
          <w:rStyle w:val="Appelnotedebasdep"/>
          <w:rFonts w:ascii="Times New Roman" w:hAnsi="Times New Roman"/>
          <w:sz w:val="24"/>
        </w:rPr>
        <w:footnoteReference w:id="355"/>
      </w:r>
      <w:r>
        <w:rPr>
          <w:rFonts w:ascii="Times New Roman" w:hAnsi="Times New Roman"/>
          <w:sz w:val="24"/>
        </w:rPr>
        <w:t xml:space="preserve"> est critiqué, en particulier, en présence de garantie sur des collatéraux. Le juge, dans la priorité relative, disposera d’une plus grande marge de manœuvre là aussi basée sur la négociation de valeur du collatéral ;</w:t>
      </w:r>
    </w:p>
    <w:p w:rsidR="008064D7" w:rsidRDefault="008064D7" w:rsidP="00FA0230">
      <w:pPr>
        <w:pStyle w:val="Paragraphedeliste"/>
        <w:spacing w:line="240" w:lineRule="auto"/>
        <w:ind w:left="2226"/>
        <w:rPr>
          <w:rFonts w:ascii="Times New Roman" w:hAnsi="Times New Roman"/>
          <w:sz w:val="24"/>
        </w:rPr>
      </w:pPr>
    </w:p>
    <w:p w:rsidR="008064D7" w:rsidRDefault="008064D7" w:rsidP="007565AA">
      <w:pPr>
        <w:pStyle w:val="Paragraphedeliste"/>
        <w:numPr>
          <w:ilvl w:val="1"/>
          <w:numId w:val="1"/>
        </w:numPr>
        <w:spacing w:line="240" w:lineRule="auto"/>
        <w:rPr>
          <w:rFonts w:ascii="Times New Roman" w:hAnsi="Times New Roman"/>
          <w:sz w:val="24"/>
        </w:rPr>
      </w:pPr>
      <w:r>
        <w:rPr>
          <w:rFonts w:ascii="Times New Roman" w:hAnsi="Times New Roman"/>
          <w:sz w:val="24"/>
        </w:rPr>
        <w:t>Si la règle de la priorité relative semble exclure</w:t>
      </w:r>
      <w:r>
        <w:rPr>
          <w:rStyle w:val="Appelnotedebasdep"/>
          <w:rFonts w:ascii="Times New Roman" w:hAnsi="Times New Roman"/>
          <w:sz w:val="24"/>
        </w:rPr>
        <w:footnoteReference w:id="356"/>
      </w:r>
      <w:r>
        <w:rPr>
          <w:rFonts w:ascii="Times New Roman" w:hAnsi="Times New Roman"/>
          <w:sz w:val="24"/>
        </w:rPr>
        <w:t xml:space="preserve"> de devoir valoriser </w:t>
      </w:r>
      <w:r w:rsidRPr="007C17D3">
        <w:rPr>
          <w:rFonts w:ascii="Times New Roman" w:hAnsi="Times New Roman"/>
          <w:i/>
          <w:sz w:val="24"/>
        </w:rPr>
        <w:t>going-concern</w:t>
      </w:r>
      <w:r>
        <w:rPr>
          <w:rFonts w:ascii="Times New Roman" w:hAnsi="Times New Roman"/>
          <w:sz w:val="24"/>
        </w:rPr>
        <w:t xml:space="preserve"> l’entreprise, le pouvoir du juge deviendrait arbitraire (favoriser le plan et ne pas créer une atteinte excessive), donc imprévisible, favorisant les jeux stratégiques, ne facilitant pas les accords et créant de l’incertitude source de perte de valeur pour les créanciers – souvent source d’enrichissement pour les actionnaires. La seule réponse à ces critiques consiste à conclure que même la règle de priorité relative implique d’avoir égard dans l’approche de proportionnalité à la valeur </w:t>
      </w:r>
      <w:r w:rsidRPr="007C17D3">
        <w:rPr>
          <w:rFonts w:ascii="Times New Roman" w:hAnsi="Times New Roman"/>
          <w:i/>
          <w:sz w:val="24"/>
        </w:rPr>
        <w:t>going-concern</w:t>
      </w:r>
      <w:r w:rsidR="007610C9">
        <w:rPr>
          <w:rFonts w:ascii="Times New Roman" w:hAnsi="Times New Roman"/>
          <w:sz w:val="24"/>
        </w:rPr>
        <w:t xml:space="preserve"> </w:t>
      </w:r>
      <w:r>
        <w:rPr>
          <w:rFonts w:ascii="Times New Roman" w:hAnsi="Times New Roman"/>
          <w:sz w:val="24"/>
        </w:rPr>
        <w:t>;</w:t>
      </w:r>
    </w:p>
    <w:p w:rsidR="008064D7" w:rsidRDefault="008064D7" w:rsidP="00FA0230">
      <w:pPr>
        <w:pStyle w:val="Paragraphedeliste"/>
        <w:spacing w:line="240" w:lineRule="auto"/>
        <w:ind w:left="2226"/>
        <w:rPr>
          <w:rFonts w:ascii="Times New Roman" w:hAnsi="Times New Roman"/>
          <w:sz w:val="24"/>
        </w:rPr>
      </w:pPr>
    </w:p>
    <w:p w:rsidR="008064D7" w:rsidRDefault="008064D7" w:rsidP="007565AA">
      <w:pPr>
        <w:pStyle w:val="Paragraphedeliste"/>
        <w:numPr>
          <w:ilvl w:val="1"/>
          <w:numId w:val="1"/>
        </w:numPr>
        <w:spacing w:line="240" w:lineRule="auto"/>
        <w:rPr>
          <w:rFonts w:ascii="Times New Roman" w:hAnsi="Times New Roman"/>
          <w:sz w:val="24"/>
        </w:rPr>
      </w:pPr>
      <w:r>
        <w:rPr>
          <w:rFonts w:ascii="Times New Roman" w:hAnsi="Times New Roman"/>
          <w:sz w:val="24"/>
        </w:rPr>
        <w:t>Si la règle de priorité relative exige quand même une valorisation</w:t>
      </w:r>
      <w:r>
        <w:rPr>
          <w:rStyle w:val="Appelnotedebasdep"/>
          <w:rFonts w:ascii="Times New Roman" w:hAnsi="Times New Roman"/>
          <w:sz w:val="24"/>
        </w:rPr>
        <w:footnoteReference w:id="357"/>
      </w:r>
      <w:r>
        <w:rPr>
          <w:rFonts w:ascii="Times New Roman" w:hAnsi="Times New Roman"/>
          <w:sz w:val="24"/>
        </w:rPr>
        <w:t xml:space="preserve">, le juge dispose d’un comparable pour </w:t>
      </w:r>
      <w:r w:rsidR="007610C9">
        <w:rPr>
          <w:rFonts w:ascii="Times New Roman" w:hAnsi="Times New Roman"/>
          <w:sz w:val="24"/>
        </w:rPr>
        <w:t>faire</w:t>
      </w:r>
      <w:r>
        <w:rPr>
          <w:rFonts w:ascii="Times New Roman" w:hAnsi="Times New Roman"/>
          <w:sz w:val="24"/>
        </w:rPr>
        <w:t xml:space="preserve"> son test de proportionnalité ;</w:t>
      </w:r>
    </w:p>
    <w:p w:rsidR="008064D7" w:rsidRDefault="008064D7" w:rsidP="00FA0230">
      <w:pPr>
        <w:pStyle w:val="Paragraphedeliste"/>
        <w:spacing w:line="240" w:lineRule="auto"/>
        <w:ind w:left="2226"/>
        <w:rPr>
          <w:rFonts w:ascii="Times New Roman" w:hAnsi="Times New Roman"/>
          <w:sz w:val="24"/>
        </w:rPr>
      </w:pPr>
    </w:p>
    <w:p w:rsidR="008064D7" w:rsidRDefault="008064D7" w:rsidP="007565AA">
      <w:pPr>
        <w:pStyle w:val="Paragraphedeliste"/>
        <w:numPr>
          <w:ilvl w:val="1"/>
          <w:numId w:val="1"/>
        </w:numPr>
        <w:spacing w:line="240" w:lineRule="auto"/>
        <w:rPr>
          <w:rFonts w:ascii="Times New Roman" w:hAnsi="Times New Roman"/>
          <w:sz w:val="24"/>
        </w:rPr>
      </w:pPr>
      <w:r>
        <w:rPr>
          <w:rFonts w:ascii="Times New Roman" w:hAnsi="Times New Roman"/>
          <w:sz w:val="24"/>
        </w:rPr>
        <w:t xml:space="preserve">Le fait </w:t>
      </w:r>
      <w:r w:rsidR="007610C9">
        <w:rPr>
          <w:rFonts w:ascii="Times New Roman" w:hAnsi="Times New Roman"/>
          <w:sz w:val="24"/>
        </w:rPr>
        <w:t>d’accorder</w:t>
      </w:r>
      <w:r>
        <w:rPr>
          <w:rFonts w:ascii="Times New Roman" w:hAnsi="Times New Roman"/>
          <w:sz w:val="24"/>
        </w:rPr>
        <w:t xml:space="preserve"> au seul débiteur le droit de formuler un plan et de demander ou non la validation du plan (à la différence du </w:t>
      </w:r>
      <w:r w:rsidRPr="007C17D3">
        <w:rPr>
          <w:rFonts w:ascii="Times New Roman" w:hAnsi="Times New Roman"/>
          <w:i/>
          <w:sz w:val="24"/>
        </w:rPr>
        <w:t>Chapter 11</w:t>
      </w:r>
      <w:r>
        <w:rPr>
          <w:rFonts w:ascii="Times New Roman" w:hAnsi="Times New Roman"/>
          <w:sz w:val="24"/>
        </w:rPr>
        <w:t xml:space="preserve"> où les créanciers peuvent le proposer après 6 mois) prive les créanciers de la possibilité de créer un marché où la valeur se fixerait, ce qui pousserait à retenir la règle de priorité absolue ;</w:t>
      </w:r>
    </w:p>
    <w:p w:rsidR="008064D7" w:rsidRDefault="008064D7" w:rsidP="00FA0230">
      <w:pPr>
        <w:pStyle w:val="Paragraphedeliste"/>
        <w:spacing w:line="240" w:lineRule="auto"/>
        <w:ind w:left="2226"/>
        <w:rPr>
          <w:rFonts w:ascii="Times New Roman" w:hAnsi="Times New Roman"/>
          <w:sz w:val="24"/>
        </w:rPr>
      </w:pPr>
    </w:p>
    <w:p w:rsidR="008064D7" w:rsidRDefault="008064D7" w:rsidP="007565AA">
      <w:pPr>
        <w:pStyle w:val="Paragraphedeliste"/>
        <w:numPr>
          <w:ilvl w:val="1"/>
          <w:numId w:val="1"/>
        </w:numPr>
        <w:spacing w:line="240" w:lineRule="auto"/>
        <w:rPr>
          <w:rFonts w:ascii="Times New Roman" w:hAnsi="Times New Roman"/>
          <w:sz w:val="24"/>
        </w:rPr>
      </w:pPr>
      <w:r>
        <w:rPr>
          <w:rFonts w:ascii="Times New Roman" w:hAnsi="Times New Roman"/>
          <w:sz w:val="24"/>
        </w:rPr>
        <w:t xml:space="preserve">Le modèle de la </w:t>
      </w:r>
      <w:r w:rsidR="007610C9">
        <w:rPr>
          <w:rFonts w:ascii="Times New Roman" w:hAnsi="Times New Roman"/>
          <w:sz w:val="24"/>
        </w:rPr>
        <w:t>New-value</w:t>
      </w:r>
      <w:r>
        <w:rPr>
          <w:rFonts w:ascii="Times New Roman" w:hAnsi="Times New Roman"/>
          <w:sz w:val="24"/>
        </w:rPr>
        <w:t xml:space="preserve"> relative favorise les conversions en actions et les actionnaires anciens qui, en proposant une conversion sur des bases favorables, obtiennent un avantage plus grand que les créanciers ordinaires</w:t>
      </w:r>
      <w:r>
        <w:rPr>
          <w:rStyle w:val="Appelnotedebasdep"/>
          <w:rFonts w:ascii="Times New Roman" w:hAnsi="Times New Roman"/>
          <w:sz w:val="24"/>
        </w:rPr>
        <w:footnoteReference w:id="358"/>
      </w:r>
      <w:r>
        <w:rPr>
          <w:rFonts w:ascii="Times New Roman" w:hAnsi="Times New Roman"/>
          <w:sz w:val="24"/>
        </w:rPr>
        <w:t xml:space="preserve">. Ceci est d’autant plus vrai </w:t>
      </w:r>
      <w:r w:rsidR="007610C9">
        <w:rPr>
          <w:rFonts w:ascii="Times New Roman" w:hAnsi="Times New Roman"/>
          <w:sz w:val="24"/>
        </w:rPr>
        <w:t>pour</w:t>
      </w:r>
      <w:r>
        <w:rPr>
          <w:rFonts w:ascii="Times New Roman" w:hAnsi="Times New Roman"/>
          <w:sz w:val="24"/>
        </w:rPr>
        <w:t xml:space="preserve"> les entreprises non-insolvable</w:t>
      </w:r>
      <w:r w:rsidR="007610C9">
        <w:rPr>
          <w:rFonts w:ascii="Times New Roman" w:hAnsi="Times New Roman"/>
          <w:sz w:val="24"/>
        </w:rPr>
        <w:t>s</w:t>
      </w:r>
      <w:r>
        <w:rPr>
          <w:rFonts w:ascii="Times New Roman" w:hAnsi="Times New Roman"/>
          <w:sz w:val="24"/>
        </w:rPr>
        <w:t xml:space="preserve"> à qui la directive est applicable et ouvre la porte à des restructurations stratégiques</w:t>
      </w:r>
      <w:r>
        <w:rPr>
          <w:rStyle w:val="Appelnotedebasdep"/>
          <w:rFonts w:ascii="Times New Roman" w:hAnsi="Times New Roman"/>
          <w:sz w:val="24"/>
        </w:rPr>
        <w:footnoteReference w:id="359"/>
      </w:r>
      <w:r>
        <w:rPr>
          <w:rFonts w:ascii="Times New Roman" w:hAnsi="Times New Roman"/>
          <w:sz w:val="24"/>
        </w:rPr>
        <w:t> ;</w:t>
      </w:r>
    </w:p>
    <w:p w:rsidR="008064D7" w:rsidRDefault="008064D7" w:rsidP="00FA0230">
      <w:pPr>
        <w:pStyle w:val="Paragraphedeliste"/>
        <w:spacing w:line="240" w:lineRule="auto"/>
        <w:ind w:left="2226"/>
        <w:rPr>
          <w:rFonts w:ascii="Times New Roman" w:hAnsi="Times New Roman"/>
          <w:sz w:val="24"/>
        </w:rPr>
      </w:pPr>
    </w:p>
    <w:p w:rsidR="008064D7" w:rsidRPr="00CC4B86" w:rsidRDefault="008064D7" w:rsidP="007565AA">
      <w:pPr>
        <w:pStyle w:val="Paragraphedeliste"/>
        <w:numPr>
          <w:ilvl w:val="1"/>
          <w:numId w:val="1"/>
        </w:numPr>
        <w:spacing w:line="240" w:lineRule="auto"/>
        <w:rPr>
          <w:rFonts w:ascii="Times New Roman" w:hAnsi="Times New Roman"/>
          <w:sz w:val="24"/>
        </w:rPr>
      </w:pPr>
      <w:r>
        <w:rPr>
          <w:rFonts w:ascii="Times New Roman" w:hAnsi="Times New Roman"/>
          <w:sz w:val="24"/>
        </w:rPr>
        <w:t>…</w:t>
      </w:r>
    </w:p>
    <w:p w:rsidR="008064D7" w:rsidRDefault="008064D7" w:rsidP="00682C2A">
      <w:pPr>
        <w:pStyle w:val="Paragraphedeliste"/>
        <w:spacing w:line="240" w:lineRule="auto"/>
        <w:ind w:left="786"/>
        <w:rPr>
          <w:rFonts w:ascii="Times New Roman" w:hAnsi="Times New Roman"/>
          <w:sz w:val="24"/>
        </w:rPr>
      </w:pPr>
    </w:p>
    <w:p w:rsidR="008064D7" w:rsidRDefault="007610C9" w:rsidP="007610C9">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Priorité absolue – priorité relative : la difficulté du classement des classes</w:t>
      </w:r>
      <w:r>
        <w:rPr>
          <w:rFonts w:ascii="Times New Roman" w:hAnsi="Times New Roman"/>
          <w:sz w:val="24"/>
        </w:rPr>
        <w:t>. Des auteurs européens ont répondu que,</w:t>
      </w:r>
      <w:r w:rsidR="008064D7">
        <w:rPr>
          <w:rFonts w:ascii="Times New Roman" w:hAnsi="Times New Roman"/>
          <w:sz w:val="24"/>
        </w:rPr>
        <w:t xml:space="preserve"> compte-tenu de l’existence en Euro</w:t>
      </w:r>
      <w:r>
        <w:rPr>
          <w:rFonts w:ascii="Times New Roman" w:hAnsi="Times New Roman"/>
          <w:sz w:val="24"/>
        </w:rPr>
        <w:t>pe</w:t>
      </w:r>
      <w:r w:rsidR="008064D7">
        <w:rPr>
          <w:rFonts w:ascii="Times New Roman" w:hAnsi="Times New Roman"/>
          <w:sz w:val="24"/>
        </w:rPr>
        <w:t xml:space="preserve"> de nombreux privilèges et de la possibilité de restructurer l’entreprise solvable sous le couvert des procédures de la directive, la règle de priorité absolue n’était pas praticable</w:t>
      </w:r>
      <w:r w:rsidR="008064D7">
        <w:rPr>
          <w:rStyle w:val="Appelnotedebasdep"/>
          <w:rFonts w:ascii="Times New Roman" w:hAnsi="Times New Roman"/>
          <w:sz w:val="24"/>
        </w:rPr>
        <w:footnoteReference w:id="360"/>
      </w:r>
      <w:r w:rsidR="008064D7">
        <w:rPr>
          <w:rFonts w:ascii="Times New Roman" w:hAnsi="Times New Roman"/>
          <w:sz w:val="24"/>
        </w:rPr>
        <w:t xml:space="preserve"> ou délicate à appliq</w:t>
      </w:r>
      <w:r>
        <w:rPr>
          <w:rFonts w:ascii="Times New Roman" w:hAnsi="Times New Roman"/>
          <w:sz w:val="24"/>
        </w:rPr>
        <w:t>uer pour le juge.</w:t>
      </w:r>
    </w:p>
    <w:p w:rsidR="007610C9" w:rsidRDefault="007610C9" w:rsidP="007610C9">
      <w:pPr>
        <w:pStyle w:val="Paragraphedeliste"/>
        <w:spacing w:line="240" w:lineRule="auto"/>
        <w:ind w:left="786"/>
        <w:rPr>
          <w:rFonts w:ascii="Times New Roman" w:hAnsi="Times New Roman"/>
          <w:sz w:val="24"/>
          <w:u w:val="single"/>
        </w:rPr>
      </w:pPr>
    </w:p>
    <w:p w:rsidR="007610C9" w:rsidRDefault="007610C9" w:rsidP="007610C9">
      <w:pPr>
        <w:pStyle w:val="Paragraphedeliste"/>
        <w:spacing w:line="240" w:lineRule="auto"/>
        <w:ind w:left="786"/>
        <w:rPr>
          <w:rFonts w:ascii="Times New Roman" w:hAnsi="Times New Roman"/>
          <w:sz w:val="24"/>
        </w:rPr>
      </w:pPr>
      <w:r>
        <w:rPr>
          <w:rFonts w:ascii="Times New Roman" w:hAnsi="Times New Roman"/>
          <w:sz w:val="24"/>
        </w:rPr>
        <w:t>En effet, le juge devrait hiérarchiser des classes contenant des créances avec des rangs différents sur des assiettes différentes avec des modalités différentes. ce travail de « </w:t>
      </w:r>
      <w:r>
        <w:rPr>
          <w:rFonts w:ascii="Times New Roman" w:hAnsi="Times New Roman"/>
          <w:i/>
          <w:sz w:val="24"/>
        </w:rPr>
        <w:t>hiérarchisation »</w:t>
      </w:r>
      <w:r>
        <w:rPr>
          <w:rFonts w:ascii="Times New Roman" w:hAnsi="Times New Roman"/>
          <w:sz w:val="24"/>
        </w:rPr>
        <w:t xml:space="preserve"> nécessaire à la règle de priorité absolue serait un exercice difficile.</w:t>
      </w:r>
    </w:p>
    <w:p w:rsidR="007610C9" w:rsidRDefault="007610C9" w:rsidP="007610C9">
      <w:pPr>
        <w:pStyle w:val="Paragraphedeliste"/>
        <w:spacing w:line="240" w:lineRule="auto"/>
        <w:ind w:left="786"/>
        <w:rPr>
          <w:rFonts w:ascii="Times New Roman" w:hAnsi="Times New Roman"/>
          <w:sz w:val="24"/>
        </w:rPr>
      </w:pPr>
    </w:p>
    <w:p w:rsidR="007610C9" w:rsidRDefault="007610C9" w:rsidP="007610C9">
      <w:pPr>
        <w:pStyle w:val="Paragraphedeliste"/>
        <w:spacing w:line="240" w:lineRule="auto"/>
        <w:ind w:left="786"/>
        <w:rPr>
          <w:rFonts w:ascii="Times New Roman" w:hAnsi="Times New Roman"/>
          <w:sz w:val="24"/>
        </w:rPr>
      </w:pPr>
      <w:r>
        <w:rPr>
          <w:rFonts w:ascii="Times New Roman" w:hAnsi="Times New Roman"/>
          <w:sz w:val="24"/>
        </w:rPr>
        <w:t>De ce point de vue, le système américain est plus simple. Les classes contiennent des créances uniquement classées par rang selon une hiérarchie prédéfinie que nous reproduisons.</w:t>
      </w:r>
      <w:r w:rsidR="00C91001">
        <w:rPr>
          <w:rStyle w:val="Appelnotedebasdep"/>
          <w:rFonts w:ascii="Times New Roman" w:hAnsi="Times New Roman"/>
          <w:sz w:val="24"/>
        </w:rPr>
        <w:footnoteReference w:id="361"/>
      </w:r>
    </w:p>
    <w:p w:rsidR="007610C9" w:rsidRDefault="007610C9" w:rsidP="007610C9">
      <w:pPr>
        <w:pStyle w:val="Paragraphedeliste"/>
        <w:spacing w:line="240" w:lineRule="auto"/>
        <w:ind w:left="786"/>
        <w:rPr>
          <w:rFonts w:ascii="Times New Roman" w:hAnsi="Times New Roman"/>
          <w:sz w:val="24"/>
        </w:rPr>
      </w:pPr>
    </w:p>
    <w:p w:rsidR="007610C9" w:rsidRDefault="00C91001" w:rsidP="007610C9">
      <w:pPr>
        <w:pStyle w:val="Paragraphedeliste"/>
        <w:spacing w:line="240" w:lineRule="auto"/>
        <w:ind w:left="786"/>
        <w:rPr>
          <w:rFonts w:ascii="Times New Roman" w:hAnsi="Times New Roman"/>
          <w:sz w:val="24"/>
        </w:rPr>
      </w:pPr>
      <w:r w:rsidRPr="007610C9">
        <w:rPr>
          <w:rFonts w:ascii="Times New Roman" w:hAnsi="Times New Roman"/>
          <w:noProof/>
          <w:sz w:val="24"/>
          <w:lang w:eastAsia="fr-BE"/>
        </w:rPr>
        <mc:AlternateContent>
          <mc:Choice Requires="wps">
            <w:drawing>
              <wp:anchor distT="45720" distB="45720" distL="114300" distR="114300" simplePos="0" relativeHeight="251672576" behindDoc="1" locked="0" layoutInCell="1" allowOverlap="1" wp14:anchorId="5B4EAACE" wp14:editId="73FB79A0">
                <wp:simplePos x="0" y="0"/>
                <wp:positionH relativeFrom="column">
                  <wp:posOffset>1471295</wp:posOffset>
                </wp:positionH>
                <wp:positionV relativeFrom="paragraph">
                  <wp:posOffset>5715</wp:posOffset>
                </wp:positionV>
                <wp:extent cx="3314700" cy="46863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686300"/>
                        </a:xfrm>
                        <a:prstGeom prst="rect">
                          <a:avLst/>
                        </a:prstGeom>
                        <a:gradFill flip="none" rotWithShape="1">
                          <a:gsLst>
                            <a:gs pos="0">
                              <a:schemeClr val="accent2">
                                <a:lumMod val="20000"/>
                                <a:lumOff val="80000"/>
                                <a:shade val="30000"/>
                                <a:satMod val="115000"/>
                              </a:schemeClr>
                            </a:gs>
                            <a:gs pos="50000">
                              <a:schemeClr val="accent2">
                                <a:lumMod val="20000"/>
                                <a:lumOff val="80000"/>
                                <a:shade val="67500"/>
                                <a:satMod val="115000"/>
                              </a:schemeClr>
                            </a:gs>
                            <a:gs pos="100000">
                              <a:schemeClr val="accent2">
                                <a:lumMod val="20000"/>
                                <a:lumOff val="80000"/>
                                <a:shade val="100000"/>
                                <a:satMod val="115000"/>
                              </a:schemeClr>
                            </a:gs>
                          </a:gsLst>
                          <a:lin ang="0" scaled="1"/>
                          <a:tileRect/>
                        </a:gradFill>
                        <a:ln>
                          <a:solidFill>
                            <a:schemeClr val="accent2">
                              <a:lumMod val="75000"/>
                            </a:schemeClr>
                          </a:solidFill>
                          <a:headEnd/>
                          <a:tailEnd/>
                        </a:ln>
                      </wps:spPr>
                      <wps:style>
                        <a:lnRef idx="1">
                          <a:schemeClr val="accent3"/>
                        </a:lnRef>
                        <a:fillRef idx="2">
                          <a:schemeClr val="accent3"/>
                        </a:fillRef>
                        <a:effectRef idx="1">
                          <a:schemeClr val="accent3"/>
                        </a:effectRef>
                        <a:fontRef idx="minor">
                          <a:schemeClr val="dk1"/>
                        </a:fontRef>
                      </wps:style>
                      <wps:txbx>
                        <w:txbxContent>
                          <w:p w:rsidR="009D49E2" w:rsidRPr="00C91001" w:rsidRDefault="009D49E2" w:rsidP="00C91001">
                            <w:pPr>
                              <w:pStyle w:val="Paragraphedeliste"/>
                              <w:numPr>
                                <w:ilvl w:val="0"/>
                                <w:numId w:val="46"/>
                              </w:numPr>
                              <w:ind w:left="284" w:hanging="284"/>
                              <w:rPr>
                                <w:rFonts w:ascii="Times New Roman" w:hAnsi="Times New Roman"/>
                              </w:rPr>
                            </w:pPr>
                            <w:r w:rsidRPr="00C91001">
                              <w:rPr>
                                <w:rFonts w:ascii="Times New Roman" w:hAnsi="Times New Roman"/>
                              </w:rPr>
                              <w:t>Secured Claims</w:t>
                            </w:r>
                          </w:p>
                          <w:p w:rsidR="009D49E2" w:rsidRPr="00C91001" w:rsidRDefault="009D49E2" w:rsidP="00C91001">
                            <w:pPr>
                              <w:pStyle w:val="Paragraphedeliste"/>
                              <w:numPr>
                                <w:ilvl w:val="0"/>
                                <w:numId w:val="46"/>
                              </w:numPr>
                              <w:ind w:left="284" w:hanging="284"/>
                              <w:rPr>
                                <w:rFonts w:ascii="Times New Roman" w:hAnsi="Times New Roman"/>
                                <w:lang w:val="en-US"/>
                              </w:rPr>
                            </w:pPr>
                            <w:r w:rsidRPr="00C91001">
                              <w:rPr>
                                <w:rFonts w:ascii="Times New Roman" w:hAnsi="Times New Roman"/>
                                <w:lang w:val="en-US"/>
                              </w:rPr>
                              <w:t>Superpriority claims (e.g., debtor-in-possession financing)</w:t>
                            </w:r>
                          </w:p>
                          <w:p w:rsidR="009D49E2" w:rsidRDefault="009D49E2" w:rsidP="00C91001">
                            <w:pPr>
                              <w:pStyle w:val="Paragraphedeliste"/>
                              <w:numPr>
                                <w:ilvl w:val="0"/>
                                <w:numId w:val="46"/>
                              </w:numPr>
                              <w:ind w:left="284" w:hanging="284"/>
                              <w:rPr>
                                <w:rFonts w:ascii="Times New Roman" w:hAnsi="Times New Roman"/>
                                <w:lang w:val="en-US"/>
                              </w:rPr>
                            </w:pPr>
                            <w:r>
                              <w:rPr>
                                <w:rFonts w:ascii="Times New Roman" w:hAnsi="Times New Roman"/>
                                <w:lang w:val="en-US"/>
                              </w:rPr>
                              <w:t>Priority claims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3a.</w:t>
                            </w:r>
                            <w:r>
                              <w:rPr>
                                <w:rFonts w:ascii="Times New Roman" w:hAnsi="Times New Roman"/>
                                <w:lang w:val="en-US"/>
                              </w:rPr>
                              <w:t xml:space="preserve"> Administrative expense (including legal and professional fees incurred in the case)</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3b.</w:t>
                            </w:r>
                            <w:r>
                              <w:rPr>
                                <w:rFonts w:ascii="Times New Roman" w:hAnsi="Times New Roman"/>
                                <w:lang w:val="en-US"/>
                              </w:rPr>
                              <w:t xml:space="preserve"> Wages, salaries or commissions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3c.</w:t>
                            </w:r>
                            <w:r>
                              <w:rPr>
                                <w:rFonts w:ascii="Times New Roman" w:hAnsi="Times New Roman"/>
                                <w:lang w:val="en-US"/>
                              </w:rPr>
                              <w:t xml:space="preserve"> Employee benefit claims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3d.</w:t>
                            </w:r>
                            <w:r>
                              <w:rPr>
                                <w:rFonts w:ascii="Times New Roman" w:hAnsi="Times New Roman"/>
                                <w:lang w:val="en-US"/>
                              </w:rPr>
                              <w:t xml:space="preserve"> Claims against facilities that store grain or fish produce</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3e.</w:t>
                            </w:r>
                            <w:r>
                              <w:rPr>
                                <w:rFonts w:ascii="Times New Roman" w:hAnsi="Times New Roman"/>
                                <w:lang w:val="en-US"/>
                              </w:rPr>
                              <w:t xml:space="preserve"> Consumer deposits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3f.</w:t>
                            </w:r>
                            <w:r>
                              <w:rPr>
                                <w:rFonts w:ascii="Times New Roman" w:hAnsi="Times New Roman"/>
                                <w:lang w:val="en-US"/>
                              </w:rPr>
                              <w:t xml:space="preserve"> Alimony and child support</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3g.</w:t>
                            </w:r>
                            <w:r>
                              <w:rPr>
                                <w:rFonts w:ascii="Times New Roman" w:hAnsi="Times New Roman"/>
                                <w:lang w:val="en-US"/>
                              </w:rPr>
                              <w:t xml:space="preserve"> Tax claims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3h</w:t>
                            </w:r>
                            <w:r>
                              <w:rPr>
                                <w:rFonts w:ascii="Times New Roman" w:hAnsi="Times New Roman"/>
                                <w:lang w:val="en-US"/>
                              </w:rPr>
                              <w:t>. Unsecured claims based on commitment to a federal depository institution’s regulatory agency</w:t>
                            </w:r>
                          </w:p>
                          <w:p w:rsidR="009D49E2" w:rsidRDefault="009D49E2" w:rsidP="00C91001">
                            <w:pPr>
                              <w:pStyle w:val="Paragraphedeliste"/>
                              <w:numPr>
                                <w:ilvl w:val="0"/>
                                <w:numId w:val="46"/>
                              </w:numPr>
                              <w:ind w:left="284" w:hanging="284"/>
                              <w:rPr>
                                <w:rFonts w:ascii="Times New Roman" w:hAnsi="Times New Roman"/>
                                <w:lang w:val="en-US"/>
                              </w:rPr>
                            </w:pPr>
                            <w:r>
                              <w:rPr>
                                <w:rFonts w:ascii="Times New Roman" w:hAnsi="Times New Roman"/>
                                <w:lang w:val="en-US"/>
                              </w:rPr>
                              <w:t>General unsecured claims</w:t>
                            </w:r>
                          </w:p>
                          <w:p w:rsidR="009D49E2" w:rsidRDefault="009D49E2" w:rsidP="00C91001">
                            <w:pPr>
                              <w:pStyle w:val="Paragraphedeliste"/>
                              <w:numPr>
                                <w:ilvl w:val="0"/>
                                <w:numId w:val="46"/>
                              </w:numPr>
                              <w:ind w:left="284" w:hanging="284"/>
                              <w:rPr>
                                <w:rFonts w:ascii="Times New Roman" w:hAnsi="Times New Roman"/>
                                <w:lang w:val="en-US"/>
                              </w:rPr>
                            </w:pPr>
                            <w:r>
                              <w:rPr>
                                <w:rFonts w:ascii="Times New Roman" w:hAnsi="Times New Roman"/>
                                <w:lang w:val="en-US"/>
                              </w:rPr>
                              <w:t>Preferred stock</w:t>
                            </w:r>
                          </w:p>
                          <w:p w:rsidR="009D49E2" w:rsidRDefault="009D49E2" w:rsidP="00C91001">
                            <w:pPr>
                              <w:pStyle w:val="Paragraphedeliste"/>
                              <w:numPr>
                                <w:ilvl w:val="0"/>
                                <w:numId w:val="46"/>
                              </w:numPr>
                              <w:ind w:left="284" w:hanging="284"/>
                              <w:rPr>
                                <w:rFonts w:ascii="Times New Roman" w:hAnsi="Times New Roman"/>
                                <w:lang w:val="en-US"/>
                              </w:rPr>
                            </w:pPr>
                            <w:r>
                              <w:rPr>
                                <w:rFonts w:ascii="Times New Roman" w:hAnsi="Times New Roman"/>
                                <w:lang w:val="en-US"/>
                              </w:rPr>
                              <w:t>Common stock</w:t>
                            </w:r>
                          </w:p>
                          <w:p w:rsidR="009D49E2" w:rsidRPr="00C91001" w:rsidRDefault="009D49E2" w:rsidP="00C91001">
                            <w:pPr>
                              <w:pStyle w:val="Paragraphedeliste"/>
                              <w:ind w:left="284"/>
                              <w:rPr>
                                <w:rFonts w:ascii="Times New Roman" w:hAnsi="Times New Roman"/>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EAACE" id="_x0000_t202" coordsize="21600,21600" o:spt="202" path="m,l,21600r21600,l21600,xe">
                <v:stroke joinstyle="miter"/>
                <v:path gradientshapeok="t" o:connecttype="rect"/>
              </v:shapetype>
              <v:shape id="Zone de texte 2" o:spid="_x0000_s1026" type="#_x0000_t202" style="position:absolute;left:0;text-align:left;margin-left:115.85pt;margin-top:.45pt;width:261pt;height:369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" fillcolor="#fbe4d5 [661]" strokecolor="#c45911 [2405]" strokeweight=".5pt">
                <v:fill color2="#fbe4d5 [661]" rotate="t" angle="90" colors="0 #94857a;.5 #d6c0b1;1 #fee4d3" focus="100%" type="gradient"/>
                <v:textbox>
                  <w:txbxContent>
                    <w:p w:rsidR="009D49E2" w:rsidRPr="00C91001" w:rsidRDefault="009D49E2" w:rsidP="00C91001">
                      <w:pPr>
                        <w:pStyle w:val="Paragraphedeliste"/>
                        <w:numPr>
                          <w:ilvl w:val="0"/>
                          <w:numId w:val="46"/>
                        </w:numPr>
                        <w:ind w:left="284" w:hanging="284"/>
                        <w:rPr>
                          <w:rFonts w:ascii="Times New Roman" w:hAnsi="Times New Roman"/>
                        </w:rPr>
                      </w:pPr>
                      <w:r w:rsidRPr="00C91001">
                        <w:rPr>
                          <w:rFonts w:ascii="Times New Roman" w:hAnsi="Times New Roman"/>
                        </w:rPr>
                        <w:t>Secured Claims</w:t>
                      </w:r>
                    </w:p>
                    <w:p w:rsidR="009D49E2" w:rsidRPr="00C91001" w:rsidRDefault="009D49E2" w:rsidP="00C91001">
                      <w:pPr>
                        <w:pStyle w:val="Paragraphedeliste"/>
                        <w:numPr>
                          <w:ilvl w:val="0"/>
                          <w:numId w:val="46"/>
                        </w:numPr>
                        <w:ind w:left="284" w:hanging="284"/>
                        <w:rPr>
                          <w:rFonts w:ascii="Times New Roman" w:hAnsi="Times New Roman"/>
                          <w:lang w:val="en-US"/>
                        </w:rPr>
                      </w:pPr>
                      <w:r w:rsidRPr="00C91001">
                        <w:rPr>
                          <w:rFonts w:ascii="Times New Roman" w:hAnsi="Times New Roman"/>
                          <w:lang w:val="en-US"/>
                        </w:rPr>
                        <w:t>Superpriority claims (e.g., debtor-in-possession financing)</w:t>
                      </w:r>
                    </w:p>
                    <w:p w:rsidR="009D49E2" w:rsidRDefault="009D49E2" w:rsidP="00C91001">
                      <w:pPr>
                        <w:pStyle w:val="Paragraphedeliste"/>
                        <w:numPr>
                          <w:ilvl w:val="0"/>
                          <w:numId w:val="46"/>
                        </w:numPr>
                        <w:ind w:left="284" w:hanging="284"/>
                        <w:rPr>
                          <w:rFonts w:ascii="Times New Roman" w:hAnsi="Times New Roman"/>
                          <w:lang w:val="en-US"/>
                        </w:rPr>
                      </w:pPr>
                      <w:r>
                        <w:rPr>
                          <w:rFonts w:ascii="Times New Roman" w:hAnsi="Times New Roman"/>
                          <w:lang w:val="en-US"/>
                        </w:rPr>
                        <w:t>Priority claims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3a.</w:t>
                      </w:r>
                      <w:r>
                        <w:rPr>
                          <w:rFonts w:ascii="Times New Roman" w:hAnsi="Times New Roman"/>
                          <w:lang w:val="en-US"/>
                        </w:rPr>
                        <w:t xml:space="preserve"> Administrative expense (including legal and professional fees incurred in the case)</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3b.</w:t>
                      </w:r>
                      <w:r>
                        <w:rPr>
                          <w:rFonts w:ascii="Times New Roman" w:hAnsi="Times New Roman"/>
                          <w:lang w:val="en-US"/>
                        </w:rPr>
                        <w:t xml:space="preserve"> Wages, salaries or commissions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3c.</w:t>
                      </w:r>
                      <w:r>
                        <w:rPr>
                          <w:rFonts w:ascii="Times New Roman" w:hAnsi="Times New Roman"/>
                          <w:lang w:val="en-US"/>
                        </w:rPr>
                        <w:t xml:space="preserve"> Employee benefit claims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3d.</w:t>
                      </w:r>
                      <w:r>
                        <w:rPr>
                          <w:rFonts w:ascii="Times New Roman" w:hAnsi="Times New Roman"/>
                          <w:lang w:val="en-US"/>
                        </w:rPr>
                        <w:t xml:space="preserve"> Claims against facilities that store grain or fish produce</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3e.</w:t>
                      </w:r>
                      <w:r>
                        <w:rPr>
                          <w:rFonts w:ascii="Times New Roman" w:hAnsi="Times New Roman"/>
                          <w:lang w:val="en-US"/>
                        </w:rPr>
                        <w:t xml:space="preserve"> Consumer deposits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3f.</w:t>
                      </w:r>
                      <w:r>
                        <w:rPr>
                          <w:rFonts w:ascii="Times New Roman" w:hAnsi="Times New Roman"/>
                          <w:lang w:val="en-US"/>
                        </w:rPr>
                        <w:t xml:space="preserve"> Alimony and child support</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3g.</w:t>
                      </w:r>
                      <w:r>
                        <w:rPr>
                          <w:rFonts w:ascii="Times New Roman" w:hAnsi="Times New Roman"/>
                          <w:lang w:val="en-US"/>
                        </w:rPr>
                        <w:t xml:space="preserve"> Tax claims</w:t>
                      </w:r>
                    </w:p>
                    <w:p w:rsidR="009D49E2" w:rsidRDefault="009D49E2" w:rsidP="00C91001">
                      <w:pPr>
                        <w:pStyle w:val="Paragraphedeliste"/>
                        <w:ind w:left="284"/>
                        <w:rPr>
                          <w:rFonts w:ascii="Times New Roman" w:hAnsi="Times New Roman"/>
                          <w:lang w:val="en-US"/>
                        </w:rPr>
                      </w:pPr>
                      <w:r w:rsidRPr="000D6310">
                        <w:rPr>
                          <w:rFonts w:ascii="Times New Roman" w:hAnsi="Times New Roman"/>
                          <w:b/>
                          <w:lang w:val="en-US"/>
                        </w:rPr>
                        <w:t>3h</w:t>
                      </w:r>
                      <w:r>
                        <w:rPr>
                          <w:rFonts w:ascii="Times New Roman" w:hAnsi="Times New Roman"/>
                          <w:lang w:val="en-US"/>
                        </w:rPr>
                        <w:t>. Unsecured claims based on commitment to a federal depository institution’s regulatory agency</w:t>
                      </w:r>
                    </w:p>
                    <w:p w:rsidR="009D49E2" w:rsidRDefault="009D49E2" w:rsidP="00C91001">
                      <w:pPr>
                        <w:pStyle w:val="Paragraphedeliste"/>
                        <w:numPr>
                          <w:ilvl w:val="0"/>
                          <w:numId w:val="46"/>
                        </w:numPr>
                        <w:ind w:left="284" w:hanging="284"/>
                        <w:rPr>
                          <w:rFonts w:ascii="Times New Roman" w:hAnsi="Times New Roman"/>
                          <w:lang w:val="en-US"/>
                        </w:rPr>
                      </w:pPr>
                      <w:r>
                        <w:rPr>
                          <w:rFonts w:ascii="Times New Roman" w:hAnsi="Times New Roman"/>
                          <w:lang w:val="en-US"/>
                        </w:rPr>
                        <w:t>General unsecured claims</w:t>
                      </w:r>
                    </w:p>
                    <w:p w:rsidR="009D49E2" w:rsidRDefault="009D49E2" w:rsidP="00C91001">
                      <w:pPr>
                        <w:pStyle w:val="Paragraphedeliste"/>
                        <w:numPr>
                          <w:ilvl w:val="0"/>
                          <w:numId w:val="46"/>
                        </w:numPr>
                        <w:ind w:left="284" w:hanging="284"/>
                        <w:rPr>
                          <w:rFonts w:ascii="Times New Roman" w:hAnsi="Times New Roman"/>
                          <w:lang w:val="en-US"/>
                        </w:rPr>
                      </w:pPr>
                      <w:r>
                        <w:rPr>
                          <w:rFonts w:ascii="Times New Roman" w:hAnsi="Times New Roman"/>
                          <w:lang w:val="en-US"/>
                        </w:rPr>
                        <w:t>Preferred stock</w:t>
                      </w:r>
                    </w:p>
                    <w:p w:rsidR="009D49E2" w:rsidRDefault="009D49E2" w:rsidP="00C91001">
                      <w:pPr>
                        <w:pStyle w:val="Paragraphedeliste"/>
                        <w:numPr>
                          <w:ilvl w:val="0"/>
                          <w:numId w:val="46"/>
                        </w:numPr>
                        <w:ind w:left="284" w:hanging="284"/>
                        <w:rPr>
                          <w:rFonts w:ascii="Times New Roman" w:hAnsi="Times New Roman"/>
                          <w:lang w:val="en-US"/>
                        </w:rPr>
                      </w:pPr>
                      <w:r>
                        <w:rPr>
                          <w:rFonts w:ascii="Times New Roman" w:hAnsi="Times New Roman"/>
                          <w:lang w:val="en-US"/>
                        </w:rPr>
                        <w:t>Common stock</w:t>
                      </w:r>
                    </w:p>
                    <w:p w:rsidR="009D49E2" w:rsidRPr="00C91001" w:rsidRDefault="009D49E2" w:rsidP="00C91001">
                      <w:pPr>
                        <w:pStyle w:val="Paragraphedeliste"/>
                        <w:ind w:left="284"/>
                        <w:rPr>
                          <w:rFonts w:ascii="Times New Roman" w:hAnsi="Times New Roman"/>
                          <w:lang w:val="en-US"/>
                        </w:rPr>
                      </w:pPr>
                    </w:p>
                  </w:txbxContent>
                </v:textbox>
                <w10:wrap type="square"/>
              </v:shape>
            </w:pict>
          </mc:Fallback>
        </mc:AlternateContent>
      </w:r>
    </w:p>
    <w:p w:rsidR="007610C9" w:rsidRPr="007610C9" w:rsidRDefault="007610C9" w:rsidP="007610C9">
      <w:pPr>
        <w:pStyle w:val="Paragraphedeliste"/>
        <w:spacing w:line="240" w:lineRule="auto"/>
        <w:ind w:left="786"/>
        <w:rPr>
          <w:rFonts w:ascii="Times New Roman" w:hAnsi="Times New Roman"/>
          <w:sz w:val="24"/>
        </w:rPr>
      </w:pPr>
    </w:p>
    <w:p w:rsidR="008064D7" w:rsidRDefault="008064D7"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p>
    <w:p w:rsidR="00C91001" w:rsidRDefault="00C91001" w:rsidP="00907D5F">
      <w:pPr>
        <w:pStyle w:val="Paragraphedeliste"/>
        <w:spacing w:line="240" w:lineRule="auto"/>
        <w:ind w:left="786"/>
        <w:rPr>
          <w:rFonts w:ascii="Times New Roman" w:hAnsi="Times New Roman"/>
          <w:sz w:val="24"/>
        </w:rPr>
      </w:pPr>
      <w:r>
        <w:rPr>
          <w:rFonts w:ascii="Times New Roman" w:hAnsi="Times New Roman"/>
          <w:sz w:val="24"/>
        </w:rPr>
        <w:t>Le juge américain peut donc aisément appliquer la règle de priorité absolue – quitte à relativiser ensuite (doctrine du « </w:t>
      </w:r>
      <w:r>
        <w:rPr>
          <w:rFonts w:ascii="Times New Roman" w:hAnsi="Times New Roman"/>
          <w:i/>
          <w:sz w:val="24"/>
        </w:rPr>
        <w:t>Fair &amp; equitable</w:t>
      </w:r>
      <w:r>
        <w:rPr>
          <w:rFonts w:ascii="Times New Roman" w:hAnsi="Times New Roman"/>
          <w:sz w:val="24"/>
        </w:rPr>
        <w:t>) ou du « </w:t>
      </w:r>
      <w:r>
        <w:rPr>
          <w:rFonts w:ascii="Times New Roman" w:hAnsi="Times New Roman"/>
          <w:i/>
          <w:sz w:val="24"/>
        </w:rPr>
        <w:t>Gifting</w:t>
      </w:r>
      <w:r>
        <w:rPr>
          <w:rFonts w:ascii="Times New Roman" w:hAnsi="Times New Roman"/>
          <w:sz w:val="24"/>
        </w:rPr>
        <w:t> »).</w:t>
      </w:r>
    </w:p>
    <w:p w:rsidR="000D6310" w:rsidRDefault="000D6310" w:rsidP="00907D5F">
      <w:pPr>
        <w:pStyle w:val="Paragraphedeliste"/>
        <w:spacing w:line="240" w:lineRule="auto"/>
        <w:ind w:left="786"/>
        <w:rPr>
          <w:rFonts w:ascii="Times New Roman" w:hAnsi="Times New Roman"/>
          <w:sz w:val="24"/>
        </w:rPr>
      </w:pPr>
    </w:p>
    <w:p w:rsidR="000D6310" w:rsidRPr="000D6310" w:rsidRDefault="000D6310" w:rsidP="000D6310">
      <w:pPr>
        <w:pStyle w:val="Titre2"/>
        <w:numPr>
          <w:ilvl w:val="2"/>
          <w:numId w:val="12"/>
        </w:numPr>
        <w:ind w:left="1276" w:hanging="425"/>
        <w:rPr>
          <w:rFonts w:ascii="Times New Roman" w:hAnsi="Times New Roman" w:cs="Times New Roman"/>
        </w:rPr>
      </w:pPr>
      <w:bookmarkStart w:id="57" w:name="_Toc55407502"/>
      <w:r w:rsidRPr="000D6310">
        <w:rPr>
          <w:rFonts w:ascii="Times New Roman" w:hAnsi="Times New Roman" w:cs="Times New Roman"/>
        </w:rPr>
        <w:t>Correction du pouvoir du juge : l’indemnité</w:t>
      </w:r>
      <w:bookmarkEnd w:id="57"/>
    </w:p>
    <w:p w:rsidR="00645214" w:rsidRDefault="008064D7" w:rsidP="000D6310">
      <w:pPr>
        <w:pStyle w:val="Paragraphedeliste"/>
        <w:numPr>
          <w:ilvl w:val="0"/>
          <w:numId w:val="2"/>
        </w:numPr>
        <w:spacing w:line="240" w:lineRule="auto"/>
        <w:ind w:hanging="567"/>
        <w:rPr>
          <w:rFonts w:ascii="Times New Roman" w:hAnsi="Times New Roman"/>
          <w:sz w:val="24"/>
        </w:rPr>
      </w:pPr>
      <w:r w:rsidRPr="00936647">
        <w:rPr>
          <w:rFonts w:ascii="Times New Roman" w:hAnsi="Times New Roman"/>
          <w:sz w:val="24"/>
          <w:u w:val="single"/>
        </w:rPr>
        <w:t>Recours</w:t>
      </w:r>
      <w:r>
        <w:rPr>
          <w:rFonts w:ascii="Times New Roman" w:hAnsi="Times New Roman"/>
          <w:sz w:val="24"/>
        </w:rPr>
        <w:t xml:space="preserve">.  </w:t>
      </w:r>
      <w:r w:rsidRPr="001F4991">
        <w:rPr>
          <w:rFonts w:ascii="Times New Roman" w:hAnsi="Times New Roman"/>
          <w:sz w:val="24"/>
        </w:rPr>
        <w:t xml:space="preserve">Les décisions validant les plans – et donc les valeurs sous-jacentes – doivent pouvoir </w:t>
      </w:r>
      <w:r w:rsidR="00645214">
        <w:rPr>
          <w:rFonts w:ascii="Times New Roman" w:hAnsi="Times New Roman"/>
          <w:sz w:val="24"/>
        </w:rPr>
        <w:t>faire</w:t>
      </w:r>
      <w:r w:rsidRPr="001F4991">
        <w:rPr>
          <w:rFonts w:ascii="Times New Roman" w:hAnsi="Times New Roman"/>
          <w:sz w:val="24"/>
        </w:rPr>
        <w:t xml:space="preserve"> l’objet d’un recours par une procédure accélérée non-suspensive. </w:t>
      </w:r>
    </w:p>
    <w:p w:rsidR="00645214" w:rsidRDefault="00645214" w:rsidP="00645214">
      <w:pPr>
        <w:pStyle w:val="Paragraphedeliste"/>
        <w:spacing w:line="240" w:lineRule="auto"/>
        <w:ind w:left="786"/>
        <w:rPr>
          <w:rFonts w:ascii="Times New Roman" w:hAnsi="Times New Roman"/>
          <w:sz w:val="24"/>
          <w:u w:val="single"/>
        </w:rPr>
      </w:pPr>
    </w:p>
    <w:p w:rsidR="008064D7" w:rsidRPr="001F4991" w:rsidRDefault="008064D7" w:rsidP="00645214">
      <w:pPr>
        <w:pStyle w:val="Paragraphedeliste"/>
        <w:spacing w:line="240" w:lineRule="auto"/>
        <w:ind w:left="786"/>
        <w:rPr>
          <w:rFonts w:ascii="Times New Roman" w:hAnsi="Times New Roman"/>
          <w:sz w:val="24"/>
        </w:rPr>
      </w:pPr>
      <w:r w:rsidRPr="001F4991">
        <w:rPr>
          <w:rFonts w:ascii="Times New Roman" w:hAnsi="Times New Roman"/>
          <w:sz w:val="24"/>
        </w:rPr>
        <w:t>La non-confirmation du plan peut conduire à l’octroi de compensation financière aux créanciers dissidents contestataires à charge du débiteur ou des créanciers approuvant le plan, ce qui justifiera donc à la fois que le juge tranche rapidement et, d’autre part, de nombreuses contestations sur ces valeurs.</w:t>
      </w:r>
    </w:p>
    <w:p w:rsidR="008064D7" w:rsidRDefault="008064D7" w:rsidP="003D7261">
      <w:pPr>
        <w:pStyle w:val="Paragraphedeliste"/>
        <w:spacing w:line="240" w:lineRule="auto"/>
        <w:ind w:left="786"/>
        <w:rPr>
          <w:rFonts w:ascii="Times New Roman" w:hAnsi="Times New Roman"/>
          <w:b/>
          <w:smallCaps/>
          <w:sz w:val="28"/>
          <w14:shadow w14:blurRad="50800" w14:dist="38100" w14:dir="2700000" w14:sx="100000" w14:sy="100000" w14:kx="0" w14:ky="0" w14:algn="tl">
            <w14:srgbClr w14:val="000000">
              <w14:alpha w14:val="60000"/>
            </w14:srgbClr>
          </w14:shadow>
        </w:rPr>
      </w:pPr>
      <w:r>
        <w:rPr>
          <w:rFonts w:ascii="Times New Roman" w:hAnsi="Times New Roman"/>
          <w:b/>
          <w:smallCaps/>
          <w:sz w:val="28"/>
          <w14:shadow w14:blurRad="50800" w14:dist="38100" w14:dir="2700000" w14:sx="100000" w14:sy="100000" w14:kx="0" w14:ky="0" w14:algn="tl">
            <w14:srgbClr w14:val="000000">
              <w14:alpha w14:val="60000"/>
            </w14:srgbClr>
          </w14:shadow>
        </w:rPr>
        <w:t xml:space="preserve"> </w:t>
      </w:r>
    </w:p>
    <w:p w:rsidR="008064D7" w:rsidRPr="00A51A45" w:rsidRDefault="008064D7" w:rsidP="001F4991">
      <w:pPr>
        <w:pStyle w:val="Titre2"/>
        <w:numPr>
          <w:ilvl w:val="2"/>
          <w:numId w:val="12"/>
        </w:numPr>
        <w:rPr>
          <w:rFonts w:ascii="Times New Roman" w:hAnsi="Times New Roman" w:cs="Times New Roman"/>
        </w:rPr>
      </w:pPr>
      <w:bookmarkStart w:id="58" w:name="_Toc55407503"/>
      <w:r w:rsidRPr="00A51A45">
        <w:rPr>
          <w:rFonts w:ascii="Times New Roman" w:hAnsi="Times New Roman" w:cs="Times New Roman"/>
        </w:rPr>
        <w:lastRenderedPageBreak/>
        <w:t>J</w:t>
      </w:r>
      <w:r>
        <w:rPr>
          <w:rFonts w:ascii="Times New Roman" w:hAnsi="Times New Roman" w:cs="Times New Roman"/>
        </w:rPr>
        <w:t>uge et « </w:t>
      </w:r>
      <w:r w:rsidRPr="007C17D3">
        <w:rPr>
          <w:rFonts w:ascii="Times New Roman" w:hAnsi="Times New Roman" w:cs="Times New Roman"/>
          <w:i/>
        </w:rPr>
        <w:t>Fair</w:t>
      </w:r>
      <w:r>
        <w:rPr>
          <w:rFonts w:ascii="Times New Roman" w:hAnsi="Times New Roman" w:cs="Times New Roman"/>
        </w:rPr>
        <w:t> &amp; equitable »</w:t>
      </w:r>
      <w:bookmarkEnd w:id="58"/>
      <w:r>
        <w:rPr>
          <w:rFonts w:ascii="Times New Roman" w:hAnsi="Times New Roman" w:cs="Times New Roman"/>
        </w:rPr>
        <w:t xml:space="preserve"> </w:t>
      </w:r>
    </w:p>
    <w:p w:rsidR="008064D7" w:rsidRPr="00936647" w:rsidRDefault="008064D7" w:rsidP="001F4991">
      <w:pPr>
        <w:pStyle w:val="Paragraphedeliste"/>
        <w:spacing w:line="240" w:lineRule="auto"/>
        <w:ind w:left="786"/>
        <w:rPr>
          <w:rFonts w:ascii="Times New Roman" w:hAnsi="Times New Roman"/>
          <w:sz w:val="24"/>
        </w:rPr>
      </w:pPr>
    </w:p>
    <w:p w:rsidR="008064D7" w:rsidRPr="003514D4" w:rsidRDefault="008064D7" w:rsidP="000D6310">
      <w:pPr>
        <w:pStyle w:val="Paragraphedeliste"/>
        <w:numPr>
          <w:ilvl w:val="0"/>
          <w:numId w:val="2"/>
        </w:numPr>
        <w:spacing w:line="240" w:lineRule="auto"/>
        <w:ind w:hanging="567"/>
        <w:rPr>
          <w:rFonts w:ascii="Times New Roman" w:hAnsi="Times New Roman"/>
          <w:sz w:val="24"/>
          <w:u w:val="single"/>
        </w:rPr>
      </w:pPr>
      <w:r w:rsidRPr="001F4991">
        <w:rPr>
          <w:rFonts w:ascii="Times New Roman" w:hAnsi="Times New Roman"/>
          <w:sz w:val="24"/>
          <w:u w:val="single"/>
        </w:rPr>
        <w:t>La Notion de « </w:t>
      </w:r>
      <w:r w:rsidRPr="00645214">
        <w:rPr>
          <w:rFonts w:ascii="Times New Roman" w:hAnsi="Times New Roman"/>
          <w:i/>
          <w:sz w:val="24"/>
          <w:u w:val="single"/>
        </w:rPr>
        <w:t>Fair et équitable</w:t>
      </w:r>
      <w:r w:rsidRPr="001F4991">
        <w:rPr>
          <w:rFonts w:ascii="Times New Roman" w:hAnsi="Times New Roman"/>
          <w:sz w:val="24"/>
          <w:u w:val="single"/>
        </w:rPr>
        <w:t>» en droit américain</w:t>
      </w:r>
      <w:r w:rsidR="00645214" w:rsidRPr="00645214">
        <w:rPr>
          <w:rFonts w:ascii="Times New Roman" w:hAnsi="Times New Roman"/>
          <w:sz w:val="24"/>
        </w:rPr>
        <w:t>.</w:t>
      </w:r>
      <w:r w:rsidR="00645214">
        <w:rPr>
          <w:rFonts w:ascii="Times New Roman" w:hAnsi="Times New Roman"/>
          <w:sz w:val="24"/>
        </w:rPr>
        <w:t xml:space="preserve"> Nous avons sommairement rappelé ci-avant que l</w:t>
      </w:r>
      <w:r w:rsidRPr="00645214">
        <w:rPr>
          <w:rFonts w:ascii="Times New Roman" w:hAnsi="Times New Roman"/>
          <w:sz w:val="24"/>
        </w:rPr>
        <w:t>e</w:t>
      </w:r>
      <w:r>
        <w:rPr>
          <w:rFonts w:ascii="Times New Roman" w:hAnsi="Times New Roman"/>
          <w:sz w:val="24"/>
        </w:rPr>
        <w:t xml:space="preserve"> code </w:t>
      </w:r>
      <w:r>
        <w:rPr>
          <w:rStyle w:val="Appelnotedebasdep"/>
          <w:rFonts w:ascii="Times New Roman" w:hAnsi="Times New Roman"/>
          <w:sz w:val="24"/>
        </w:rPr>
        <w:footnoteReference w:id="362"/>
      </w:r>
      <w:r>
        <w:rPr>
          <w:rFonts w:ascii="Times New Roman" w:hAnsi="Times New Roman"/>
          <w:sz w:val="24"/>
        </w:rPr>
        <w:t xml:space="preserve"> impose deux test : le plan ne peut pas créer de discrimination « </w:t>
      </w:r>
      <w:r>
        <w:rPr>
          <w:rFonts w:ascii="Times New Roman" w:hAnsi="Times New Roman"/>
          <w:i/>
          <w:sz w:val="24"/>
        </w:rPr>
        <w:t>unf</w:t>
      </w:r>
      <w:r w:rsidRPr="007C17D3">
        <w:rPr>
          <w:rFonts w:ascii="Times New Roman" w:hAnsi="Times New Roman"/>
          <w:i/>
          <w:sz w:val="24"/>
        </w:rPr>
        <w:t>air</w:t>
      </w:r>
      <w:r>
        <w:rPr>
          <w:rFonts w:ascii="Times New Roman" w:hAnsi="Times New Roman"/>
          <w:sz w:val="24"/>
        </w:rPr>
        <w:t> » et doit être « </w:t>
      </w:r>
      <w:r w:rsidRPr="007C17D3">
        <w:rPr>
          <w:rFonts w:ascii="Times New Roman" w:hAnsi="Times New Roman"/>
          <w:i/>
          <w:sz w:val="24"/>
        </w:rPr>
        <w:t>Fair</w:t>
      </w:r>
      <w:r>
        <w:rPr>
          <w:rFonts w:ascii="Times New Roman" w:hAnsi="Times New Roman"/>
          <w:sz w:val="24"/>
        </w:rPr>
        <w:t xml:space="preserve"> </w:t>
      </w:r>
      <w:r w:rsidRPr="00645214">
        <w:rPr>
          <w:rFonts w:ascii="Times New Roman" w:hAnsi="Times New Roman"/>
          <w:i/>
          <w:sz w:val="24"/>
        </w:rPr>
        <w:t>et equitable</w:t>
      </w:r>
      <w:r>
        <w:rPr>
          <w:rFonts w:ascii="Times New Roman" w:hAnsi="Times New Roman"/>
          <w:sz w:val="24"/>
        </w:rPr>
        <w:t> »</w:t>
      </w:r>
      <w:r w:rsidR="00645214">
        <w:rPr>
          <w:rFonts w:ascii="Times New Roman" w:hAnsi="Times New Roman"/>
          <w:sz w:val="24"/>
        </w:rPr>
        <w:t>.</w:t>
      </w:r>
      <w:r>
        <w:rPr>
          <w:rFonts w:ascii="Times New Roman" w:hAnsi="Times New Roman"/>
          <w:sz w:val="24"/>
        </w:rPr>
        <w:t xml:space="preserve">  </w:t>
      </w:r>
    </w:p>
    <w:p w:rsidR="008064D7" w:rsidRDefault="008064D7" w:rsidP="003514D4">
      <w:pPr>
        <w:pStyle w:val="Paragraphedeliste"/>
        <w:spacing w:line="240" w:lineRule="auto"/>
        <w:ind w:left="786"/>
        <w:rPr>
          <w:rFonts w:ascii="Times New Roman" w:hAnsi="Times New Roman"/>
          <w:sz w:val="24"/>
          <w:u w:val="single"/>
        </w:rPr>
      </w:pPr>
    </w:p>
    <w:p w:rsidR="008064D7" w:rsidRDefault="008064D7" w:rsidP="000253D5">
      <w:pPr>
        <w:pStyle w:val="Paragraphedeliste"/>
        <w:spacing w:line="240" w:lineRule="auto"/>
        <w:ind w:left="786"/>
        <w:rPr>
          <w:rFonts w:ascii="Times New Roman" w:hAnsi="Times New Roman"/>
          <w:sz w:val="24"/>
        </w:rPr>
      </w:pPr>
      <w:r>
        <w:rPr>
          <w:rFonts w:ascii="Times New Roman" w:hAnsi="Times New Roman"/>
          <w:sz w:val="24"/>
        </w:rPr>
        <w:t>Le premier test « </w:t>
      </w:r>
      <w:r>
        <w:rPr>
          <w:rFonts w:ascii="Times New Roman" w:hAnsi="Times New Roman"/>
          <w:i/>
          <w:sz w:val="24"/>
        </w:rPr>
        <w:t>unfaire</w:t>
      </w:r>
      <w:r>
        <w:rPr>
          <w:rFonts w:ascii="Times New Roman" w:hAnsi="Times New Roman"/>
          <w:sz w:val="24"/>
        </w:rPr>
        <w:t xml:space="preserve"> </w:t>
      </w:r>
      <w:r w:rsidR="00645214" w:rsidRPr="00F54664">
        <w:rPr>
          <w:rFonts w:ascii="Times New Roman" w:hAnsi="Times New Roman"/>
          <w:i/>
          <w:sz w:val="24"/>
        </w:rPr>
        <w:t>discrimination</w:t>
      </w:r>
      <w:r>
        <w:rPr>
          <w:rFonts w:ascii="Times New Roman" w:hAnsi="Times New Roman"/>
          <w:sz w:val="24"/>
        </w:rPr>
        <w:t xml:space="preserve"> » est assez proche de notre test issu des articles 10 et 11 de la constitution : si un créancier de même rang ne reçoit pas le même dividende qu’un autre, il faudra une justification raisonnable </w:t>
      </w:r>
      <w:r>
        <w:rPr>
          <w:rStyle w:val="Appelnotedebasdep"/>
          <w:rFonts w:ascii="Times New Roman" w:hAnsi="Times New Roman"/>
          <w:sz w:val="24"/>
        </w:rPr>
        <w:footnoteReference w:id="363"/>
      </w:r>
      <w:r w:rsidR="00645214">
        <w:rPr>
          <w:rFonts w:ascii="Times New Roman" w:hAnsi="Times New Roman"/>
          <w:sz w:val="24"/>
        </w:rPr>
        <w:t>,</w:t>
      </w:r>
      <w:r>
        <w:rPr>
          <w:rFonts w:ascii="Times New Roman" w:hAnsi="Times New Roman"/>
          <w:sz w:val="24"/>
        </w:rPr>
        <w:t xml:space="preserve"> par exemple les créanciers opérationnels peuvent être payés plus vite que les créanciers de dommages, les premiers étant plus critiques pour l’exploitation</w:t>
      </w:r>
      <w:r>
        <w:rPr>
          <w:rStyle w:val="Appelnotedebasdep"/>
          <w:rFonts w:ascii="Times New Roman" w:hAnsi="Times New Roman"/>
          <w:sz w:val="24"/>
        </w:rPr>
        <w:footnoteReference w:id="364"/>
      </w:r>
      <w:r>
        <w:rPr>
          <w:rFonts w:ascii="Times New Roman" w:hAnsi="Times New Roman"/>
          <w:sz w:val="24"/>
        </w:rPr>
        <w:t xml:space="preserve"> ou selon des % différents selon que les créanciers soient stratégiques ou non </w:t>
      </w:r>
      <w:r>
        <w:rPr>
          <w:rStyle w:val="Appelnotedebasdep"/>
          <w:rFonts w:ascii="Times New Roman" w:hAnsi="Times New Roman"/>
          <w:sz w:val="24"/>
        </w:rPr>
        <w:footnoteReference w:id="365"/>
      </w:r>
      <w:r>
        <w:rPr>
          <w:rFonts w:ascii="Times New Roman" w:hAnsi="Times New Roman"/>
          <w:sz w:val="24"/>
        </w:rPr>
        <w:t xml:space="preserve"> ou</w:t>
      </w:r>
      <w:r w:rsidR="00645214">
        <w:rPr>
          <w:rFonts w:ascii="Times New Roman" w:hAnsi="Times New Roman"/>
          <w:sz w:val="24"/>
        </w:rPr>
        <w:t>,</w:t>
      </w:r>
      <w:r>
        <w:rPr>
          <w:rFonts w:ascii="Times New Roman" w:hAnsi="Times New Roman"/>
          <w:sz w:val="24"/>
        </w:rPr>
        <w:t xml:space="preserve"> inversement</w:t>
      </w:r>
      <w:r w:rsidR="00645214">
        <w:rPr>
          <w:rFonts w:ascii="Times New Roman" w:hAnsi="Times New Roman"/>
          <w:sz w:val="24"/>
        </w:rPr>
        <w:t>,</w:t>
      </w:r>
      <w:r>
        <w:rPr>
          <w:rFonts w:ascii="Times New Roman" w:hAnsi="Times New Roman"/>
          <w:sz w:val="24"/>
        </w:rPr>
        <w:t xml:space="preserve"> moins  à des créanciers opérationnels qui devaient connaitre la situation et se sont engagé</w:t>
      </w:r>
      <w:r w:rsidR="00645214">
        <w:rPr>
          <w:rFonts w:ascii="Times New Roman" w:hAnsi="Times New Roman"/>
          <w:sz w:val="24"/>
        </w:rPr>
        <w:t>s</w:t>
      </w:r>
      <w:r>
        <w:rPr>
          <w:rFonts w:ascii="Times New Roman" w:hAnsi="Times New Roman"/>
          <w:sz w:val="24"/>
        </w:rPr>
        <w:t xml:space="preserve"> à risque</w:t>
      </w:r>
      <w:r>
        <w:rPr>
          <w:rStyle w:val="Appelnotedebasdep"/>
          <w:rFonts w:ascii="Times New Roman" w:hAnsi="Times New Roman"/>
          <w:sz w:val="24"/>
        </w:rPr>
        <w:footnoteReference w:id="366"/>
      </w:r>
      <w:r>
        <w:rPr>
          <w:rFonts w:ascii="Times New Roman" w:hAnsi="Times New Roman"/>
          <w:sz w:val="24"/>
        </w:rPr>
        <w:t>.</w:t>
      </w:r>
    </w:p>
    <w:p w:rsidR="00645214" w:rsidRDefault="00645214" w:rsidP="000253D5">
      <w:pPr>
        <w:pStyle w:val="Paragraphedeliste"/>
        <w:spacing w:line="240" w:lineRule="auto"/>
        <w:ind w:left="786"/>
        <w:rPr>
          <w:rFonts w:ascii="Times New Roman" w:hAnsi="Times New Roman"/>
          <w:sz w:val="24"/>
        </w:rPr>
      </w:pPr>
    </w:p>
    <w:p w:rsidR="00645214" w:rsidRDefault="00645214" w:rsidP="000253D5">
      <w:pPr>
        <w:pStyle w:val="Paragraphedeliste"/>
        <w:spacing w:line="240" w:lineRule="auto"/>
        <w:ind w:left="786"/>
        <w:rPr>
          <w:rFonts w:ascii="Times New Roman" w:hAnsi="Times New Roman"/>
          <w:sz w:val="24"/>
        </w:rPr>
      </w:pPr>
      <w:r>
        <w:rPr>
          <w:rFonts w:ascii="Times New Roman" w:hAnsi="Times New Roman"/>
          <w:sz w:val="24"/>
        </w:rPr>
        <w:t>Le second test est décrit ci-avant. Il accorde au juge un pouvoir important.</w:t>
      </w:r>
    </w:p>
    <w:p w:rsidR="008064D7" w:rsidRDefault="008064D7" w:rsidP="000253D5">
      <w:pPr>
        <w:pStyle w:val="Paragraphedeliste"/>
        <w:spacing w:line="240" w:lineRule="auto"/>
        <w:ind w:left="786"/>
        <w:rPr>
          <w:rFonts w:ascii="Times New Roman" w:hAnsi="Times New Roman"/>
          <w:sz w:val="24"/>
        </w:rPr>
      </w:pPr>
    </w:p>
    <w:p w:rsidR="00645214" w:rsidRPr="00645214" w:rsidRDefault="008064D7" w:rsidP="00645214">
      <w:pPr>
        <w:pStyle w:val="Paragraphedeliste"/>
        <w:numPr>
          <w:ilvl w:val="0"/>
          <w:numId w:val="2"/>
        </w:numPr>
        <w:spacing w:line="240" w:lineRule="auto"/>
        <w:ind w:hanging="567"/>
        <w:rPr>
          <w:rFonts w:ascii="Times New Roman" w:hAnsi="Times New Roman"/>
          <w:sz w:val="24"/>
          <w:u w:val="single"/>
        </w:rPr>
      </w:pPr>
      <w:r>
        <w:rPr>
          <w:rFonts w:ascii="Times New Roman" w:hAnsi="Times New Roman"/>
          <w:sz w:val="24"/>
          <w:u w:val="single"/>
        </w:rPr>
        <w:t>La Notion d’égalité des créanciers</w:t>
      </w:r>
      <w:r w:rsidRPr="00645214">
        <w:rPr>
          <w:rStyle w:val="Appelnotedebasdep"/>
          <w:rFonts w:ascii="Times New Roman" w:hAnsi="Times New Roman"/>
          <w:sz w:val="24"/>
        </w:rPr>
        <w:footnoteReference w:id="367"/>
      </w:r>
      <w:r w:rsidRPr="00645214">
        <w:rPr>
          <w:rFonts w:ascii="Times New Roman" w:hAnsi="Times New Roman"/>
          <w:sz w:val="24"/>
        </w:rPr>
        <w:t xml:space="preserve"> </w:t>
      </w:r>
      <w:r w:rsidRPr="003C2D3D">
        <w:rPr>
          <w:rFonts w:ascii="Times New Roman" w:hAnsi="Times New Roman"/>
          <w:sz w:val="24"/>
        </w:rPr>
        <w:t xml:space="preserve">semble donc </w:t>
      </w:r>
      <w:r>
        <w:rPr>
          <w:rFonts w:ascii="Times New Roman" w:hAnsi="Times New Roman"/>
          <w:sz w:val="24"/>
        </w:rPr>
        <w:t>– et de manière surprenante</w:t>
      </w:r>
      <w:r w:rsidR="00645214">
        <w:rPr>
          <w:rFonts w:ascii="Times New Roman" w:hAnsi="Times New Roman"/>
          <w:sz w:val="24"/>
        </w:rPr>
        <w:t xml:space="preserve"> </w:t>
      </w:r>
      <w:r>
        <w:rPr>
          <w:rFonts w:ascii="Times New Roman" w:hAnsi="Times New Roman"/>
          <w:sz w:val="24"/>
        </w:rPr>
        <w:t xml:space="preserve">- </w:t>
      </w:r>
      <w:r w:rsidRPr="003C2D3D">
        <w:rPr>
          <w:rFonts w:ascii="Times New Roman" w:hAnsi="Times New Roman"/>
          <w:sz w:val="24"/>
        </w:rPr>
        <w:t xml:space="preserve">au cœur </w:t>
      </w:r>
      <w:r w:rsidR="00645214">
        <w:rPr>
          <w:rFonts w:ascii="Times New Roman" w:hAnsi="Times New Roman"/>
          <w:sz w:val="24"/>
        </w:rPr>
        <w:t>du</w:t>
      </w:r>
      <w:r w:rsidRPr="003C2D3D">
        <w:rPr>
          <w:rFonts w:ascii="Times New Roman" w:hAnsi="Times New Roman"/>
          <w:sz w:val="24"/>
        </w:rPr>
        <w:t xml:space="preserve"> traitement</w:t>
      </w:r>
      <w:r>
        <w:rPr>
          <w:rFonts w:ascii="Times New Roman" w:hAnsi="Times New Roman"/>
          <w:sz w:val="24"/>
        </w:rPr>
        <w:t xml:space="preserve"> puisque chaque créancier de chaque classe au même rang devrait recevoir la même chose. Surprenante puisque le système produit des traitement</w:t>
      </w:r>
      <w:r w:rsidR="00645214">
        <w:rPr>
          <w:rFonts w:ascii="Times New Roman" w:hAnsi="Times New Roman"/>
          <w:sz w:val="24"/>
        </w:rPr>
        <w:t>s</w:t>
      </w:r>
      <w:r>
        <w:rPr>
          <w:rFonts w:ascii="Times New Roman" w:hAnsi="Times New Roman"/>
          <w:sz w:val="24"/>
        </w:rPr>
        <w:t xml:space="preserve"> différents dans la pratique comme dans l’</w:t>
      </w:r>
      <w:r w:rsidRPr="007C17D3">
        <w:rPr>
          <w:rFonts w:ascii="Times New Roman" w:hAnsi="Times New Roman"/>
          <w:sz w:val="24"/>
        </w:rPr>
        <w:t>affaire</w:t>
      </w:r>
      <w:r>
        <w:rPr>
          <w:rFonts w:ascii="Times New Roman" w:hAnsi="Times New Roman"/>
          <w:sz w:val="24"/>
        </w:rPr>
        <w:t xml:space="preserve"> Chrysler </w:t>
      </w:r>
      <w:r w:rsidR="00645214">
        <w:rPr>
          <w:rFonts w:ascii="Times New Roman" w:hAnsi="Times New Roman"/>
          <w:sz w:val="24"/>
        </w:rPr>
        <w:t>où la C</w:t>
      </w:r>
      <w:r>
        <w:rPr>
          <w:rFonts w:ascii="Times New Roman" w:hAnsi="Times New Roman"/>
          <w:sz w:val="24"/>
        </w:rPr>
        <w:t xml:space="preserve">our admit de traiter différemment les créanciers opérationnel, les créanciers de dommages et les obligataires </w:t>
      </w:r>
      <w:r w:rsidRPr="007C17D3">
        <w:rPr>
          <w:rFonts w:ascii="Times New Roman" w:hAnsi="Times New Roman"/>
          <w:i/>
          <w:sz w:val="24"/>
        </w:rPr>
        <w:t>unsecured</w:t>
      </w:r>
      <w:r w:rsidR="00645214">
        <w:rPr>
          <w:rFonts w:ascii="Times New Roman" w:hAnsi="Times New Roman"/>
          <w:sz w:val="24"/>
        </w:rPr>
        <w:t xml:space="preserve"> . </w:t>
      </w:r>
    </w:p>
    <w:p w:rsidR="00645214" w:rsidRDefault="00645214" w:rsidP="00645214">
      <w:pPr>
        <w:pStyle w:val="Paragraphedeliste"/>
        <w:spacing w:line="240" w:lineRule="auto"/>
        <w:ind w:left="786"/>
        <w:rPr>
          <w:rFonts w:ascii="Times New Roman" w:hAnsi="Times New Roman"/>
          <w:sz w:val="24"/>
          <w:u w:val="single"/>
        </w:rPr>
      </w:pPr>
    </w:p>
    <w:p w:rsidR="008064D7" w:rsidRPr="005822AF" w:rsidRDefault="008064D7" w:rsidP="00645214">
      <w:pPr>
        <w:pStyle w:val="Paragraphedeliste"/>
        <w:spacing w:line="240" w:lineRule="auto"/>
        <w:ind w:left="786"/>
        <w:rPr>
          <w:rFonts w:ascii="Times New Roman" w:hAnsi="Times New Roman"/>
          <w:sz w:val="24"/>
          <w:u w:val="single"/>
        </w:rPr>
      </w:pPr>
      <w:r>
        <w:rPr>
          <w:rFonts w:ascii="Times New Roman" w:hAnsi="Times New Roman"/>
          <w:sz w:val="24"/>
        </w:rPr>
        <w:t>La réponse à la création de privilèges, de clauses contractuelles exorbitantes</w:t>
      </w:r>
      <w:r w:rsidR="00645214">
        <w:rPr>
          <w:rFonts w:ascii="Times New Roman" w:hAnsi="Times New Roman"/>
          <w:sz w:val="24"/>
        </w:rPr>
        <w:t xml:space="preserve"> </w:t>
      </w:r>
      <w:r>
        <w:rPr>
          <w:rFonts w:ascii="Times New Roman" w:hAnsi="Times New Roman"/>
          <w:sz w:val="24"/>
        </w:rPr>
        <w:t>et à toutes les formes modernes de la création de priorité factuelle a été la notion de « </w:t>
      </w:r>
      <w:r w:rsidRPr="007C17D3">
        <w:rPr>
          <w:rFonts w:ascii="Times New Roman" w:hAnsi="Times New Roman"/>
          <w:i/>
          <w:sz w:val="24"/>
        </w:rPr>
        <w:t>Fair</w:t>
      </w:r>
      <w:r>
        <w:rPr>
          <w:rFonts w:ascii="Times New Roman" w:hAnsi="Times New Roman"/>
          <w:sz w:val="24"/>
        </w:rPr>
        <w:t xml:space="preserve"> et </w:t>
      </w:r>
      <w:r w:rsidRPr="00F44831">
        <w:rPr>
          <w:rFonts w:ascii="Times New Roman" w:hAnsi="Times New Roman"/>
          <w:i/>
          <w:sz w:val="24"/>
        </w:rPr>
        <w:t>equitable</w:t>
      </w:r>
      <w:r>
        <w:rPr>
          <w:rFonts w:ascii="Times New Roman" w:hAnsi="Times New Roman"/>
          <w:sz w:val="24"/>
        </w:rPr>
        <w:t> » et le traitement différencié dont le juge conserve en réalité un pouvoir d’appréciation essentiel pour restaurer une égalité relative et juste</w:t>
      </w:r>
      <w:r w:rsidR="00645214">
        <w:rPr>
          <w:rFonts w:ascii="Times New Roman" w:hAnsi="Times New Roman"/>
          <w:sz w:val="24"/>
        </w:rPr>
        <w:t>.</w:t>
      </w:r>
    </w:p>
    <w:p w:rsidR="008064D7" w:rsidRDefault="008064D7" w:rsidP="005822AF">
      <w:pPr>
        <w:pStyle w:val="Paragraphedeliste"/>
        <w:spacing w:line="240" w:lineRule="auto"/>
        <w:ind w:left="786"/>
        <w:rPr>
          <w:rFonts w:ascii="Times New Roman" w:hAnsi="Times New Roman"/>
          <w:sz w:val="24"/>
          <w:u w:val="single"/>
        </w:rPr>
      </w:pPr>
    </w:p>
    <w:p w:rsidR="000D6310" w:rsidRDefault="008064D7" w:rsidP="005822AF">
      <w:pPr>
        <w:pStyle w:val="Paragraphedeliste"/>
        <w:spacing w:line="240" w:lineRule="auto"/>
        <w:ind w:left="786"/>
        <w:rPr>
          <w:rFonts w:ascii="Times New Roman" w:hAnsi="Times New Roman"/>
          <w:sz w:val="24"/>
        </w:rPr>
      </w:pPr>
      <w:r w:rsidRPr="005822AF">
        <w:rPr>
          <w:rFonts w:ascii="Times New Roman" w:hAnsi="Times New Roman"/>
          <w:sz w:val="24"/>
        </w:rPr>
        <w:t>Dans le dossier Energy Future</w:t>
      </w:r>
      <w:r>
        <w:rPr>
          <w:rStyle w:val="Appelnotedebasdep"/>
          <w:rFonts w:ascii="Times New Roman" w:hAnsi="Times New Roman"/>
          <w:sz w:val="24"/>
        </w:rPr>
        <w:footnoteReference w:id="368"/>
      </w:r>
      <w:r>
        <w:rPr>
          <w:rFonts w:ascii="Times New Roman" w:hAnsi="Times New Roman"/>
          <w:sz w:val="24"/>
        </w:rPr>
        <w:t xml:space="preserve"> la </w:t>
      </w:r>
      <w:r w:rsidR="00645214">
        <w:rPr>
          <w:rFonts w:ascii="Times New Roman" w:hAnsi="Times New Roman"/>
          <w:sz w:val="24"/>
        </w:rPr>
        <w:t>C</w:t>
      </w:r>
      <w:r>
        <w:rPr>
          <w:rFonts w:ascii="Times New Roman" w:hAnsi="Times New Roman"/>
          <w:sz w:val="24"/>
        </w:rPr>
        <w:t>our admit un traitement différent sur base des explications jugées fondées qui distinguai</w:t>
      </w:r>
      <w:r w:rsidR="00645214">
        <w:rPr>
          <w:rFonts w:ascii="Times New Roman" w:hAnsi="Times New Roman"/>
          <w:sz w:val="24"/>
        </w:rPr>
        <w:t>en</w:t>
      </w:r>
      <w:r>
        <w:rPr>
          <w:rFonts w:ascii="Times New Roman" w:hAnsi="Times New Roman"/>
          <w:sz w:val="24"/>
        </w:rPr>
        <w:t xml:space="preserve">t les situation </w:t>
      </w:r>
      <w:r w:rsidR="00645214">
        <w:rPr>
          <w:rFonts w:ascii="Times New Roman" w:hAnsi="Times New Roman"/>
          <w:sz w:val="24"/>
        </w:rPr>
        <w:t>s</w:t>
      </w:r>
      <w:r>
        <w:rPr>
          <w:rStyle w:val="Appelnotedebasdep"/>
          <w:rFonts w:ascii="Times New Roman" w:hAnsi="Times New Roman"/>
          <w:sz w:val="24"/>
        </w:rPr>
        <w:footnoteReference w:id="369"/>
      </w:r>
      <w:r>
        <w:rPr>
          <w:rFonts w:ascii="Times New Roman" w:hAnsi="Times New Roman"/>
          <w:sz w:val="24"/>
        </w:rPr>
        <w:t xml:space="preserve">à propos d’un plan prépack traitant distinctement deux lignes. </w:t>
      </w:r>
    </w:p>
    <w:p w:rsidR="00645214" w:rsidRDefault="00645214" w:rsidP="005822AF">
      <w:pPr>
        <w:pStyle w:val="Paragraphedeliste"/>
        <w:spacing w:line="240" w:lineRule="auto"/>
        <w:ind w:left="786"/>
        <w:rPr>
          <w:rFonts w:ascii="Times New Roman" w:hAnsi="Times New Roman"/>
          <w:sz w:val="24"/>
        </w:rPr>
      </w:pPr>
    </w:p>
    <w:p w:rsidR="00645214" w:rsidRPr="00645214" w:rsidRDefault="00645214" w:rsidP="00645214">
      <w:pPr>
        <w:pStyle w:val="Titre2"/>
        <w:numPr>
          <w:ilvl w:val="2"/>
          <w:numId w:val="12"/>
        </w:numPr>
        <w:rPr>
          <w:rFonts w:ascii="Times New Roman" w:hAnsi="Times New Roman" w:cs="Times New Roman"/>
        </w:rPr>
      </w:pPr>
      <w:bookmarkStart w:id="59" w:name="_Toc55407504"/>
      <w:r w:rsidRPr="00645214">
        <w:rPr>
          <w:rFonts w:ascii="Times New Roman" w:hAnsi="Times New Roman" w:cs="Times New Roman"/>
        </w:rPr>
        <w:t>Juge et priorité relative</w:t>
      </w:r>
      <w:bookmarkEnd w:id="59"/>
    </w:p>
    <w:p w:rsidR="000D6310" w:rsidRDefault="000D6310" w:rsidP="005822AF">
      <w:pPr>
        <w:pStyle w:val="Paragraphedeliste"/>
        <w:spacing w:line="240" w:lineRule="auto"/>
        <w:ind w:left="786"/>
        <w:rPr>
          <w:rFonts w:ascii="Times New Roman" w:hAnsi="Times New Roman"/>
          <w:sz w:val="24"/>
        </w:rPr>
      </w:pPr>
    </w:p>
    <w:p w:rsidR="000D6310" w:rsidRDefault="00645214" w:rsidP="00645214">
      <w:pPr>
        <w:pStyle w:val="Paragraphedeliste"/>
        <w:numPr>
          <w:ilvl w:val="0"/>
          <w:numId w:val="2"/>
        </w:numPr>
        <w:spacing w:line="240" w:lineRule="auto"/>
        <w:ind w:hanging="567"/>
        <w:rPr>
          <w:rFonts w:ascii="Times New Roman" w:hAnsi="Times New Roman"/>
          <w:sz w:val="24"/>
        </w:rPr>
      </w:pPr>
      <w:r>
        <w:rPr>
          <w:rFonts w:ascii="Times New Roman" w:hAnsi="Times New Roman"/>
          <w:sz w:val="24"/>
        </w:rPr>
        <w:t>I</w:t>
      </w:r>
      <w:r w:rsidR="000D6310">
        <w:rPr>
          <w:rFonts w:ascii="Times New Roman" w:hAnsi="Times New Roman"/>
          <w:sz w:val="24"/>
        </w:rPr>
        <w:t>l est utile</w:t>
      </w:r>
      <w:r>
        <w:rPr>
          <w:rFonts w:ascii="Times New Roman" w:hAnsi="Times New Roman"/>
          <w:sz w:val="24"/>
        </w:rPr>
        <w:t>, pour débattre cette question,</w:t>
      </w:r>
      <w:r w:rsidR="000D6310">
        <w:rPr>
          <w:rFonts w:ascii="Times New Roman" w:hAnsi="Times New Roman"/>
          <w:sz w:val="24"/>
        </w:rPr>
        <w:t xml:space="preserve"> d’examiner </w:t>
      </w:r>
      <w:r>
        <w:rPr>
          <w:rFonts w:ascii="Times New Roman" w:hAnsi="Times New Roman"/>
          <w:sz w:val="24"/>
        </w:rPr>
        <w:t>certains droit étrangers</w:t>
      </w:r>
      <w:r w:rsidR="000D6310">
        <w:rPr>
          <w:rFonts w:ascii="Times New Roman" w:hAnsi="Times New Roman"/>
          <w:sz w:val="24"/>
        </w:rPr>
        <w:t>. L’expérience brésilienne – où la règle de priorité relative est accompagnée d’une « </w:t>
      </w:r>
      <w:r w:rsidR="000D6310" w:rsidRPr="007C17D3">
        <w:rPr>
          <w:rFonts w:ascii="Times New Roman" w:hAnsi="Times New Roman"/>
          <w:i/>
          <w:sz w:val="24"/>
        </w:rPr>
        <w:t>Fair</w:t>
      </w:r>
      <w:r w:rsidR="000D6310">
        <w:rPr>
          <w:rFonts w:ascii="Times New Roman" w:hAnsi="Times New Roman"/>
          <w:i/>
          <w:sz w:val="24"/>
        </w:rPr>
        <w:t xml:space="preserve"> outcome »</w:t>
      </w:r>
      <w:r w:rsidR="000D6310">
        <w:rPr>
          <w:rFonts w:ascii="Times New Roman" w:hAnsi="Times New Roman"/>
          <w:sz w:val="24"/>
        </w:rPr>
        <w:t xml:space="preserve"> est intéressante</w:t>
      </w:r>
      <w:r w:rsidR="000D6310">
        <w:rPr>
          <w:rStyle w:val="Appelnotedebasdep"/>
          <w:rFonts w:ascii="Times New Roman" w:hAnsi="Times New Roman"/>
          <w:sz w:val="24"/>
        </w:rPr>
        <w:footnoteReference w:id="370"/>
      </w:r>
      <w:r w:rsidR="000D6310">
        <w:rPr>
          <w:rFonts w:ascii="Times New Roman" w:hAnsi="Times New Roman"/>
          <w:sz w:val="24"/>
        </w:rPr>
        <w:t>. Le juge possède un pouvoir de « </w:t>
      </w:r>
      <w:r w:rsidR="000D6310">
        <w:rPr>
          <w:rFonts w:ascii="Times New Roman" w:hAnsi="Times New Roman"/>
          <w:i/>
          <w:sz w:val="24"/>
        </w:rPr>
        <w:t>correction</w:t>
      </w:r>
      <w:r w:rsidR="000D6310">
        <w:rPr>
          <w:rFonts w:ascii="Times New Roman" w:hAnsi="Times New Roman"/>
          <w:sz w:val="24"/>
        </w:rPr>
        <w:t xml:space="preserve"> » de la </w:t>
      </w:r>
      <w:r w:rsidR="000D6310">
        <w:rPr>
          <w:rFonts w:ascii="Times New Roman" w:hAnsi="Times New Roman"/>
          <w:sz w:val="24"/>
        </w:rPr>
        <w:lastRenderedPageBreak/>
        <w:t>situation en contrôlant « </w:t>
      </w:r>
      <w:r w:rsidR="000D6310">
        <w:rPr>
          <w:rFonts w:ascii="Times New Roman" w:hAnsi="Times New Roman"/>
          <w:i/>
          <w:sz w:val="24"/>
        </w:rPr>
        <w:t xml:space="preserve">l’équité » </w:t>
      </w:r>
      <w:r w:rsidR="000D6310">
        <w:rPr>
          <w:rFonts w:ascii="Times New Roman" w:hAnsi="Times New Roman"/>
          <w:sz w:val="24"/>
        </w:rPr>
        <w:t>– ce que peut-être nous appellerons d’un autre mot, à savoir la proportionnalité.</w:t>
      </w:r>
    </w:p>
    <w:p w:rsidR="00645214" w:rsidRDefault="00645214" w:rsidP="00645214">
      <w:pPr>
        <w:pStyle w:val="Paragraphedeliste"/>
        <w:spacing w:line="240" w:lineRule="auto"/>
        <w:ind w:left="786"/>
        <w:rPr>
          <w:rFonts w:ascii="Times New Roman" w:hAnsi="Times New Roman"/>
          <w:sz w:val="24"/>
        </w:rPr>
      </w:pPr>
    </w:p>
    <w:p w:rsidR="00645214" w:rsidRDefault="00645214" w:rsidP="00645214">
      <w:pPr>
        <w:pStyle w:val="Paragraphedeliste"/>
        <w:numPr>
          <w:ilvl w:val="0"/>
          <w:numId w:val="2"/>
        </w:numPr>
        <w:spacing w:line="240" w:lineRule="auto"/>
        <w:ind w:hanging="567"/>
        <w:rPr>
          <w:rFonts w:ascii="Times New Roman" w:hAnsi="Times New Roman"/>
          <w:sz w:val="24"/>
        </w:rPr>
      </w:pPr>
      <w:r>
        <w:rPr>
          <w:rFonts w:ascii="Times New Roman" w:hAnsi="Times New Roman"/>
          <w:sz w:val="24"/>
        </w:rPr>
        <w:t>L’atteinte excessive aux intérêt des créanciers semble une notion qui permet au juge une appréciation sur le fonds plus que marginale. Il devient le contrôleur économique et financier de la proposition faite aux créanciers.</w:t>
      </w:r>
    </w:p>
    <w:p w:rsidR="00645214" w:rsidRDefault="00645214" w:rsidP="00645214">
      <w:pPr>
        <w:pStyle w:val="Paragraphedeliste"/>
        <w:spacing w:line="240" w:lineRule="auto"/>
        <w:ind w:left="786"/>
        <w:rPr>
          <w:rFonts w:ascii="Times New Roman" w:hAnsi="Times New Roman"/>
          <w:sz w:val="24"/>
        </w:rPr>
      </w:pPr>
    </w:p>
    <w:p w:rsidR="00645214" w:rsidRDefault="00645214" w:rsidP="00645214">
      <w:pPr>
        <w:pStyle w:val="Paragraphedeliste"/>
        <w:spacing w:line="240" w:lineRule="auto"/>
        <w:ind w:left="786"/>
        <w:rPr>
          <w:rFonts w:ascii="Times New Roman" w:hAnsi="Times New Roman"/>
          <w:sz w:val="24"/>
        </w:rPr>
      </w:pPr>
      <w:r>
        <w:rPr>
          <w:rFonts w:ascii="Times New Roman" w:hAnsi="Times New Roman"/>
          <w:sz w:val="24"/>
        </w:rPr>
        <w:t>Ce pouvoir sera sûrement encadré par les enseignements de la jurisprudence.</w:t>
      </w:r>
    </w:p>
    <w:p w:rsidR="00645214" w:rsidRDefault="00645214" w:rsidP="00645214">
      <w:pPr>
        <w:pStyle w:val="Paragraphedeliste"/>
        <w:spacing w:line="240" w:lineRule="auto"/>
        <w:ind w:left="786"/>
        <w:rPr>
          <w:rFonts w:ascii="Times New Roman" w:hAnsi="Times New Roman"/>
          <w:sz w:val="24"/>
        </w:rPr>
      </w:pPr>
    </w:p>
    <w:p w:rsidR="00645214" w:rsidRPr="00645214" w:rsidRDefault="00645214" w:rsidP="00645214">
      <w:pPr>
        <w:pStyle w:val="Titre2"/>
        <w:numPr>
          <w:ilvl w:val="2"/>
          <w:numId w:val="12"/>
        </w:numPr>
        <w:rPr>
          <w:rFonts w:ascii="Times New Roman" w:hAnsi="Times New Roman" w:cs="Times New Roman"/>
        </w:rPr>
      </w:pPr>
      <w:bookmarkStart w:id="60" w:name="_Toc55407505"/>
      <w:r w:rsidRPr="00645214">
        <w:rPr>
          <w:rFonts w:ascii="Times New Roman" w:hAnsi="Times New Roman" w:cs="Times New Roman"/>
        </w:rPr>
        <w:t>Juge et suspension des poursuites</w:t>
      </w:r>
      <w:bookmarkEnd w:id="60"/>
    </w:p>
    <w:p w:rsidR="00645214" w:rsidRDefault="00645214" w:rsidP="00645214">
      <w:pPr>
        <w:pStyle w:val="Paragraphedeliste"/>
        <w:spacing w:line="240" w:lineRule="auto"/>
        <w:ind w:left="786"/>
        <w:rPr>
          <w:rFonts w:ascii="Times New Roman" w:hAnsi="Times New Roman"/>
          <w:sz w:val="24"/>
        </w:rPr>
      </w:pPr>
    </w:p>
    <w:p w:rsidR="00645214" w:rsidRDefault="00645214" w:rsidP="00645214">
      <w:pPr>
        <w:pStyle w:val="Paragraphedeliste"/>
        <w:numPr>
          <w:ilvl w:val="0"/>
          <w:numId w:val="2"/>
        </w:numPr>
        <w:spacing w:line="240" w:lineRule="auto"/>
        <w:ind w:hanging="567"/>
        <w:rPr>
          <w:rFonts w:ascii="Times New Roman" w:hAnsi="Times New Roman"/>
          <w:sz w:val="24"/>
        </w:rPr>
      </w:pPr>
      <w:r w:rsidRPr="00645214">
        <w:rPr>
          <w:rFonts w:ascii="Times New Roman" w:hAnsi="Times New Roman"/>
          <w:sz w:val="24"/>
          <w:u w:val="single"/>
        </w:rPr>
        <w:t>Pouvoir du juge</w:t>
      </w:r>
      <w:r>
        <w:rPr>
          <w:rFonts w:ascii="Times New Roman" w:hAnsi="Times New Roman"/>
          <w:sz w:val="24"/>
        </w:rPr>
        <w:t>. Le juge pourra</w:t>
      </w:r>
      <w:r w:rsidR="00F32BEE">
        <w:rPr>
          <w:rFonts w:ascii="Times New Roman" w:hAnsi="Times New Roman"/>
          <w:sz w:val="24"/>
        </w:rPr>
        <w:t xml:space="preserve"> décréter une suspension des poursuites individuelles, semi-collectives ou collectives. Les Etats peuvent limiter ce droit si la suspension n’est pas « </w:t>
      </w:r>
      <w:r w:rsidR="00F32BEE">
        <w:rPr>
          <w:rFonts w:ascii="Times New Roman" w:hAnsi="Times New Roman"/>
          <w:i/>
          <w:sz w:val="24"/>
        </w:rPr>
        <w:t>nécessaire »</w:t>
      </w:r>
      <w:r w:rsidR="00F32BEE">
        <w:rPr>
          <w:rFonts w:ascii="Times New Roman" w:hAnsi="Times New Roman"/>
          <w:sz w:val="24"/>
        </w:rPr>
        <w:t xml:space="preserve"> ou si elle n’a pas pour objectif réel de « </w:t>
      </w:r>
      <w:r w:rsidR="00F32BEE">
        <w:rPr>
          <w:rFonts w:ascii="Times New Roman" w:hAnsi="Times New Roman"/>
          <w:i/>
          <w:sz w:val="24"/>
        </w:rPr>
        <w:t>permettre des négociations sur le plan »</w:t>
      </w:r>
      <w:r w:rsidR="00F32BEE">
        <w:rPr>
          <w:rFonts w:ascii="Times New Roman" w:hAnsi="Times New Roman"/>
          <w:sz w:val="24"/>
        </w:rPr>
        <w:t>. Cette suppression peut s’appliquer à toutes les créances – y compris les garanties ou les privilégiées.</w:t>
      </w:r>
    </w:p>
    <w:p w:rsidR="00F32BEE" w:rsidRDefault="00F32BEE" w:rsidP="00F32BEE">
      <w:pPr>
        <w:pStyle w:val="Paragraphedeliste"/>
        <w:spacing w:line="240" w:lineRule="auto"/>
        <w:ind w:left="786"/>
        <w:rPr>
          <w:rFonts w:ascii="Times New Roman" w:hAnsi="Times New Roman"/>
          <w:sz w:val="24"/>
          <w:u w:val="single"/>
        </w:rPr>
      </w:pPr>
    </w:p>
    <w:p w:rsidR="00F32BEE" w:rsidRDefault="00F32BEE" w:rsidP="00F32BEE">
      <w:pPr>
        <w:pStyle w:val="Paragraphedeliste"/>
        <w:spacing w:line="240" w:lineRule="auto"/>
        <w:ind w:left="786"/>
        <w:rPr>
          <w:rFonts w:ascii="Times New Roman" w:hAnsi="Times New Roman"/>
          <w:sz w:val="24"/>
        </w:rPr>
      </w:pPr>
      <w:r>
        <w:rPr>
          <w:rFonts w:ascii="Times New Roman" w:hAnsi="Times New Roman"/>
          <w:sz w:val="24"/>
        </w:rPr>
        <w:t>Les Etats peuvent demander au juge d’exclure la suspension des poursuites qui ne risquent pas de mettre en péril la restructuration ou qui crée un préjudice excessif aux créanciers.</w:t>
      </w:r>
    </w:p>
    <w:p w:rsidR="00F32BEE" w:rsidRDefault="00F32BEE" w:rsidP="00F32BEE">
      <w:pPr>
        <w:pStyle w:val="Paragraphedeliste"/>
        <w:spacing w:line="240" w:lineRule="auto"/>
        <w:ind w:left="786"/>
        <w:rPr>
          <w:rFonts w:ascii="Times New Roman" w:hAnsi="Times New Roman"/>
          <w:sz w:val="24"/>
        </w:rPr>
      </w:pPr>
    </w:p>
    <w:p w:rsidR="00F32BEE" w:rsidRDefault="00F32BEE" w:rsidP="00F32BEE">
      <w:pPr>
        <w:pStyle w:val="Paragraphedeliste"/>
        <w:spacing w:line="240" w:lineRule="auto"/>
        <w:ind w:left="786"/>
        <w:rPr>
          <w:rFonts w:ascii="Times New Roman" w:hAnsi="Times New Roman"/>
          <w:sz w:val="24"/>
        </w:rPr>
      </w:pPr>
      <w:r>
        <w:rPr>
          <w:rFonts w:ascii="Times New Roman" w:hAnsi="Times New Roman"/>
          <w:sz w:val="24"/>
        </w:rPr>
        <w:t>Le juge peut la renouveler ou la retirer en fonction de son appréciation sur les progrès de la négociation, de l’atteinte excessive aux droits et intérêts des parties ou lorsque la liquidation devient inévitable, voire lorsqu’elle peut entrainer l’insolvabilité du créancier. elle peut porter sur les créances futures ou post-sursitaires.</w:t>
      </w:r>
    </w:p>
    <w:p w:rsidR="00F32BEE" w:rsidRDefault="00F32BEE" w:rsidP="00F32BEE">
      <w:pPr>
        <w:pStyle w:val="Paragraphedeliste"/>
        <w:spacing w:line="240" w:lineRule="auto"/>
        <w:ind w:left="786"/>
        <w:rPr>
          <w:rFonts w:ascii="Times New Roman" w:hAnsi="Times New Roman"/>
          <w:sz w:val="24"/>
        </w:rPr>
      </w:pPr>
    </w:p>
    <w:p w:rsidR="00F32BEE" w:rsidRDefault="00F32BEE" w:rsidP="00F32BEE">
      <w:pPr>
        <w:pStyle w:val="Paragraphedeliste"/>
        <w:spacing w:line="240" w:lineRule="auto"/>
        <w:ind w:left="786"/>
        <w:rPr>
          <w:rFonts w:ascii="Times New Roman" w:hAnsi="Times New Roman"/>
          <w:sz w:val="24"/>
        </w:rPr>
      </w:pPr>
      <w:r>
        <w:rPr>
          <w:rFonts w:ascii="Times New Roman" w:hAnsi="Times New Roman"/>
          <w:sz w:val="24"/>
        </w:rPr>
        <w:t>Ce pouvoir est très significatif et de pleine juridiction.</w:t>
      </w:r>
    </w:p>
    <w:p w:rsidR="00F32BEE" w:rsidRDefault="00F32BEE" w:rsidP="00F32BEE">
      <w:pPr>
        <w:pStyle w:val="Paragraphedeliste"/>
        <w:spacing w:line="240" w:lineRule="auto"/>
        <w:ind w:left="786"/>
        <w:rPr>
          <w:rFonts w:ascii="Times New Roman" w:hAnsi="Times New Roman"/>
          <w:sz w:val="24"/>
        </w:rPr>
      </w:pPr>
    </w:p>
    <w:p w:rsidR="00F32BEE" w:rsidRPr="00F32BEE" w:rsidRDefault="00F32BEE" w:rsidP="00F32BEE">
      <w:pPr>
        <w:pStyle w:val="Titre2"/>
        <w:numPr>
          <w:ilvl w:val="2"/>
          <w:numId w:val="12"/>
        </w:numPr>
        <w:rPr>
          <w:rFonts w:ascii="Times New Roman" w:hAnsi="Times New Roman" w:cs="Times New Roman"/>
        </w:rPr>
      </w:pPr>
      <w:bookmarkStart w:id="61" w:name="_Toc55407506"/>
      <w:r w:rsidRPr="00F32BEE">
        <w:rPr>
          <w:rFonts w:ascii="Times New Roman" w:hAnsi="Times New Roman" w:cs="Times New Roman"/>
        </w:rPr>
        <w:t>Le juge et les financement</w:t>
      </w:r>
      <w:bookmarkEnd w:id="61"/>
    </w:p>
    <w:p w:rsidR="00F32BEE" w:rsidRDefault="00F32BEE" w:rsidP="00F32BEE">
      <w:pPr>
        <w:pStyle w:val="Paragraphedeliste"/>
        <w:spacing w:line="240" w:lineRule="auto"/>
        <w:ind w:left="786"/>
        <w:rPr>
          <w:rFonts w:ascii="Times New Roman" w:hAnsi="Times New Roman"/>
          <w:sz w:val="24"/>
        </w:rPr>
      </w:pPr>
    </w:p>
    <w:p w:rsidR="00F32BEE" w:rsidRPr="00F32BEE" w:rsidRDefault="00F32BEE" w:rsidP="00F32BEE">
      <w:pPr>
        <w:pStyle w:val="Paragraphedeliste"/>
        <w:numPr>
          <w:ilvl w:val="0"/>
          <w:numId w:val="2"/>
        </w:numPr>
        <w:spacing w:line="240" w:lineRule="auto"/>
        <w:ind w:hanging="567"/>
        <w:rPr>
          <w:rFonts w:ascii="Times New Roman" w:hAnsi="Times New Roman"/>
          <w:sz w:val="24"/>
        </w:rPr>
      </w:pPr>
      <w:r w:rsidRPr="00F32BEE">
        <w:rPr>
          <w:rFonts w:ascii="Times New Roman" w:hAnsi="Times New Roman"/>
          <w:sz w:val="24"/>
          <w:u w:val="single"/>
        </w:rPr>
        <w:t>Pouvoir du juge</w:t>
      </w:r>
      <w:r>
        <w:rPr>
          <w:rFonts w:ascii="Times New Roman" w:hAnsi="Times New Roman"/>
          <w:sz w:val="24"/>
        </w:rPr>
        <w:t>. Le juge peut devoir approuver ex ante les nouveaux financements ou les transactions liées à la restructuration comme celles utiles à la restructuration, les conseils liés à la restructuration, les contrats de travail et la gestion courante. Il s’agira d’une compétence de plein exercice.</w:t>
      </w:r>
    </w:p>
    <w:p w:rsidR="008064D7" w:rsidRPr="001F4991" w:rsidRDefault="008064D7" w:rsidP="00894C0D">
      <w:pPr>
        <w:spacing w:after="160" w:line="259" w:lineRule="auto"/>
        <w:jc w:val="left"/>
        <w:rPr>
          <w:rFonts w:ascii="Times New Roman" w:hAnsi="Times New Roman"/>
          <w:sz w:val="24"/>
        </w:rPr>
      </w:pPr>
    </w:p>
    <w:p w:rsidR="008064D7" w:rsidRDefault="008064D7">
      <w:pPr>
        <w:spacing w:after="160" w:line="259" w:lineRule="auto"/>
        <w:jc w:val="left"/>
        <w:rPr>
          <w:rFonts w:ascii="Times New Roman" w:eastAsiaTheme="majorEastAsia" w:hAnsi="Times New Roman"/>
          <w:color w:val="2E74B5" w:themeColor="accent1" w:themeShade="BF"/>
          <w:sz w:val="32"/>
          <w:szCs w:val="32"/>
          <w14:shadow w14:blurRad="50800" w14:dist="38100" w14:dir="2700000" w14:sx="100000" w14:sy="100000" w14:kx="0" w14:ky="0" w14:algn="tl">
            <w14:srgbClr w14:val="000000">
              <w14:alpha w14:val="60000"/>
            </w14:srgbClr>
          </w14:shadow>
        </w:rPr>
      </w:pPr>
      <w:r>
        <w:rPr>
          <w:rFonts w:ascii="Times New Roman" w:hAnsi="Times New Roman"/>
          <w14:shadow w14:blurRad="50800" w14:dist="38100" w14:dir="2700000" w14:sx="100000" w14:sy="100000" w14:kx="0" w14:ky="0" w14:algn="tl">
            <w14:srgbClr w14:val="000000">
              <w14:alpha w14:val="60000"/>
            </w14:srgbClr>
          </w14:shadow>
        </w:rPr>
        <w:br w:type="page"/>
      </w:r>
    </w:p>
    <w:p w:rsidR="008064D7" w:rsidRPr="00B108AD" w:rsidRDefault="008064D7" w:rsidP="00CA1CFE">
      <w:pPr>
        <w:pStyle w:val="Titre1"/>
        <w:numPr>
          <w:ilvl w:val="0"/>
          <w:numId w:val="5"/>
        </w:numPr>
        <w:spacing w:before="0" w:line="240" w:lineRule="auto"/>
        <w:rPr>
          <w:rFonts w:ascii="Times New Roman" w:hAnsi="Times New Roman" w:cs="Times New Roman"/>
          <w14:shadow w14:blurRad="50800" w14:dist="38100" w14:dir="2700000" w14:sx="100000" w14:sy="100000" w14:kx="0" w14:ky="0" w14:algn="tl">
            <w14:srgbClr w14:val="000000">
              <w14:alpha w14:val="60000"/>
            </w14:srgbClr>
          </w14:shadow>
        </w:rPr>
      </w:pPr>
      <w:bookmarkStart w:id="62" w:name="_Toc55407507"/>
      <w:r w:rsidRPr="00B108AD">
        <w:rPr>
          <w:rFonts w:ascii="Times New Roman" w:hAnsi="Times New Roman" w:cs="Times New Roman"/>
          <w14:shadow w14:blurRad="50800" w14:dist="38100" w14:dir="2700000" w14:sx="100000" w14:sy="100000" w14:kx="0" w14:ky="0" w14:algn="tl">
            <w14:srgbClr w14:val="000000">
              <w14:alpha w14:val="60000"/>
            </w14:srgbClr>
          </w14:shadow>
        </w:rPr>
        <w:lastRenderedPageBreak/>
        <w:t>V</w:t>
      </w:r>
      <w:r>
        <w:rPr>
          <w:rFonts w:ascii="Times New Roman" w:hAnsi="Times New Roman" w:cs="Times New Roman"/>
          <w14:shadow w14:blurRad="50800" w14:dist="38100" w14:dir="2700000" w14:sx="100000" w14:sy="100000" w14:kx="0" w14:ky="0" w14:algn="tl">
            <w14:srgbClr w14:val="000000">
              <w14:alpha w14:val="60000"/>
            </w14:srgbClr>
          </w14:shadow>
        </w:rPr>
        <w:t xml:space="preserve">aleur et </w:t>
      </w:r>
      <w:r w:rsidRPr="00B108AD">
        <w:rPr>
          <w:rFonts w:ascii="Times New Roman" w:hAnsi="Times New Roman" w:cs="Times New Roman"/>
          <w14:shadow w14:blurRad="50800" w14:dist="38100" w14:dir="2700000" w14:sx="100000" w14:sy="100000" w14:kx="0" w14:ky="0" w14:algn="tl">
            <w14:srgbClr w14:val="000000">
              <w14:alpha w14:val="60000"/>
            </w14:srgbClr>
          </w14:shadow>
        </w:rPr>
        <w:t>administrateurs,</w:t>
      </w:r>
      <w:r>
        <w:rPr>
          <w:rFonts w:ascii="Times New Roman" w:hAnsi="Times New Roman" w:cs="Times New Roman"/>
          <w14:shadow w14:blurRad="50800" w14:dist="38100" w14:dir="2700000" w14:sx="100000" w14:sy="100000" w14:kx="0" w14:ky="0" w14:algn="tl">
            <w14:srgbClr w14:val="000000">
              <w14:alpha w14:val="60000"/>
            </w14:srgbClr>
          </w14:shadow>
        </w:rPr>
        <w:t xml:space="preserve"> médiateurs, avocats, experts </w:t>
      </w:r>
      <w:r w:rsidRPr="00B108AD">
        <w:rPr>
          <w:rFonts w:ascii="Times New Roman" w:hAnsi="Times New Roman" w:cs="Times New Roman"/>
          <w14:shadow w14:blurRad="50800" w14:dist="38100" w14:dir="2700000" w14:sx="100000" w14:sy="100000" w14:kx="0" w14:ky="0" w14:algn="tl">
            <w14:srgbClr w14:val="000000">
              <w14:alpha w14:val="60000"/>
            </w14:srgbClr>
          </w14:shadow>
        </w:rPr>
        <w:t xml:space="preserve">et praticiens de l’insolvabilité </w:t>
      </w:r>
      <w:r>
        <w:rPr>
          <w:rFonts w:ascii="Times New Roman" w:hAnsi="Times New Roman" w:cs="Times New Roman"/>
          <w14:shadow w14:blurRad="50800" w14:dist="38100" w14:dir="2700000" w14:sx="100000" w14:sy="100000" w14:kx="0" w14:ky="0" w14:algn="tl">
            <w14:srgbClr w14:val="000000">
              <w14:alpha w14:val="60000"/>
            </w14:srgbClr>
          </w14:shadow>
        </w:rPr>
        <w:t>– nouvelle pratique</w:t>
      </w:r>
      <w:bookmarkEnd w:id="62"/>
    </w:p>
    <w:p w:rsidR="008064D7" w:rsidRDefault="008064D7" w:rsidP="00EC0CF4">
      <w:pPr>
        <w:spacing w:line="240" w:lineRule="auto"/>
        <w:ind w:left="426"/>
        <w:rPr>
          <w:rFonts w:ascii="Times New Roman" w:hAnsi="Times New Roman"/>
          <w:sz w:val="24"/>
        </w:rPr>
      </w:pPr>
    </w:p>
    <w:p w:rsidR="008064D7" w:rsidRPr="00A51A45" w:rsidRDefault="00F32BEE" w:rsidP="00F32BEE">
      <w:pPr>
        <w:pStyle w:val="Titre2"/>
        <w:numPr>
          <w:ilvl w:val="0"/>
          <w:numId w:val="21"/>
        </w:numPr>
        <w:spacing w:before="0" w:line="240" w:lineRule="auto"/>
        <w:rPr>
          <w:rFonts w:ascii="Times New Roman" w:hAnsi="Times New Roman" w:cs="Times New Roman"/>
        </w:rPr>
      </w:pPr>
      <w:bookmarkStart w:id="63" w:name="_Toc55407508"/>
      <w:r>
        <w:rPr>
          <w:rFonts w:ascii="Times New Roman" w:hAnsi="Times New Roman" w:cs="Times New Roman"/>
        </w:rPr>
        <w:t>Les actionnaires et les dirigeants</w:t>
      </w:r>
      <w:bookmarkEnd w:id="63"/>
    </w:p>
    <w:p w:rsidR="008064D7" w:rsidRDefault="008064D7" w:rsidP="00F32BEE">
      <w:pPr>
        <w:pStyle w:val="Titre2"/>
        <w:spacing w:before="0" w:line="240" w:lineRule="auto"/>
      </w:pPr>
      <w:r>
        <w:t xml:space="preserve"> </w:t>
      </w:r>
    </w:p>
    <w:p w:rsidR="008064D7" w:rsidRDefault="008064D7" w:rsidP="00F32BEE">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Les dirigeants</w:t>
      </w:r>
      <w:r w:rsidRPr="00983696">
        <w:rPr>
          <w:rStyle w:val="Appelnotedebasdep"/>
          <w:rFonts w:ascii="Times New Roman" w:hAnsi="Times New Roman"/>
          <w:sz w:val="24"/>
        </w:rPr>
        <w:footnoteReference w:id="371"/>
      </w:r>
      <w:r w:rsidRPr="007F74C3">
        <w:rPr>
          <w:rFonts w:ascii="Times New Roman" w:hAnsi="Times New Roman"/>
          <w:sz w:val="24"/>
        </w:rPr>
        <w:t xml:space="preserve"> ont</w:t>
      </w:r>
      <w:r>
        <w:rPr>
          <w:rFonts w:ascii="Times New Roman" w:hAnsi="Times New Roman"/>
          <w:sz w:val="24"/>
        </w:rPr>
        <w:t>, par la directive qui devra être transposée,</w:t>
      </w:r>
      <w:r w:rsidRPr="007F74C3">
        <w:rPr>
          <w:rFonts w:ascii="Times New Roman" w:hAnsi="Times New Roman"/>
          <w:sz w:val="24"/>
        </w:rPr>
        <w:t xml:space="preserve"> l’obligation de </w:t>
      </w:r>
      <w:r w:rsidR="00F32BEE">
        <w:rPr>
          <w:rFonts w:ascii="Times New Roman" w:hAnsi="Times New Roman"/>
          <w:sz w:val="24"/>
        </w:rPr>
        <w:t>faire</w:t>
      </w:r>
      <w:r w:rsidRPr="007F74C3">
        <w:rPr>
          <w:rFonts w:ascii="Times New Roman" w:hAnsi="Times New Roman"/>
          <w:sz w:val="24"/>
        </w:rPr>
        <w:t xml:space="preserve"> attention aux intérêts des créanciers et des détenteurs d’intérêts parmi lesquels les actionnaires et les autres parties prenantes, en évitant les négligences importantes qui mettent en cause la viabilité de l’activité. </w:t>
      </w:r>
      <w:r w:rsidRPr="00E8352C">
        <w:rPr>
          <w:rFonts w:ascii="Times New Roman" w:hAnsi="Times New Roman"/>
          <w:sz w:val="24"/>
        </w:rPr>
        <w:t>Ils doivent aussi « </w:t>
      </w:r>
      <w:r w:rsidRPr="00E8352C">
        <w:rPr>
          <w:rFonts w:ascii="Times New Roman" w:hAnsi="Times New Roman"/>
          <w:i/>
          <w:sz w:val="24"/>
        </w:rPr>
        <w:t>minimiser</w:t>
      </w:r>
      <w:r w:rsidRPr="00E8352C">
        <w:rPr>
          <w:rFonts w:ascii="Times New Roman" w:hAnsi="Times New Roman"/>
          <w:sz w:val="24"/>
        </w:rPr>
        <w:t> </w:t>
      </w:r>
      <w:r w:rsidRPr="00E8352C">
        <w:rPr>
          <w:rFonts w:ascii="Times New Roman" w:hAnsi="Times New Roman"/>
          <w:i/>
          <w:sz w:val="24"/>
        </w:rPr>
        <w:t>la perte pour les créanciers, tenir compte des intérêts des créanciers »</w:t>
      </w:r>
      <w:r>
        <w:rPr>
          <w:rFonts w:ascii="Times New Roman" w:hAnsi="Times New Roman"/>
          <w:i/>
          <w:sz w:val="24"/>
        </w:rPr>
        <w:t xml:space="preserve">. </w:t>
      </w:r>
      <w:r>
        <w:rPr>
          <w:rFonts w:ascii="Times New Roman" w:hAnsi="Times New Roman"/>
          <w:sz w:val="24"/>
        </w:rPr>
        <w:t xml:space="preserve">Ils reçoivent une forme de mission </w:t>
      </w:r>
      <w:r w:rsidR="00C77C26">
        <w:rPr>
          <w:rFonts w:ascii="Times New Roman" w:hAnsi="Times New Roman"/>
          <w:sz w:val="24"/>
        </w:rPr>
        <w:t>fiduciaire</w:t>
      </w:r>
      <w:r>
        <w:rPr>
          <w:rFonts w:ascii="Times New Roman" w:hAnsi="Times New Roman"/>
          <w:sz w:val="24"/>
        </w:rPr>
        <w:t xml:space="preserve"> au profit des </w:t>
      </w:r>
      <w:r w:rsidRPr="004352DF">
        <w:rPr>
          <w:rFonts w:ascii="Times New Roman" w:hAnsi="Times New Roman"/>
          <w:i/>
          <w:sz w:val="24"/>
        </w:rPr>
        <w:t>stakeholders</w:t>
      </w:r>
      <w:r>
        <w:rPr>
          <w:rFonts w:ascii="Times New Roman" w:hAnsi="Times New Roman"/>
          <w:sz w:val="24"/>
        </w:rPr>
        <w:t xml:space="preserve"> qu’ils doivent mener avec une certaine forme d’indépendance.</w:t>
      </w:r>
    </w:p>
    <w:p w:rsidR="00C77C26" w:rsidRDefault="00C77C26" w:rsidP="00C77C26">
      <w:pPr>
        <w:pStyle w:val="Paragraphedeliste"/>
        <w:spacing w:line="240" w:lineRule="auto"/>
        <w:ind w:left="786"/>
        <w:rPr>
          <w:rFonts w:ascii="Times New Roman" w:hAnsi="Times New Roman"/>
          <w:sz w:val="24"/>
        </w:rPr>
      </w:pPr>
    </w:p>
    <w:p w:rsidR="00C77C26" w:rsidRDefault="00C77C26" w:rsidP="00C77C26">
      <w:pPr>
        <w:pStyle w:val="Paragraphedeliste"/>
        <w:spacing w:line="240" w:lineRule="auto"/>
        <w:ind w:left="786"/>
        <w:rPr>
          <w:rFonts w:ascii="Times New Roman" w:hAnsi="Times New Roman"/>
          <w:sz w:val="24"/>
        </w:rPr>
      </w:pPr>
      <w:r>
        <w:rPr>
          <w:rFonts w:ascii="Times New Roman" w:hAnsi="Times New Roman"/>
          <w:sz w:val="24"/>
        </w:rPr>
        <w:t>La règle est aussi issue de la pratique américaine.</w:t>
      </w:r>
    </w:p>
    <w:p w:rsidR="00C77C26" w:rsidRDefault="00C77C26" w:rsidP="00C77C26">
      <w:pPr>
        <w:pStyle w:val="Paragraphedeliste"/>
        <w:spacing w:line="240" w:lineRule="auto"/>
        <w:ind w:left="786"/>
        <w:rPr>
          <w:rFonts w:ascii="Times New Roman" w:hAnsi="Times New Roman"/>
          <w:sz w:val="24"/>
        </w:rPr>
      </w:pPr>
    </w:p>
    <w:p w:rsidR="00C77C26" w:rsidRDefault="00C77C26" w:rsidP="00C77C26">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Les actionnaires </w:t>
      </w:r>
      <w:r>
        <w:rPr>
          <w:rFonts w:ascii="Times New Roman" w:hAnsi="Times New Roman"/>
          <w:sz w:val="24"/>
        </w:rPr>
        <w:t>: leur rôle devient plus important. Ils peuvent subir les contraintes nouvelles de la directive : être réunis en une classe et subir un abattement de leurs droits, subir une augmentation de capital dilatoire, être privés des pouvoirs de décision, notamment de limiter le recours à une restructuration.</w:t>
      </w:r>
    </w:p>
    <w:p w:rsidR="00C77C26" w:rsidRDefault="00C77C26" w:rsidP="00C77C26">
      <w:pPr>
        <w:pStyle w:val="Paragraphedeliste"/>
        <w:spacing w:line="240" w:lineRule="auto"/>
        <w:ind w:left="786"/>
        <w:rPr>
          <w:rFonts w:ascii="Times New Roman" w:hAnsi="Times New Roman"/>
          <w:sz w:val="24"/>
          <w:u w:val="single"/>
        </w:rPr>
      </w:pPr>
    </w:p>
    <w:p w:rsidR="00C77C26" w:rsidRDefault="00C77C26" w:rsidP="00C77C26">
      <w:pPr>
        <w:pStyle w:val="Paragraphedeliste"/>
        <w:spacing w:line="240" w:lineRule="auto"/>
        <w:ind w:left="786"/>
        <w:rPr>
          <w:rFonts w:ascii="Times New Roman" w:hAnsi="Times New Roman"/>
          <w:sz w:val="24"/>
        </w:rPr>
      </w:pPr>
      <w:r>
        <w:rPr>
          <w:rFonts w:ascii="Times New Roman" w:hAnsi="Times New Roman"/>
          <w:sz w:val="24"/>
        </w:rPr>
        <w:t>Ils peuvent aussi avoir des opportunités : participer à des augmentations de capital en apportant de la « </w:t>
      </w:r>
      <w:r>
        <w:rPr>
          <w:rFonts w:ascii="Times New Roman" w:hAnsi="Times New Roman"/>
          <w:i/>
          <w:sz w:val="24"/>
        </w:rPr>
        <w:t>New-Value »</w:t>
      </w:r>
      <w:r>
        <w:rPr>
          <w:rFonts w:ascii="Times New Roman" w:hAnsi="Times New Roman"/>
          <w:sz w:val="24"/>
        </w:rPr>
        <w:t xml:space="preserve"> ou en préservant la valeur des actions existantes.</w:t>
      </w:r>
    </w:p>
    <w:p w:rsidR="00C77C26" w:rsidRDefault="00C77C26" w:rsidP="00C77C26">
      <w:pPr>
        <w:pStyle w:val="Paragraphedeliste"/>
        <w:spacing w:line="240" w:lineRule="auto"/>
        <w:ind w:left="786"/>
        <w:rPr>
          <w:rFonts w:ascii="Times New Roman" w:hAnsi="Times New Roman"/>
          <w:sz w:val="24"/>
        </w:rPr>
      </w:pPr>
    </w:p>
    <w:p w:rsidR="00C77C26" w:rsidRPr="00C77C26" w:rsidRDefault="00C77C26" w:rsidP="00C77C26">
      <w:pPr>
        <w:pStyle w:val="Titre2"/>
        <w:numPr>
          <w:ilvl w:val="0"/>
          <w:numId w:val="21"/>
        </w:numPr>
        <w:spacing w:before="0" w:line="240" w:lineRule="auto"/>
        <w:rPr>
          <w:rFonts w:ascii="Times New Roman" w:hAnsi="Times New Roman" w:cs="Times New Roman"/>
        </w:rPr>
      </w:pPr>
      <w:bookmarkStart w:id="64" w:name="_Toc55407509"/>
      <w:r w:rsidRPr="00C77C26">
        <w:rPr>
          <w:rFonts w:ascii="Times New Roman" w:hAnsi="Times New Roman" w:cs="Times New Roman"/>
        </w:rPr>
        <w:t>Les professionnels de l’insolvabilité</w:t>
      </w:r>
      <w:bookmarkEnd w:id="64"/>
    </w:p>
    <w:p w:rsidR="008064D7" w:rsidRPr="00E8352C" w:rsidRDefault="008064D7" w:rsidP="00E8352C">
      <w:pPr>
        <w:spacing w:line="240" w:lineRule="auto"/>
        <w:rPr>
          <w:rFonts w:ascii="Times New Roman" w:hAnsi="Times New Roman"/>
          <w:sz w:val="24"/>
        </w:rPr>
      </w:pPr>
    </w:p>
    <w:p w:rsidR="008064D7" w:rsidRPr="00C77C26" w:rsidRDefault="008064D7" w:rsidP="009D49E2">
      <w:pPr>
        <w:pStyle w:val="Paragraphedeliste"/>
        <w:numPr>
          <w:ilvl w:val="0"/>
          <w:numId w:val="2"/>
        </w:numPr>
        <w:spacing w:line="240" w:lineRule="auto"/>
        <w:ind w:hanging="567"/>
        <w:rPr>
          <w:rFonts w:ascii="Times New Roman" w:hAnsi="Times New Roman"/>
          <w:sz w:val="24"/>
        </w:rPr>
      </w:pPr>
      <w:r w:rsidRPr="00C77C26">
        <w:rPr>
          <w:rFonts w:ascii="Times New Roman" w:hAnsi="Times New Roman"/>
          <w:sz w:val="24"/>
          <w:u w:val="single"/>
        </w:rPr>
        <w:t>Les praticiens de l’insolvabilité.</w:t>
      </w:r>
      <w:r w:rsidRPr="00C77C26">
        <w:rPr>
          <w:rFonts w:ascii="Times New Roman" w:hAnsi="Times New Roman"/>
          <w:sz w:val="24"/>
        </w:rPr>
        <w:t xml:space="preserve"> L’article 5 </w:t>
      </w:r>
      <w:r w:rsidRPr="00C77C26">
        <w:rPr>
          <w:rFonts w:ascii="Times New Roman" w:hAnsi="Times New Roman"/>
          <w:sz w:val="24"/>
          <w:u w:val="single"/>
        </w:rPr>
        <w:t>permet</w:t>
      </w:r>
      <w:r w:rsidRPr="00C77C26">
        <w:rPr>
          <w:rFonts w:ascii="Times New Roman" w:hAnsi="Times New Roman"/>
          <w:sz w:val="24"/>
        </w:rPr>
        <w:t xml:space="preserve"> à la législation nationale de prévoir la désignation d’un praticien de l’insolvabilité dans les cas qu’elle fixe tandis que cette désignation </w:t>
      </w:r>
      <w:r w:rsidRPr="00C77C26">
        <w:rPr>
          <w:rFonts w:ascii="Times New Roman" w:hAnsi="Times New Roman"/>
          <w:sz w:val="24"/>
          <w:u w:val="single"/>
        </w:rPr>
        <w:t xml:space="preserve">est </w:t>
      </w:r>
      <w:r w:rsidR="00C77C26" w:rsidRPr="00C77C26">
        <w:rPr>
          <w:rFonts w:ascii="Times New Roman" w:hAnsi="Times New Roman"/>
          <w:sz w:val="24"/>
          <w:u w:val="single"/>
        </w:rPr>
        <w:t>imposée</w:t>
      </w:r>
      <w:r w:rsidRPr="00C77C26">
        <w:rPr>
          <w:rFonts w:ascii="Times New Roman" w:hAnsi="Times New Roman"/>
          <w:sz w:val="24"/>
        </w:rPr>
        <w:t xml:space="preserve"> dans le cas de l’application interclasse</w:t>
      </w:r>
      <w:r w:rsidR="00C77C26" w:rsidRPr="00C77C26">
        <w:rPr>
          <w:rFonts w:ascii="Times New Roman" w:hAnsi="Times New Roman"/>
          <w:sz w:val="24"/>
        </w:rPr>
        <w:t xml:space="preserve"> et dans le</w:t>
      </w:r>
      <w:r w:rsidRPr="00C77C26">
        <w:rPr>
          <w:rFonts w:ascii="Times New Roman" w:hAnsi="Times New Roman"/>
          <w:sz w:val="24"/>
        </w:rPr>
        <w:t xml:space="preserve"> cas de la suspension générale des</w:t>
      </w:r>
      <w:r w:rsidR="00C77C26" w:rsidRPr="00C77C26">
        <w:rPr>
          <w:rFonts w:ascii="Times New Roman" w:hAnsi="Times New Roman"/>
          <w:sz w:val="24"/>
        </w:rPr>
        <w:t xml:space="preserve"> poursuites.</w:t>
      </w:r>
      <w:r w:rsidRPr="00C77C26">
        <w:rPr>
          <w:rFonts w:ascii="Times New Roman" w:hAnsi="Times New Roman"/>
          <w:sz w:val="24"/>
        </w:rPr>
        <w:t xml:space="preserve"> </w:t>
      </w:r>
      <w:r w:rsidR="00C77C26" w:rsidRPr="00C77C26">
        <w:rPr>
          <w:rFonts w:ascii="Times New Roman" w:hAnsi="Times New Roman"/>
          <w:sz w:val="24"/>
        </w:rPr>
        <w:t>L</w:t>
      </w:r>
      <w:r w:rsidRPr="00C77C26">
        <w:rPr>
          <w:rFonts w:ascii="Times New Roman" w:hAnsi="Times New Roman"/>
          <w:sz w:val="24"/>
        </w:rPr>
        <w:t>e juge doit avoir la possibilité de désigner un tel praticien pour préserver les intérêts des parties.</w:t>
      </w:r>
      <w:r w:rsidR="00C77C26">
        <w:rPr>
          <w:rFonts w:ascii="Times New Roman" w:hAnsi="Times New Roman"/>
          <w:sz w:val="24"/>
        </w:rPr>
        <w:t xml:space="preserve"> </w:t>
      </w:r>
      <w:r w:rsidRPr="00C77C26">
        <w:rPr>
          <w:rFonts w:ascii="Times New Roman" w:hAnsi="Times New Roman"/>
          <w:sz w:val="24"/>
        </w:rPr>
        <w:t xml:space="preserve">Ainsi, lorsque la valeur </w:t>
      </w:r>
      <w:r w:rsidRPr="00C77C26">
        <w:rPr>
          <w:rFonts w:ascii="Times New Roman" w:hAnsi="Times New Roman"/>
          <w:i/>
          <w:sz w:val="24"/>
        </w:rPr>
        <w:t>going-concern</w:t>
      </w:r>
      <w:r w:rsidRPr="00C77C26">
        <w:rPr>
          <w:rFonts w:ascii="Times New Roman" w:hAnsi="Times New Roman"/>
          <w:sz w:val="24"/>
        </w:rPr>
        <w:t xml:space="preserve"> devient un élément-clé de la procédure – et, en particulier, en présence d’un </w:t>
      </w:r>
      <w:r w:rsidRPr="00C77C26">
        <w:rPr>
          <w:rFonts w:ascii="Times New Roman" w:hAnsi="Times New Roman"/>
          <w:i/>
          <w:sz w:val="24"/>
        </w:rPr>
        <w:t>Cram-down</w:t>
      </w:r>
      <w:r w:rsidRPr="00C77C26">
        <w:rPr>
          <w:rFonts w:ascii="Times New Roman" w:hAnsi="Times New Roman"/>
          <w:sz w:val="24"/>
        </w:rPr>
        <w:t xml:space="preserve">, la directive organise une double sécurité d’objectivité : celle pesant sur l’administrateur que nous avons décrit et celle créée par la désignation d’un praticien. </w:t>
      </w:r>
    </w:p>
    <w:p w:rsidR="008064D7" w:rsidRDefault="008064D7" w:rsidP="00EC0CF4">
      <w:pPr>
        <w:pStyle w:val="Paragraphedeliste"/>
        <w:spacing w:line="240" w:lineRule="auto"/>
        <w:ind w:left="786"/>
        <w:rPr>
          <w:rFonts w:ascii="Times New Roman" w:hAnsi="Times New Roman"/>
          <w:sz w:val="24"/>
        </w:rPr>
      </w:pPr>
    </w:p>
    <w:p w:rsidR="008064D7" w:rsidRDefault="008064D7" w:rsidP="00EC0CF4">
      <w:pPr>
        <w:pStyle w:val="Paragraphedeliste"/>
        <w:spacing w:line="240" w:lineRule="auto"/>
        <w:ind w:left="786"/>
        <w:rPr>
          <w:rFonts w:ascii="Times New Roman" w:hAnsi="Times New Roman"/>
          <w:sz w:val="24"/>
        </w:rPr>
      </w:pPr>
      <w:r>
        <w:rPr>
          <w:rFonts w:ascii="Times New Roman" w:hAnsi="Times New Roman"/>
          <w:sz w:val="24"/>
        </w:rPr>
        <w:t>Défini à l’article 2.1, 12°</w:t>
      </w:r>
      <w:r w:rsidR="00C77C26">
        <w:rPr>
          <w:rFonts w:ascii="Times New Roman" w:hAnsi="Times New Roman"/>
          <w:sz w:val="24"/>
        </w:rPr>
        <w:t xml:space="preserve"> de la directive</w:t>
      </w:r>
      <w:r>
        <w:rPr>
          <w:rFonts w:ascii="Times New Roman" w:hAnsi="Times New Roman"/>
          <w:sz w:val="24"/>
        </w:rPr>
        <w:t xml:space="preserve">, le praticien peut assister le débiteur </w:t>
      </w:r>
      <w:r>
        <w:rPr>
          <w:rFonts w:ascii="Times New Roman" w:hAnsi="Times New Roman"/>
          <w:sz w:val="24"/>
          <w:u w:val="single"/>
        </w:rPr>
        <w:t>ou</w:t>
      </w:r>
      <w:r>
        <w:rPr>
          <w:rFonts w:ascii="Times New Roman" w:hAnsi="Times New Roman"/>
          <w:sz w:val="24"/>
        </w:rPr>
        <w:t xml:space="preserve"> les créanciers (qui pourraient donc pouvoir demander la désignation pour </w:t>
      </w:r>
      <w:r w:rsidRPr="007C17D3">
        <w:rPr>
          <w:rFonts w:ascii="Times New Roman" w:hAnsi="Times New Roman"/>
          <w:i/>
          <w:sz w:val="24"/>
        </w:rPr>
        <w:t>Fair</w:t>
      </w:r>
      <w:r>
        <w:rPr>
          <w:rFonts w:ascii="Times New Roman" w:hAnsi="Times New Roman"/>
          <w:sz w:val="24"/>
        </w:rPr>
        <w:t>e respecter leurs devoirs judiciaires) dans la rédaction du plan – et donc dans la constitution des classes et la détermination des valeurs – et contrôler l’activité du débiteur pendant cette négociation.</w:t>
      </w:r>
    </w:p>
    <w:p w:rsidR="008064D7" w:rsidRDefault="008064D7" w:rsidP="00EC0CF4">
      <w:pPr>
        <w:pStyle w:val="Paragraphedeliste"/>
        <w:spacing w:line="240" w:lineRule="auto"/>
        <w:ind w:left="786"/>
        <w:rPr>
          <w:rFonts w:ascii="Times New Roman" w:hAnsi="Times New Roman"/>
          <w:sz w:val="24"/>
        </w:rPr>
      </w:pPr>
    </w:p>
    <w:p w:rsidR="008064D7" w:rsidRDefault="008064D7" w:rsidP="00EC0CF4">
      <w:pPr>
        <w:pStyle w:val="Paragraphedeliste"/>
        <w:spacing w:line="240" w:lineRule="auto"/>
        <w:ind w:left="786"/>
        <w:rPr>
          <w:rFonts w:ascii="Times New Roman" w:hAnsi="Times New Roman"/>
          <w:sz w:val="24"/>
        </w:rPr>
      </w:pPr>
      <w:r>
        <w:rPr>
          <w:rFonts w:ascii="Times New Roman" w:hAnsi="Times New Roman"/>
          <w:sz w:val="24"/>
        </w:rPr>
        <w:t>Le praticien de l’insolvabi</w:t>
      </w:r>
      <w:r w:rsidR="00C77C26">
        <w:rPr>
          <w:rFonts w:ascii="Times New Roman" w:hAnsi="Times New Roman"/>
          <w:sz w:val="24"/>
        </w:rPr>
        <w:t>lité ainsi désigné objectivera l</w:t>
      </w:r>
      <w:r>
        <w:rPr>
          <w:rFonts w:ascii="Times New Roman" w:hAnsi="Times New Roman"/>
          <w:sz w:val="24"/>
        </w:rPr>
        <w:t>es valeurs</w:t>
      </w:r>
      <w:r w:rsidR="00C77C26">
        <w:rPr>
          <w:rFonts w:ascii="Times New Roman" w:hAnsi="Times New Roman"/>
          <w:sz w:val="24"/>
        </w:rPr>
        <w:t xml:space="preserve"> de liquidation ou going-concern</w:t>
      </w:r>
      <w:r>
        <w:rPr>
          <w:rFonts w:ascii="Times New Roman" w:hAnsi="Times New Roman"/>
          <w:sz w:val="24"/>
        </w:rPr>
        <w:t>. Il ne s’agit pas de désigner des experts comme, par exemple, des professionnels du chiffre – même s’ils pourront être désignés de concert avec le praticien au profit du juge – puisqu’il s’agit de proposer des valeurs minimales et maximales, basées sur des hypothèses souvent juridiques, basées sur des scénarios souvent lié</w:t>
      </w:r>
      <w:r w:rsidR="00C77C26">
        <w:rPr>
          <w:rFonts w:ascii="Times New Roman" w:hAnsi="Times New Roman"/>
          <w:sz w:val="24"/>
        </w:rPr>
        <w:t>s</w:t>
      </w:r>
      <w:r>
        <w:rPr>
          <w:rFonts w:ascii="Times New Roman" w:hAnsi="Times New Roman"/>
          <w:sz w:val="24"/>
        </w:rPr>
        <w:t xml:space="preserve"> aux procédures d’insolvabilité afin d’aider le juge à trancher. Il s’agira de </w:t>
      </w:r>
      <w:r>
        <w:rPr>
          <w:rFonts w:ascii="Times New Roman" w:hAnsi="Times New Roman"/>
          <w:sz w:val="24"/>
        </w:rPr>
        <w:lastRenderedPageBreak/>
        <w:t xml:space="preserve">professionnels aguerris aux procédures d’insolvabilité plus juristes que purement financières même si un mélange des compétences est utile. </w:t>
      </w:r>
    </w:p>
    <w:p w:rsidR="008064D7" w:rsidRDefault="008064D7" w:rsidP="00EC0CF4">
      <w:pPr>
        <w:pStyle w:val="Paragraphedeliste"/>
        <w:spacing w:line="240" w:lineRule="auto"/>
        <w:ind w:left="786"/>
        <w:rPr>
          <w:rFonts w:ascii="Times New Roman" w:hAnsi="Times New Roman"/>
          <w:sz w:val="24"/>
        </w:rPr>
      </w:pPr>
    </w:p>
    <w:p w:rsidR="008064D7" w:rsidRPr="00E679DF" w:rsidRDefault="008064D7" w:rsidP="00F32BEE">
      <w:pPr>
        <w:pStyle w:val="Paragraphedeliste"/>
        <w:numPr>
          <w:ilvl w:val="0"/>
          <w:numId w:val="2"/>
        </w:numPr>
        <w:spacing w:line="240" w:lineRule="auto"/>
        <w:ind w:hanging="567"/>
        <w:rPr>
          <w:rFonts w:ascii="Times New Roman" w:hAnsi="Times New Roman"/>
          <w:sz w:val="24"/>
        </w:rPr>
      </w:pPr>
      <w:r w:rsidRPr="00E679DF">
        <w:rPr>
          <w:rFonts w:ascii="Times New Roman" w:hAnsi="Times New Roman"/>
          <w:sz w:val="24"/>
          <w:u w:val="single"/>
        </w:rPr>
        <w:t>Le test de</w:t>
      </w:r>
      <w:r w:rsidR="00C77C26">
        <w:rPr>
          <w:rFonts w:ascii="Times New Roman" w:hAnsi="Times New Roman"/>
          <w:sz w:val="24"/>
          <w:u w:val="single"/>
        </w:rPr>
        <w:t xml:space="preserve"> marché : le mandataire prépack </w:t>
      </w:r>
      <w:r w:rsidR="00C77C26" w:rsidRPr="00C77C26">
        <w:rPr>
          <w:rFonts w:ascii="Times New Roman" w:hAnsi="Times New Roman"/>
          <w:sz w:val="24"/>
        </w:rPr>
        <w:t>peut aider</w:t>
      </w:r>
      <w:r w:rsidR="00C77C26">
        <w:rPr>
          <w:rFonts w:ascii="Times New Roman" w:hAnsi="Times New Roman"/>
          <w:sz w:val="24"/>
        </w:rPr>
        <w:t xml:space="preserve"> à réaliser un test de marché sur la valeur going-concern ou la valeur de liquidation de l’actif ou du débiteur</w:t>
      </w:r>
      <w:r>
        <w:rPr>
          <w:rStyle w:val="Appelnotedebasdep"/>
          <w:rFonts w:ascii="Times New Roman" w:hAnsi="Times New Roman"/>
          <w:sz w:val="24"/>
        </w:rPr>
        <w:footnoteReference w:id="372"/>
      </w:r>
      <w:r w:rsidRPr="00E679DF">
        <w:rPr>
          <w:rFonts w:ascii="Times New Roman" w:hAnsi="Times New Roman"/>
          <w:sz w:val="24"/>
        </w:rPr>
        <w:t xml:space="preserve">. </w:t>
      </w:r>
    </w:p>
    <w:p w:rsidR="008064D7" w:rsidRDefault="008064D7" w:rsidP="00EC0CF4">
      <w:pPr>
        <w:pStyle w:val="Paragraphedeliste"/>
        <w:spacing w:line="240" w:lineRule="auto"/>
        <w:ind w:left="786"/>
        <w:rPr>
          <w:rFonts w:ascii="Times New Roman" w:hAnsi="Times New Roman"/>
          <w:sz w:val="24"/>
        </w:rPr>
      </w:pPr>
    </w:p>
    <w:p w:rsidR="008064D7" w:rsidRDefault="008064D7" w:rsidP="00EC0CF4">
      <w:pPr>
        <w:pStyle w:val="Paragraphedeliste"/>
        <w:spacing w:line="240" w:lineRule="auto"/>
        <w:ind w:left="786"/>
        <w:rPr>
          <w:rFonts w:ascii="Times New Roman" w:hAnsi="Times New Roman"/>
          <w:sz w:val="24"/>
        </w:rPr>
      </w:pPr>
      <w:r>
        <w:rPr>
          <w:rFonts w:ascii="Times New Roman" w:hAnsi="Times New Roman"/>
          <w:sz w:val="24"/>
        </w:rPr>
        <w:t>Dans plusieurs dossiers</w:t>
      </w:r>
      <w:r>
        <w:rPr>
          <w:rStyle w:val="Appelnotedebasdep"/>
          <w:rFonts w:ascii="Times New Roman" w:hAnsi="Times New Roman"/>
          <w:sz w:val="24"/>
        </w:rPr>
        <w:footnoteReference w:id="373"/>
      </w:r>
      <w:r>
        <w:rPr>
          <w:rFonts w:ascii="Times New Roman" w:hAnsi="Times New Roman"/>
          <w:sz w:val="24"/>
        </w:rPr>
        <w:t xml:space="preserve">, la désignation d’un médiateur ou d’un mandataire a permis de mettre en place des procédures </w:t>
      </w:r>
      <w:r w:rsidR="00C77C26">
        <w:rPr>
          <w:rFonts w:ascii="Times New Roman" w:hAnsi="Times New Roman"/>
          <w:sz w:val="24"/>
        </w:rPr>
        <w:t>d’appel d’offres</w:t>
      </w:r>
      <w:r>
        <w:rPr>
          <w:rFonts w:ascii="Times New Roman" w:hAnsi="Times New Roman"/>
          <w:sz w:val="24"/>
        </w:rPr>
        <w:t xml:space="preserve"> – avec Data Room – qui ont permis d’objectiver ces valeurs sur base du marché. Dans d’autres, des curateurs ont pu indiquer ce qui, d’après eux, représentait la valeur de faillite d’actifs incorporels tandis que les professionnels du secteur économique concerné pouvaient indiquer les ratios usuels de valorisation ou les valeurs des comparables. Si le droit ne le prévoit pas </w:t>
      </w:r>
      <w:r w:rsidRPr="004352DF">
        <w:rPr>
          <w:rFonts w:ascii="Times New Roman" w:hAnsi="Times New Roman"/>
          <w:i/>
          <w:sz w:val="24"/>
        </w:rPr>
        <w:t>expressis verbis</w:t>
      </w:r>
      <w:r>
        <w:rPr>
          <w:rFonts w:ascii="Times New Roman" w:hAnsi="Times New Roman"/>
          <w:sz w:val="24"/>
        </w:rPr>
        <w:t>, une utilisation créative ne l’empêche pas.</w:t>
      </w:r>
    </w:p>
    <w:p w:rsidR="008064D7" w:rsidRDefault="008064D7" w:rsidP="00EC0CF4">
      <w:pPr>
        <w:pStyle w:val="Paragraphedeliste"/>
        <w:spacing w:line="240" w:lineRule="auto"/>
        <w:ind w:left="786"/>
        <w:rPr>
          <w:rFonts w:ascii="Times New Roman" w:hAnsi="Times New Roman"/>
          <w:sz w:val="24"/>
        </w:rPr>
      </w:pPr>
    </w:p>
    <w:p w:rsidR="008064D7" w:rsidRPr="00E679DF" w:rsidRDefault="00C77C26" w:rsidP="00E679DF">
      <w:pPr>
        <w:pStyle w:val="Paragraphedeliste"/>
        <w:spacing w:line="240" w:lineRule="auto"/>
        <w:ind w:left="786"/>
        <w:rPr>
          <w:rFonts w:ascii="Times New Roman" w:hAnsi="Times New Roman"/>
          <w:sz w:val="24"/>
        </w:rPr>
      </w:pPr>
      <w:r>
        <w:rPr>
          <w:rFonts w:ascii="Times New Roman" w:hAnsi="Times New Roman"/>
          <w:sz w:val="24"/>
        </w:rPr>
        <w:t>Ces procédures sont nécessaires en présence de situation particulière : l</w:t>
      </w:r>
      <w:r w:rsidR="008064D7">
        <w:rPr>
          <w:rFonts w:ascii="Times New Roman" w:hAnsi="Times New Roman"/>
          <w:sz w:val="24"/>
        </w:rPr>
        <w:t xml:space="preserve">es transactions en droit commun se valorisent par le prix payé sur un marché pertinent. Le marché très ouvert et très liquide comme, par exemple, la bourse, la vente immobilière, les œuvres d’arts permettent de juger d’une valeur pas trop éloignée du prix que paiera probablement un candidat acquéreur. Sur des marchés plus fermés, la valeur est directement proportionnelle à la capacité de trouver, dans le temps imparti, un ou plusieurs acquéreurs. La notion même de valeur de marché est donc relative. </w:t>
      </w:r>
      <w:r w:rsidR="008064D7" w:rsidRPr="00E679DF">
        <w:rPr>
          <w:rFonts w:ascii="Times New Roman" w:hAnsi="Times New Roman"/>
          <w:sz w:val="24"/>
        </w:rPr>
        <w:t xml:space="preserve">S’il existe un marché pour des actifs ou des activités en </w:t>
      </w:r>
      <w:r w:rsidR="008064D7" w:rsidRPr="004352DF">
        <w:rPr>
          <w:rFonts w:ascii="Times New Roman" w:hAnsi="Times New Roman"/>
          <w:i/>
          <w:sz w:val="24"/>
        </w:rPr>
        <w:t>Distress</w:t>
      </w:r>
      <w:r w:rsidR="008064D7" w:rsidRPr="00E679DF">
        <w:rPr>
          <w:rFonts w:ascii="Times New Roman" w:hAnsi="Times New Roman"/>
          <w:sz w:val="24"/>
        </w:rPr>
        <w:t xml:space="preserve"> – car le </w:t>
      </w:r>
      <w:r w:rsidR="008064D7" w:rsidRPr="004352DF">
        <w:rPr>
          <w:rFonts w:ascii="Times New Roman" w:hAnsi="Times New Roman"/>
          <w:i/>
          <w:sz w:val="24"/>
        </w:rPr>
        <w:t>distress</w:t>
      </w:r>
      <w:r w:rsidR="008064D7" w:rsidRPr="00E679DF">
        <w:rPr>
          <w:rFonts w:ascii="Times New Roman" w:hAnsi="Times New Roman"/>
          <w:sz w:val="24"/>
        </w:rPr>
        <w:t xml:space="preserve"> crée des conditions particulières qui affectent l’objet à é</w:t>
      </w:r>
      <w:r w:rsidR="008064D7" w:rsidRPr="007C17D3">
        <w:rPr>
          <w:rFonts w:ascii="Times New Roman" w:hAnsi="Times New Roman"/>
          <w:i/>
          <w:sz w:val="24"/>
        </w:rPr>
        <w:t>value</w:t>
      </w:r>
      <w:r w:rsidR="008064D7" w:rsidRPr="00E679DF">
        <w:rPr>
          <w:rFonts w:ascii="Times New Roman" w:hAnsi="Times New Roman"/>
          <w:sz w:val="24"/>
        </w:rPr>
        <w:t xml:space="preserve">r et restreint le nombre d’acteurs susceptibles de </w:t>
      </w:r>
      <w:r w:rsidR="008064D7" w:rsidRPr="007C17D3">
        <w:rPr>
          <w:rFonts w:ascii="Times New Roman" w:hAnsi="Times New Roman"/>
          <w:i/>
          <w:sz w:val="24"/>
        </w:rPr>
        <w:t>Fair</w:t>
      </w:r>
      <w:r w:rsidR="008064D7" w:rsidRPr="00E679DF">
        <w:rPr>
          <w:rFonts w:ascii="Times New Roman" w:hAnsi="Times New Roman"/>
          <w:sz w:val="24"/>
        </w:rPr>
        <w:t xml:space="preserve">e offre – celui-ci est, d’une part, restreint, peu transparent et, en réalité, constitue souvent autant de </w:t>
      </w:r>
      <w:r w:rsidRPr="00E679DF">
        <w:rPr>
          <w:rFonts w:ascii="Times New Roman" w:hAnsi="Times New Roman"/>
          <w:sz w:val="24"/>
        </w:rPr>
        <w:t>sous</w:t>
      </w:r>
      <w:r>
        <w:rPr>
          <w:rFonts w:ascii="Times New Roman" w:hAnsi="Times New Roman"/>
          <w:sz w:val="24"/>
        </w:rPr>
        <w:t xml:space="preserve"> </w:t>
      </w:r>
      <w:r w:rsidRPr="00E679DF">
        <w:rPr>
          <w:rFonts w:ascii="Times New Roman" w:hAnsi="Times New Roman"/>
          <w:sz w:val="24"/>
        </w:rPr>
        <w:t>marchés</w:t>
      </w:r>
      <w:r w:rsidR="008064D7" w:rsidRPr="00E679DF">
        <w:rPr>
          <w:rFonts w:ascii="Times New Roman" w:hAnsi="Times New Roman"/>
          <w:sz w:val="24"/>
        </w:rPr>
        <w:t xml:space="preserve"> qu’il n’y a de secteurs d’activités et de types de difficultés de l’entreprise.</w:t>
      </w:r>
    </w:p>
    <w:p w:rsidR="008064D7" w:rsidRDefault="008064D7" w:rsidP="00EC0CF4">
      <w:pPr>
        <w:pStyle w:val="Paragraphedeliste"/>
        <w:spacing w:line="240" w:lineRule="auto"/>
        <w:ind w:left="786"/>
        <w:rPr>
          <w:rFonts w:ascii="Times New Roman" w:hAnsi="Times New Roman"/>
          <w:sz w:val="24"/>
        </w:rPr>
      </w:pPr>
    </w:p>
    <w:p w:rsidR="008064D7" w:rsidRDefault="008064D7" w:rsidP="00EC0CF4">
      <w:pPr>
        <w:pStyle w:val="Paragraphedeliste"/>
        <w:spacing w:line="240" w:lineRule="auto"/>
        <w:ind w:left="786"/>
        <w:rPr>
          <w:rFonts w:ascii="Times New Roman" w:hAnsi="Times New Roman"/>
          <w:sz w:val="24"/>
        </w:rPr>
      </w:pPr>
      <w:r>
        <w:rPr>
          <w:rFonts w:ascii="Times New Roman" w:hAnsi="Times New Roman"/>
          <w:sz w:val="24"/>
        </w:rPr>
        <w:t>Que l’entreprise ait perdu ou non beaucoup de son crédit auprès des clients, des fournisseurs-clés, du personnel, des banques et assureurs-crédit ou factor, le redressement, même clairement établi sur papier, sera souvent long et difficile en exigeant de « </w:t>
      </w:r>
      <w:r>
        <w:rPr>
          <w:rFonts w:ascii="Times New Roman" w:hAnsi="Times New Roman"/>
          <w:i/>
          <w:sz w:val="24"/>
        </w:rPr>
        <w:t>l’auditeur »</w:t>
      </w:r>
      <w:r>
        <w:rPr>
          <w:rFonts w:ascii="Times New Roman" w:hAnsi="Times New Roman"/>
          <w:sz w:val="24"/>
        </w:rPr>
        <w:t xml:space="preserve"> une grande compétence et un grand investissement. Que l’entreprise soit sur un secteur ou un segment de marché porteur, propriétaire de sa chaîne de valeur, avec une importante spécificité (propriété intellectuelle ou commerciale, savoir-</w:t>
      </w:r>
      <w:r w:rsidRPr="007C17D3">
        <w:rPr>
          <w:rFonts w:ascii="Times New Roman" w:hAnsi="Times New Roman"/>
          <w:i/>
          <w:sz w:val="24"/>
        </w:rPr>
        <w:t>Fair</w:t>
      </w:r>
      <w:r>
        <w:rPr>
          <w:rFonts w:ascii="Times New Roman" w:hAnsi="Times New Roman"/>
          <w:sz w:val="24"/>
        </w:rPr>
        <w:t>e, …) et son exploitation pourrait intéresser des concurrents qui auront pu vouloir l’acquérir sur le marché normal.</w:t>
      </w:r>
    </w:p>
    <w:p w:rsidR="008064D7" w:rsidRDefault="008064D7" w:rsidP="00EC0CF4">
      <w:pPr>
        <w:pStyle w:val="Paragraphedeliste"/>
        <w:spacing w:line="240" w:lineRule="auto"/>
        <w:ind w:left="786"/>
        <w:rPr>
          <w:rFonts w:ascii="Times New Roman" w:hAnsi="Times New Roman"/>
          <w:sz w:val="24"/>
        </w:rPr>
      </w:pPr>
    </w:p>
    <w:p w:rsidR="008064D7" w:rsidRDefault="008064D7" w:rsidP="00EC0CF4">
      <w:pPr>
        <w:pStyle w:val="Paragraphedeliste"/>
        <w:spacing w:line="240" w:lineRule="auto"/>
        <w:ind w:left="786"/>
        <w:rPr>
          <w:rFonts w:ascii="Times New Roman" w:hAnsi="Times New Roman"/>
          <w:sz w:val="24"/>
        </w:rPr>
      </w:pPr>
      <w:r>
        <w:rPr>
          <w:rFonts w:ascii="Times New Roman" w:hAnsi="Times New Roman"/>
          <w:sz w:val="24"/>
        </w:rPr>
        <w:t>Dans les dossiers prépack</w:t>
      </w:r>
      <w:r>
        <w:rPr>
          <w:rStyle w:val="Appelnotedebasdep"/>
          <w:rFonts w:ascii="Times New Roman" w:hAnsi="Times New Roman"/>
          <w:sz w:val="24"/>
        </w:rPr>
        <w:footnoteReference w:id="374"/>
      </w:r>
      <w:r>
        <w:rPr>
          <w:rFonts w:ascii="Times New Roman" w:hAnsi="Times New Roman"/>
          <w:sz w:val="24"/>
        </w:rPr>
        <w:t>, les médiateurs prépack, après avoir abordé les concurrents et les éventuels candidats – sans évidemment procéder à une annonce publique – n’ont trouvé aucun amateur pour la branche d’activité</w:t>
      </w:r>
      <w:r w:rsidR="00C77C26">
        <w:rPr>
          <w:rFonts w:ascii="Times New Roman" w:hAnsi="Times New Roman"/>
          <w:sz w:val="24"/>
        </w:rPr>
        <w:t xml:space="preserve"> tellement l’activité était particulière ou sa valeur de marché très faible</w:t>
      </w:r>
      <w:r>
        <w:rPr>
          <w:rFonts w:ascii="Times New Roman" w:hAnsi="Times New Roman"/>
          <w:sz w:val="24"/>
        </w:rPr>
        <w:t xml:space="preserve">. </w:t>
      </w:r>
    </w:p>
    <w:p w:rsidR="008064D7" w:rsidRDefault="008064D7" w:rsidP="00EC0CF4">
      <w:pPr>
        <w:pStyle w:val="Paragraphedeliste"/>
        <w:spacing w:line="240" w:lineRule="auto"/>
        <w:ind w:left="786"/>
        <w:rPr>
          <w:rFonts w:ascii="Times New Roman" w:hAnsi="Times New Roman"/>
          <w:sz w:val="24"/>
        </w:rPr>
      </w:pPr>
    </w:p>
    <w:p w:rsidR="008064D7" w:rsidRDefault="008064D7" w:rsidP="00EC0CF4">
      <w:pPr>
        <w:pStyle w:val="Paragraphedeliste"/>
        <w:spacing w:line="240" w:lineRule="auto"/>
        <w:ind w:left="786"/>
        <w:rPr>
          <w:rFonts w:ascii="Times New Roman" w:hAnsi="Times New Roman"/>
          <w:sz w:val="24"/>
        </w:rPr>
      </w:pPr>
      <w:r>
        <w:rPr>
          <w:rFonts w:ascii="Times New Roman" w:hAnsi="Times New Roman"/>
          <w:sz w:val="24"/>
        </w:rPr>
        <w:t>L’annonce publique qui serait censée ouvrir à plus d’offrant le marché assimile souvent la vente à une « </w:t>
      </w:r>
      <w:r>
        <w:rPr>
          <w:rFonts w:ascii="Times New Roman" w:hAnsi="Times New Roman"/>
          <w:i/>
          <w:sz w:val="24"/>
        </w:rPr>
        <w:t>vente publique »</w:t>
      </w:r>
      <w:r>
        <w:rPr>
          <w:rFonts w:ascii="Times New Roman" w:hAnsi="Times New Roman"/>
          <w:sz w:val="24"/>
        </w:rPr>
        <w:t xml:space="preserve"> qui est un marché distinct plus restreint puisqu’il attire plus d’opportunistes en mal de sous-valorisation auxquels in fine on sera bien obligé de vendre.</w:t>
      </w:r>
    </w:p>
    <w:p w:rsidR="008064D7" w:rsidRDefault="008064D7" w:rsidP="00EC0CF4">
      <w:pPr>
        <w:pStyle w:val="Paragraphedeliste"/>
        <w:spacing w:line="240" w:lineRule="auto"/>
        <w:ind w:left="786"/>
        <w:rPr>
          <w:rFonts w:ascii="Times New Roman" w:hAnsi="Times New Roman"/>
          <w:sz w:val="24"/>
        </w:rPr>
      </w:pPr>
    </w:p>
    <w:p w:rsidR="008064D7" w:rsidRPr="00AE3BEF" w:rsidRDefault="008064D7" w:rsidP="00AE3BEF">
      <w:pPr>
        <w:pStyle w:val="Paragraphedeliste"/>
        <w:spacing w:line="240" w:lineRule="auto"/>
        <w:ind w:left="786"/>
        <w:rPr>
          <w:rFonts w:ascii="Times New Roman" w:hAnsi="Times New Roman"/>
          <w:sz w:val="24"/>
        </w:rPr>
      </w:pPr>
      <w:r>
        <w:rPr>
          <w:rFonts w:ascii="Times New Roman" w:hAnsi="Times New Roman"/>
          <w:sz w:val="24"/>
        </w:rPr>
        <w:t xml:space="preserve">L’objet lui-même et sa présentation influence le marché ; sur un marché ouvert, l’information prospective participe à la valeur. Sur un marché de vente publique, les incertitudes liées à l’objet en réduisent la valeur. </w:t>
      </w:r>
      <w:r w:rsidRPr="00AE3BEF">
        <w:rPr>
          <w:rFonts w:ascii="Times New Roman" w:hAnsi="Times New Roman"/>
          <w:sz w:val="24"/>
        </w:rPr>
        <w:t>La qualification de l’objet à restructurer – tout comme la description de l’immeuble à vendre – participe grandement à la définition du marché pertinent et donc de la valeur.</w:t>
      </w:r>
    </w:p>
    <w:p w:rsidR="008064D7" w:rsidRDefault="008064D7" w:rsidP="00EC0CF4">
      <w:pPr>
        <w:pStyle w:val="Paragraphedeliste"/>
        <w:spacing w:line="240" w:lineRule="auto"/>
        <w:ind w:left="786"/>
        <w:rPr>
          <w:rFonts w:ascii="Times New Roman" w:hAnsi="Times New Roman"/>
          <w:sz w:val="24"/>
        </w:rPr>
      </w:pPr>
    </w:p>
    <w:p w:rsidR="008064D7" w:rsidRPr="00AE3BEF" w:rsidRDefault="008064D7" w:rsidP="00EC0CF4">
      <w:pPr>
        <w:pStyle w:val="Paragraphedeliste"/>
        <w:spacing w:line="240" w:lineRule="auto"/>
        <w:ind w:left="786"/>
        <w:rPr>
          <w:rFonts w:ascii="Times New Roman" w:hAnsi="Times New Roman"/>
          <w:sz w:val="24"/>
        </w:rPr>
      </w:pPr>
      <w:r>
        <w:rPr>
          <w:rFonts w:ascii="Times New Roman" w:hAnsi="Times New Roman"/>
          <w:sz w:val="24"/>
        </w:rPr>
        <w:t>Dans ce cadre, les praticiens en charge de cet appel d’offre souhaitent que l’activité se poursuive « </w:t>
      </w:r>
      <w:r>
        <w:rPr>
          <w:rFonts w:ascii="Times New Roman" w:hAnsi="Times New Roman"/>
          <w:i/>
          <w:sz w:val="24"/>
        </w:rPr>
        <w:t>normalement »</w:t>
      </w:r>
      <w:r>
        <w:rPr>
          <w:rFonts w:ascii="Times New Roman" w:hAnsi="Times New Roman"/>
          <w:sz w:val="24"/>
        </w:rPr>
        <w:t xml:space="preserve"> durant la période de l’appel d’offre. Ils pourraient chercher à ce que l’entreprise soit donc financée ou refinancée pour qu’elle conserve une valeur </w:t>
      </w:r>
      <w:r w:rsidRPr="007C17D3">
        <w:rPr>
          <w:rFonts w:ascii="Times New Roman" w:hAnsi="Times New Roman"/>
          <w:i/>
          <w:sz w:val="24"/>
        </w:rPr>
        <w:t>going-concern</w:t>
      </w:r>
      <w:r>
        <w:rPr>
          <w:rFonts w:ascii="Times New Roman" w:hAnsi="Times New Roman"/>
          <w:sz w:val="24"/>
        </w:rPr>
        <w:t xml:space="preserve"> qu’ils cherchent à réaliser. Leur travail peut donc s’exercer de concert avec le juge qui autorisera les financements ou avec les praticiens.</w:t>
      </w:r>
    </w:p>
    <w:p w:rsidR="008064D7" w:rsidRDefault="008064D7" w:rsidP="00EC0CF4">
      <w:pPr>
        <w:pStyle w:val="Paragraphedeliste"/>
        <w:spacing w:line="240" w:lineRule="auto"/>
        <w:ind w:left="786"/>
        <w:rPr>
          <w:rFonts w:ascii="Times New Roman" w:hAnsi="Times New Roman"/>
          <w:sz w:val="24"/>
        </w:rPr>
      </w:pPr>
    </w:p>
    <w:p w:rsidR="008064D7" w:rsidRPr="00A509FC" w:rsidRDefault="008064D7" w:rsidP="00A509FC">
      <w:pPr>
        <w:pStyle w:val="Paragraphedeliste"/>
        <w:numPr>
          <w:ilvl w:val="0"/>
          <w:numId w:val="2"/>
        </w:numPr>
        <w:spacing w:line="240" w:lineRule="auto"/>
        <w:ind w:hanging="567"/>
        <w:rPr>
          <w:rFonts w:ascii="Times New Roman" w:hAnsi="Times New Roman"/>
          <w:sz w:val="24"/>
          <w:u w:val="single"/>
        </w:rPr>
      </w:pPr>
      <w:r>
        <w:rPr>
          <w:rFonts w:ascii="Times New Roman" w:hAnsi="Times New Roman"/>
          <w:sz w:val="24"/>
          <w:u w:val="single"/>
        </w:rPr>
        <w:t>Les médiateurs.</w:t>
      </w:r>
      <w:r w:rsidRPr="00C44D7D">
        <w:rPr>
          <w:rFonts w:ascii="Times New Roman" w:hAnsi="Times New Roman"/>
          <w:sz w:val="24"/>
        </w:rPr>
        <w:t xml:space="preserve"> Les créanciers ont intérêt à participer à la discussion sur ces valorisations. Ils auront des critiques sur le plan financier, sur la méthode, sur les éléments du WAAC, sur les comparables, sur les éléments de marché.</w:t>
      </w:r>
      <w:r w:rsidR="00A509FC">
        <w:rPr>
          <w:rFonts w:ascii="Times New Roman" w:hAnsi="Times New Roman"/>
          <w:sz w:val="24"/>
        </w:rPr>
        <w:t xml:space="preserve"> </w:t>
      </w:r>
      <w:r w:rsidRPr="00A509FC">
        <w:rPr>
          <w:rFonts w:ascii="Times New Roman" w:hAnsi="Times New Roman"/>
          <w:sz w:val="24"/>
        </w:rPr>
        <w:t>Le juge, saisi de ces nombreuses contestations, aura du mal à les trancher. Un médiateur – compétent en matière financière et managériale – pourra tenter de « </w:t>
      </w:r>
      <w:r w:rsidRPr="00A509FC">
        <w:rPr>
          <w:rFonts w:ascii="Times New Roman" w:hAnsi="Times New Roman"/>
          <w:i/>
          <w:sz w:val="24"/>
        </w:rPr>
        <w:t>médier »</w:t>
      </w:r>
      <w:r w:rsidRPr="00A509FC">
        <w:rPr>
          <w:rFonts w:ascii="Times New Roman" w:hAnsi="Times New Roman"/>
          <w:sz w:val="24"/>
        </w:rPr>
        <w:t xml:space="preserve"> les points de vue des créanciers entre eux – des créanciers et du débiteur – des créanciers et des actionnaires. Il pourra synthétiser les points de vue de chacun sur chaque point et remettre au juge un document de synthèse aidant à orienter l’intervention du juge – dès le sursis ou la demande de validation des classes ou des refinancements ou, au moins, à construire leur désaccord, à l’objectiver et à en limiter le coût et la durée.</w:t>
      </w:r>
    </w:p>
    <w:p w:rsidR="00A509FC" w:rsidRDefault="00A509FC" w:rsidP="00A509FC">
      <w:pPr>
        <w:pStyle w:val="Paragraphedeliste"/>
        <w:spacing w:line="240" w:lineRule="auto"/>
        <w:ind w:left="786"/>
        <w:rPr>
          <w:rFonts w:ascii="Times New Roman" w:hAnsi="Times New Roman"/>
          <w:sz w:val="24"/>
          <w:u w:val="single"/>
        </w:rPr>
      </w:pPr>
    </w:p>
    <w:p w:rsidR="00A509FC" w:rsidRPr="00A509FC" w:rsidRDefault="00A509FC" w:rsidP="00A509FC">
      <w:pPr>
        <w:pStyle w:val="Titre2"/>
        <w:numPr>
          <w:ilvl w:val="0"/>
          <w:numId w:val="21"/>
        </w:numPr>
        <w:spacing w:before="0" w:line="240" w:lineRule="auto"/>
        <w:rPr>
          <w:rFonts w:ascii="Times New Roman" w:hAnsi="Times New Roman" w:cs="Times New Roman"/>
        </w:rPr>
      </w:pPr>
      <w:bookmarkStart w:id="65" w:name="_Toc55407510"/>
      <w:r w:rsidRPr="00A509FC">
        <w:rPr>
          <w:rFonts w:ascii="Times New Roman" w:hAnsi="Times New Roman" w:cs="Times New Roman"/>
        </w:rPr>
        <w:t>Les avocats</w:t>
      </w:r>
      <w:bookmarkEnd w:id="65"/>
      <w:r w:rsidRPr="00A509FC">
        <w:rPr>
          <w:rFonts w:ascii="Times New Roman" w:hAnsi="Times New Roman" w:cs="Times New Roman"/>
        </w:rPr>
        <w:t xml:space="preserve"> </w:t>
      </w:r>
    </w:p>
    <w:p w:rsidR="008064D7" w:rsidRDefault="008064D7" w:rsidP="00FB5051">
      <w:pPr>
        <w:pStyle w:val="Paragraphedeliste"/>
        <w:spacing w:line="240" w:lineRule="auto"/>
        <w:ind w:left="786"/>
        <w:rPr>
          <w:rFonts w:ascii="Times New Roman" w:hAnsi="Times New Roman"/>
          <w:sz w:val="24"/>
        </w:rPr>
      </w:pPr>
    </w:p>
    <w:p w:rsidR="008064D7" w:rsidRPr="00B66CE2" w:rsidRDefault="008064D7" w:rsidP="00C77C26">
      <w:pPr>
        <w:pStyle w:val="Paragraphedeliste"/>
        <w:numPr>
          <w:ilvl w:val="0"/>
          <w:numId w:val="2"/>
        </w:numPr>
        <w:spacing w:line="240" w:lineRule="auto"/>
        <w:ind w:hanging="567"/>
        <w:rPr>
          <w:rFonts w:ascii="Times New Roman" w:hAnsi="Times New Roman"/>
          <w:sz w:val="24"/>
          <w:u w:val="single"/>
        </w:rPr>
      </w:pPr>
      <w:r w:rsidRPr="00FB5051">
        <w:rPr>
          <w:rFonts w:ascii="Times New Roman" w:hAnsi="Times New Roman"/>
          <w:sz w:val="24"/>
          <w:u w:val="single"/>
        </w:rPr>
        <w:t>L’avocat du débiteur</w:t>
      </w:r>
      <w:r>
        <w:rPr>
          <w:rFonts w:ascii="Times New Roman" w:hAnsi="Times New Roman"/>
          <w:sz w:val="24"/>
        </w:rPr>
        <w:t xml:space="preserve"> n’est plus l’avocat de la majorité des actionnaires mais l’avocat des dirigeants représentant l’être social chargé d’une fonction judiciaire. Son rôle de « </w:t>
      </w:r>
      <w:r>
        <w:rPr>
          <w:rFonts w:ascii="Times New Roman" w:hAnsi="Times New Roman"/>
          <w:i/>
          <w:sz w:val="24"/>
        </w:rPr>
        <w:t>défense »</w:t>
      </w:r>
      <w:r>
        <w:rPr>
          <w:rFonts w:ascii="Times New Roman" w:hAnsi="Times New Roman"/>
          <w:sz w:val="24"/>
        </w:rPr>
        <w:t xml:space="preserve"> existe et lui laisse des marges d’appréciation mais les charges qui pèsent sur ses mandants pèsent aussi sur lui.</w:t>
      </w:r>
    </w:p>
    <w:p w:rsidR="008064D7" w:rsidRPr="00B66CE2" w:rsidRDefault="008064D7" w:rsidP="00B66CE2">
      <w:pPr>
        <w:pStyle w:val="Paragraphedeliste"/>
        <w:spacing w:line="240" w:lineRule="auto"/>
        <w:ind w:left="786"/>
        <w:rPr>
          <w:rFonts w:ascii="Times New Roman" w:hAnsi="Times New Roman"/>
          <w:sz w:val="24"/>
          <w:u w:val="single"/>
        </w:rPr>
      </w:pPr>
    </w:p>
    <w:p w:rsidR="008064D7" w:rsidRPr="00A509FC" w:rsidRDefault="008064D7" w:rsidP="00C77C26">
      <w:pPr>
        <w:pStyle w:val="Paragraphedeliste"/>
        <w:numPr>
          <w:ilvl w:val="0"/>
          <w:numId w:val="2"/>
        </w:numPr>
        <w:spacing w:line="240" w:lineRule="auto"/>
        <w:ind w:hanging="567"/>
        <w:rPr>
          <w:rFonts w:ascii="Times New Roman" w:hAnsi="Times New Roman"/>
          <w:sz w:val="24"/>
          <w:u w:val="single"/>
        </w:rPr>
      </w:pPr>
      <w:r>
        <w:rPr>
          <w:rFonts w:ascii="Times New Roman" w:hAnsi="Times New Roman"/>
          <w:sz w:val="24"/>
          <w:u w:val="single"/>
        </w:rPr>
        <w:t>L’avocat des actionnaires et des créanciers</w:t>
      </w:r>
      <w:r>
        <w:rPr>
          <w:rFonts w:ascii="Times New Roman" w:hAnsi="Times New Roman"/>
          <w:sz w:val="24"/>
        </w:rPr>
        <w:t xml:space="preserve"> défend un point de vue. La plus grande part de son activité nouvelle réside dans la défense de la valeur – des faits qui la justifie ou de la poursuite d’activité qui la crée – des discussions sur les paramètre de celle-ci et sur les négociations interclasses. Son objectif, s’il s’agit d’obtenir plus que la valeur de faillite qui sert de plancher à la procédure, est donc de « </w:t>
      </w:r>
      <w:r>
        <w:rPr>
          <w:rFonts w:ascii="Times New Roman" w:hAnsi="Times New Roman"/>
          <w:i/>
          <w:sz w:val="24"/>
        </w:rPr>
        <w:t>négocier »</w:t>
      </w:r>
      <w:r>
        <w:rPr>
          <w:rFonts w:ascii="Times New Roman" w:hAnsi="Times New Roman"/>
          <w:sz w:val="24"/>
        </w:rPr>
        <w:t xml:space="preserve"> un prix au pouvoir de nuisance qu’il représente : pour les actionnaires, une discussion sur la capacité contributive affectée aux créanciers ou sur la valeur de la créance extraordinaire ou sur la conversion en actions ; pour les non-sécurisés  sur la valeur qui pourrait réduire le paiement des sécurisés ou sur le traitement excessif qui ne leur attribuerait plus que la valeur de liquidation ; pour le sécurisé, la capacité de payer aux non-sécurisés un dividende plus grand qu’en liquidation.</w:t>
      </w:r>
    </w:p>
    <w:p w:rsidR="00A509FC" w:rsidRDefault="00A509FC" w:rsidP="00A509FC">
      <w:pPr>
        <w:pStyle w:val="Paragraphedeliste"/>
        <w:spacing w:line="240" w:lineRule="auto"/>
        <w:ind w:left="786"/>
        <w:rPr>
          <w:rFonts w:ascii="Times New Roman" w:hAnsi="Times New Roman"/>
          <w:sz w:val="24"/>
          <w:u w:val="single"/>
        </w:rPr>
      </w:pPr>
    </w:p>
    <w:p w:rsidR="00A509FC" w:rsidRPr="00A509FC" w:rsidRDefault="00A509FC" w:rsidP="00A509FC">
      <w:pPr>
        <w:pStyle w:val="Titre2"/>
        <w:numPr>
          <w:ilvl w:val="0"/>
          <w:numId w:val="21"/>
        </w:numPr>
        <w:spacing w:before="0" w:line="240" w:lineRule="auto"/>
        <w:rPr>
          <w:rFonts w:ascii="Times New Roman" w:hAnsi="Times New Roman" w:cs="Times New Roman"/>
        </w:rPr>
      </w:pPr>
      <w:bookmarkStart w:id="66" w:name="_Toc55407511"/>
      <w:r w:rsidRPr="00A509FC">
        <w:rPr>
          <w:rFonts w:ascii="Times New Roman" w:hAnsi="Times New Roman" w:cs="Times New Roman"/>
        </w:rPr>
        <w:t>Les experts</w:t>
      </w:r>
      <w:bookmarkEnd w:id="66"/>
    </w:p>
    <w:p w:rsidR="008064D7" w:rsidRPr="00B66CE2" w:rsidRDefault="008064D7" w:rsidP="00D21249">
      <w:pPr>
        <w:pStyle w:val="Paragraphedeliste"/>
        <w:spacing w:after="160" w:line="259" w:lineRule="auto"/>
        <w:ind w:left="786"/>
        <w:jc w:val="left"/>
        <w:rPr>
          <w:rFonts w:ascii="Times New Roman" w:hAnsi="Times New Roman"/>
          <w:sz w:val="24"/>
          <w:u w:val="single"/>
        </w:rPr>
      </w:pPr>
    </w:p>
    <w:p w:rsidR="008064D7" w:rsidRPr="00B66CE2" w:rsidRDefault="008064D7" w:rsidP="00C77C26">
      <w:pPr>
        <w:pStyle w:val="Paragraphedeliste"/>
        <w:numPr>
          <w:ilvl w:val="0"/>
          <w:numId w:val="2"/>
        </w:numPr>
        <w:spacing w:line="240" w:lineRule="auto"/>
        <w:ind w:hanging="567"/>
        <w:rPr>
          <w:rFonts w:ascii="Times New Roman" w:hAnsi="Times New Roman"/>
          <w:sz w:val="24"/>
          <w:u w:val="single"/>
        </w:rPr>
      </w:pPr>
      <w:r>
        <w:rPr>
          <w:rFonts w:ascii="Times New Roman" w:hAnsi="Times New Roman"/>
          <w:sz w:val="24"/>
          <w:u w:val="single"/>
        </w:rPr>
        <w:t>Les experts</w:t>
      </w:r>
      <w:r>
        <w:rPr>
          <w:rFonts w:ascii="Times New Roman" w:hAnsi="Times New Roman"/>
          <w:sz w:val="24"/>
        </w:rPr>
        <w:t xml:space="preserve"> désignés par le juge soit pour l’éclairer lui, soit pour servir aux parties devront avoir des compétences spécifiques en insolvabilité – plus large</w:t>
      </w:r>
      <w:r w:rsidR="00A509FC">
        <w:rPr>
          <w:rFonts w:ascii="Times New Roman" w:hAnsi="Times New Roman"/>
          <w:sz w:val="24"/>
        </w:rPr>
        <w:t>s</w:t>
      </w:r>
      <w:r>
        <w:rPr>
          <w:rFonts w:ascii="Times New Roman" w:hAnsi="Times New Roman"/>
          <w:sz w:val="24"/>
        </w:rPr>
        <w:t xml:space="preserve"> que financière</w:t>
      </w:r>
      <w:r w:rsidR="00A509FC">
        <w:rPr>
          <w:rFonts w:ascii="Times New Roman" w:hAnsi="Times New Roman"/>
          <w:sz w:val="24"/>
        </w:rPr>
        <w:t>s</w:t>
      </w:r>
      <w:r>
        <w:rPr>
          <w:rFonts w:ascii="Times New Roman" w:hAnsi="Times New Roman"/>
          <w:sz w:val="24"/>
        </w:rPr>
        <w:t xml:space="preserve"> – incluant le droit de l’insolvabilité – l’approche économique et la capacité de médier les hypothèses et les réponses avec d’autres experts.</w:t>
      </w:r>
    </w:p>
    <w:p w:rsidR="008064D7" w:rsidRDefault="008064D7" w:rsidP="00B66CE2">
      <w:pPr>
        <w:pStyle w:val="Paragraphedeliste"/>
        <w:spacing w:line="240" w:lineRule="auto"/>
        <w:ind w:left="786"/>
        <w:rPr>
          <w:rFonts w:ascii="Times New Roman" w:hAnsi="Times New Roman"/>
          <w:sz w:val="24"/>
          <w:u w:val="single"/>
        </w:rPr>
      </w:pPr>
    </w:p>
    <w:p w:rsidR="008064D7" w:rsidRDefault="008064D7" w:rsidP="00B66CE2">
      <w:pPr>
        <w:pStyle w:val="Paragraphedeliste"/>
        <w:spacing w:line="240" w:lineRule="auto"/>
        <w:ind w:left="786"/>
        <w:rPr>
          <w:rFonts w:ascii="Times New Roman" w:hAnsi="Times New Roman"/>
          <w:sz w:val="24"/>
        </w:rPr>
      </w:pPr>
      <w:r>
        <w:rPr>
          <w:rFonts w:ascii="Times New Roman" w:hAnsi="Times New Roman"/>
          <w:sz w:val="24"/>
        </w:rPr>
        <w:t>Leur « </w:t>
      </w:r>
      <w:r>
        <w:rPr>
          <w:rFonts w:ascii="Times New Roman" w:hAnsi="Times New Roman"/>
          <w:i/>
          <w:sz w:val="24"/>
        </w:rPr>
        <w:t>honnêteté »</w:t>
      </w:r>
      <w:r>
        <w:rPr>
          <w:rFonts w:ascii="Times New Roman" w:hAnsi="Times New Roman"/>
          <w:sz w:val="24"/>
        </w:rPr>
        <w:t xml:space="preserve"> intellectuelle doit être garantie par une procédure ad hoc. Ils doivent pouvoir disposer de données fiables sur le marché et de comparables pertinents. Ils doivent pouvoir adapter leur intervention au type d’entreprise.</w:t>
      </w:r>
    </w:p>
    <w:p w:rsidR="008064D7" w:rsidRDefault="008064D7" w:rsidP="00B66CE2">
      <w:pPr>
        <w:pStyle w:val="Paragraphedeliste"/>
        <w:spacing w:line="240" w:lineRule="auto"/>
        <w:ind w:left="786"/>
        <w:rPr>
          <w:rFonts w:ascii="Times New Roman" w:hAnsi="Times New Roman"/>
          <w:sz w:val="24"/>
        </w:rPr>
      </w:pPr>
    </w:p>
    <w:p w:rsidR="008064D7" w:rsidRDefault="008064D7" w:rsidP="00B66CE2">
      <w:pPr>
        <w:pStyle w:val="Paragraphedeliste"/>
        <w:spacing w:line="240" w:lineRule="auto"/>
        <w:ind w:left="786"/>
        <w:rPr>
          <w:rFonts w:ascii="Times New Roman" w:hAnsi="Times New Roman"/>
          <w:sz w:val="24"/>
        </w:rPr>
      </w:pPr>
      <w:r>
        <w:rPr>
          <w:rFonts w:ascii="Times New Roman" w:hAnsi="Times New Roman"/>
          <w:sz w:val="24"/>
        </w:rPr>
        <w:t xml:space="preserve">Les experts des parties ont, en droit Américain, une grande importante. On a vu que la valeur est déterminée par le juge sur base d’une bataille autour de la preuve des faits déterminant la valeur et partant sur ce qui </w:t>
      </w:r>
      <w:r w:rsidRPr="007E578E">
        <w:rPr>
          <w:rFonts w:ascii="Times New Roman" w:hAnsi="Times New Roman"/>
          <w:sz w:val="24"/>
        </w:rPr>
        <w:t>permet de l’inférer de manière assez discrétionnaire par le juge.</w:t>
      </w:r>
      <w:r>
        <w:rPr>
          <w:rFonts w:ascii="Times New Roman" w:hAnsi="Times New Roman"/>
          <w:sz w:val="24"/>
        </w:rPr>
        <w:t xml:space="preserve"> </w:t>
      </w:r>
    </w:p>
    <w:p w:rsidR="008064D7" w:rsidRDefault="008064D7" w:rsidP="00B66CE2">
      <w:pPr>
        <w:pStyle w:val="Paragraphedeliste"/>
        <w:spacing w:line="240" w:lineRule="auto"/>
        <w:ind w:left="786"/>
        <w:rPr>
          <w:rFonts w:ascii="Times New Roman" w:hAnsi="Times New Roman"/>
          <w:sz w:val="24"/>
        </w:rPr>
      </w:pPr>
    </w:p>
    <w:p w:rsidR="008064D7" w:rsidRDefault="008064D7" w:rsidP="00B66CE2">
      <w:pPr>
        <w:pStyle w:val="Paragraphedeliste"/>
        <w:spacing w:line="240" w:lineRule="auto"/>
        <w:ind w:left="786"/>
        <w:rPr>
          <w:rFonts w:ascii="Times New Roman" w:hAnsi="Times New Roman"/>
          <w:sz w:val="24"/>
        </w:rPr>
      </w:pPr>
      <w:r>
        <w:rPr>
          <w:rFonts w:ascii="Times New Roman" w:hAnsi="Times New Roman"/>
          <w:sz w:val="24"/>
        </w:rPr>
        <w:t>Dans un article</w:t>
      </w:r>
      <w:r w:rsidR="00A509FC">
        <w:rPr>
          <w:rFonts w:ascii="Times New Roman" w:hAnsi="Times New Roman"/>
          <w:sz w:val="24"/>
        </w:rPr>
        <w:t xml:space="preserve"> intéressant</w:t>
      </w:r>
      <w:r>
        <w:rPr>
          <w:rStyle w:val="Appelnotedebasdep"/>
          <w:rFonts w:ascii="Times New Roman" w:hAnsi="Times New Roman"/>
          <w:sz w:val="24"/>
        </w:rPr>
        <w:footnoteReference w:id="375"/>
      </w:r>
      <w:r>
        <w:rPr>
          <w:rFonts w:ascii="Times New Roman" w:hAnsi="Times New Roman"/>
          <w:sz w:val="24"/>
        </w:rPr>
        <w:t xml:space="preserve">, il est rappelé que les experts sont, aux Etats-Unis, des témoins qui doivent pouvoir répondre à la </w:t>
      </w:r>
      <w:r w:rsidRPr="00F44831">
        <w:rPr>
          <w:rFonts w:ascii="Times New Roman" w:hAnsi="Times New Roman"/>
          <w:i/>
          <w:sz w:val="24"/>
        </w:rPr>
        <w:t>cross examination sur</w:t>
      </w:r>
      <w:r>
        <w:rPr>
          <w:rFonts w:ascii="Times New Roman" w:hAnsi="Times New Roman"/>
          <w:sz w:val="24"/>
        </w:rPr>
        <w:t xml:space="preserve"> les critères permettant d’apprécier cette valeur. Un expert peut témoigner sur des éléments précis (prime de risque, décote, surcote, prix</w:t>
      </w:r>
      <w:r>
        <w:rPr>
          <w:rStyle w:val="Appelnotedebasdep"/>
          <w:rFonts w:ascii="Times New Roman" w:hAnsi="Times New Roman"/>
          <w:sz w:val="24"/>
        </w:rPr>
        <w:footnoteReference w:id="376"/>
      </w:r>
      <w:r>
        <w:rPr>
          <w:rFonts w:ascii="Times New Roman" w:hAnsi="Times New Roman"/>
          <w:sz w:val="24"/>
        </w:rPr>
        <w:t xml:space="preserve">) ou sur une évaluation globale. Les </w:t>
      </w:r>
      <w:r w:rsidRPr="007C17D3">
        <w:rPr>
          <w:rFonts w:ascii="Times New Roman" w:hAnsi="Times New Roman"/>
          <w:i/>
          <w:sz w:val="24"/>
        </w:rPr>
        <w:t>Hearing</w:t>
      </w:r>
      <w:r w:rsidRPr="007C17D3">
        <w:rPr>
          <w:rFonts w:ascii="Times New Roman" w:hAnsi="Times New Roman"/>
          <w:sz w:val="24"/>
        </w:rPr>
        <w:t>s</w:t>
      </w:r>
      <w:r>
        <w:rPr>
          <w:rFonts w:ascii="Times New Roman" w:hAnsi="Times New Roman"/>
          <w:sz w:val="24"/>
        </w:rPr>
        <w:t xml:space="preserve"> sont réglés par le « </w:t>
      </w:r>
      <w:r w:rsidRPr="007C17D3">
        <w:rPr>
          <w:rFonts w:ascii="Times New Roman" w:hAnsi="Times New Roman"/>
          <w:i/>
          <w:sz w:val="24"/>
        </w:rPr>
        <w:t>Federal</w:t>
      </w:r>
      <w:r>
        <w:rPr>
          <w:rFonts w:ascii="Times New Roman" w:hAnsi="Times New Roman"/>
          <w:i/>
          <w:sz w:val="24"/>
        </w:rPr>
        <w:t xml:space="preserve"> </w:t>
      </w:r>
      <w:r w:rsidRPr="007C17D3">
        <w:rPr>
          <w:rFonts w:ascii="Times New Roman" w:hAnsi="Times New Roman"/>
          <w:i/>
          <w:sz w:val="24"/>
        </w:rPr>
        <w:t>Rules</w:t>
      </w:r>
      <w:r>
        <w:rPr>
          <w:rFonts w:ascii="Times New Roman" w:hAnsi="Times New Roman"/>
          <w:i/>
          <w:sz w:val="24"/>
        </w:rPr>
        <w:t xml:space="preserve"> of Evidence »</w:t>
      </w:r>
      <w:r>
        <w:rPr>
          <w:rFonts w:ascii="Times New Roman" w:hAnsi="Times New Roman"/>
          <w:sz w:val="24"/>
        </w:rPr>
        <w:t xml:space="preserve"> qui, en sa section 401 définit la preuve et la manière de l’établir. Les sections 701 et 702 donnent des indications sur la précision attendue d’un expert à la différence d’un témoin. Il faut établir sa qualification, son expertise, ses compétences techniques, ses spécialités, ce que la Cour peut vérifier pour écarter la personne proposée</w:t>
      </w:r>
      <w:r>
        <w:rPr>
          <w:rStyle w:val="Appelnotedebasdep"/>
          <w:rFonts w:ascii="Times New Roman" w:hAnsi="Times New Roman"/>
          <w:sz w:val="24"/>
        </w:rPr>
        <w:footnoteReference w:id="377"/>
      </w:r>
      <w:r>
        <w:rPr>
          <w:rFonts w:ascii="Times New Roman" w:hAnsi="Times New Roman"/>
          <w:sz w:val="24"/>
        </w:rPr>
        <w:t>. Les débats contradictoires sur ces compétences puis sur le fond de l’expertise sont souvent de grande qualité.</w:t>
      </w:r>
    </w:p>
    <w:p w:rsidR="008064D7" w:rsidRDefault="008064D7" w:rsidP="00B66CE2">
      <w:pPr>
        <w:pStyle w:val="Paragraphedeliste"/>
        <w:spacing w:line="240" w:lineRule="auto"/>
        <w:ind w:left="786"/>
        <w:rPr>
          <w:rFonts w:ascii="Times New Roman" w:hAnsi="Times New Roman"/>
          <w:sz w:val="24"/>
        </w:rPr>
      </w:pPr>
    </w:p>
    <w:p w:rsidR="008064D7" w:rsidRPr="00757E5C" w:rsidRDefault="008064D7" w:rsidP="00B66CE2">
      <w:pPr>
        <w:pStyle w:val="Paragraphedeliste"/>
        <w:spacing w:line="240" w:lineRule="auto"/>
        <w:ind w:left="786"/>
        <w:rPr>
          <w:rFonts w:ascii="Times New Roman" w:hAnsi="Times New Roman"/>
          <w:sz w:val="24"/>
        </w:rPr>
      </w:pPr>
      <w:r>
        <w:rPr>
          <w:rFonts w:ascii="Times New Roman" w:hAnsi="Times New Roman"/>
          <w:sz w:val="24"/>
        </w:rPr>
        <w:t>Souvent, la valeur retenue est bien plus la combinaison des avis des économistes, des comptables, des banques d’</w:t>
      </w:r>
      <w:r w:rsidRPr="007C17D3">
        <w:rPr>
          <w:rFonts w:ascii="Times New Roman" w:hAnsi="Times New Roman"/>
          <w:sz w:val="24"/>
        </w:rPr>
        <w:t>affaire</w:t>
      </w:r>
      <w:r>
        <w:rPr>
          <w:rFonts w:ascii="Times New Roman" w:hAnsi="Times New Roman"/>
          <w:sz w:val="24"/>
        </w:rPr>
        <w:t>s que des « </w:t>
      </w:r>
      <w:r>
        <w:rPr>
          <w:rFonts w:ascii="Times New Roman" w:hAnsi="Times New Roman"/>
          <w:i/>
          <w:sz w:val="24"/>
        </w:rPr>
        <w:t>experts en évaluation</w:t>
      </w:r>
      <w:r>
        <w:rPr>
          <w:rFonts w:ascii="Times New Roman" w:hAnsi="Times New Roman"/>
          <w:sz w:val="24"/>
        </w:rPr>
        <w:t> » comme cela a d’ailleurs été le cas dans l’</w:t>
      </w:r>
      <w:r w:rsidRPr="007C17D3">
        <w:rPr>
          <w:rFonts w:ascii="Times New Roman" w:hAnsi="Times New Roman"/>
          <w:sz w:val="24"/>
        </w:rPr>
        <w:t>affaire</w:t>
      </w:r>
      <w:r>
        <w:rPr>
          <w:rFonts w:ascii="Times New Roman" w:hAnsi="Times New Roman"/>
          <w:sz w:val="24"/>
        </w:rPr>
        <w:t xml:space="preserve"> Timbers citée</w:t>
      </w:r>
      <w:r>
        <w:rPr>
          <w:rStyle w:val="Appelnotedebasdep"/>
          <w:rFonts w:ascii="Times New Roman" w:hAnsi="Times New Roman"/>
          <w:sz w:val="24"/>
        </w:rPr>
        <w:footnoteReference w:id="378"/>
      </w:r>
      <w:r>
        <w:rPr>
          <w:rFonts w:ascii="Times New Roman" w:hAnsi="Times New Roman"/>
          <w:sz w:val="24"/>
        </w:rPr>
        <w:t xml:space="preserve"> car l’évaluation est plus une appréciation d’un ensemble de faits – avérés ou non – que d’une science mathématique. Dans l’</w:t>
      </w:r>
      <w:r w:rsidRPr="007C17D3">
        <w:rPr>
          <w:rFonts w:ascii="Times New Roman" w:hAnsi="Times New Roman"/>
          <w:sz w:val="24"/>
        </w:rPr>
        <w:t>affaire</w:t>
      </w:r>
      <w:r>
        <w:rPr>
          <w:rFonts w:ascii="Times New Roman" w:hAnsi="Times New Roman"/>
          <w:sz w:val="24"/>
        </w:rPr>
        <w:t xml:space="preserve"> Timbers III</w:t>
      </w:r>
      <w:r>
        <w:rPr>
          <w:rStyle w:val="Appelnotedebasdep"/>
          <w:rFonts w:ascii="Times New Roman" w:hAnsi="Times New Roman"/>
          <w:sz w:val="24"/>
        </w:rPr>
        <w:footnoteReference w:id="379"/>
      </w:r>
      <w:r>
        <w:rPr>
          <w:rFonts w:ascii="Times New Roman" w:hAnsi="Times New Roman"/>
          <w:sz w:val="24"/>
        </w:rPr>
        <w:t>, la Cour Suprême a ainsi pu attirer l’attention sur l’obligation des avocats de trouver les preuves utiles à déterminer la valeur appropriée.</w:t>
      </w:r>
    </w:p>
    <w:p w:rsidR="008064D7" w:rsidRDefault="008064D7" w:rsidP="00B66CE2">
      <w:pPr>
        <w:pStyle w:val="Paragraphedeliste"/>
        <w:spacing w:line="240" w:lineRule="auto"/>
        <w:ind w:left="786"/>
        <w:rPr>
          <w:rFonts w:ascii="Times New Roman" w:hAnsi="Times New Roman"/>
          <w:sz w:val="24"/>
        </w:rPr>
      </w:pPr>
    </w:p>
    <w:p w:rsidR="008064D7" w:rsidRPr="00A51A45" w:rsidRDefault="00A509FC" w:rsidP="007565AA">
      <w:pPr>
        <w:pStyle w:val="Titre2"/>
        <w:numPr>
          <w:ilvl w:val="0"/>
          <w:numId w:val="21"/>
        </w:numPr>
        <w:rPr>
          <w:rFonts w:ascii="Times New Roman" w:hAnsi="Times New Roman" w:cs="Times New Roman"/>
        </w:rPr>
      </w:pPr>
      <w:bookmarkStart w:id="67" w:name="_Toc55407512"/>
      <w:r>
        <w:rPr>
          <w:rFonts w:ascii="Times New Roman" w:hAnsi="Times New Roman" w:cs="Times New Roman"/>
        </w:rPr>
        <w:t>Nouvelles responsabilités</w:t>
      </w:r>
      <w:bookmarkEnd w:id="67"/>
    </w:p>
    <w:p w:rsidR="008064D7" w:rsidRDefault="008064D7" w:rsidP="00EC0CF4">
      <w:pPr>
        <w:pStyle w:val="Paragraphedeliste"/>
        <w:spacing w:line="240" w:lineRule="auto"/>
        <w:ind w:left="786"/>
        <w:rPr>
          <w:rFonts w:ascii="Times New Roman" w:hAnsi="Times New Roman"/>
          <w:sz w:val="24"/>
        </w:rPr>
      </w:pPr>
    </w:p>
    <w:p w:rsidR="008064D7" w:rsidRPr="00A509FC" w:rsidRDefault="008064D7" w:rsidP="00A509FC">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Projet de loi</w:t>
      </w:r>
      <w:r>
        <w:rPr>
          <w:rFonts w:ascii="Times New Roman" w:hAnsi="Times New Roman"/>
          <w:sz w:val="24"/>
        </w:rPr>
        <w:t>. Il semble donc inévitable que le projet de loi intégrant la directive tente de solutionner les rôles et les procédures utilisables par chacun de ces acteurs.</w:t>
      </w:r>
      <w:r w:rsidR="00A509FC">
        <w:rPr>
          <w:rFonts w:ascii="Times New Roman" w:hAnsi="Times New Roman"/>
          <w:sz w:val="24"/>
        </w:rPr>
        <w:t xml:space="preserve"> </w:t>
      </w:r>
      <w:r w:rsidRPr="00A509FC">
        <w:rPr>
          <w:rFonts w:ascii="Times New Roman" w:hAnsi="Times New Roman"/>
          <w:sz w:val="24"/>
        </w:rPr>
        <w:t>La loi devra organiser les « </w:t>
      </w:r>
      <w:r w:rsidRPr="00A509FC">
        <w:rPr>
          <w:rFonts w:ascii="Times New Roman" w:hAnsi="Times New Roman"/>
          <w:i/>
          <w:sz w:val="24"/>
        </w:rPr>
        <w:t>disclosures »</w:t>
      </w:r>
      <w:r w:rsidRPr="00A509FC">
        <w:rPr>
          <w:rFonts w:ascii="Times New Roman" w:hAnsi="Times New Roman"/>
          <w:sz w:val="24"/>
        </w:rPr>
        <w:t xml:space="preserve"> utiles et pertinentes car les informations sur la valeur devraient être recherchées et partagées dès l’ouverture de la procédure et, comme aux Etats-Unis – révélées aux créanciers avec qui une discussion couverte par le secret des affaires, devrait pouvoir être engagée à la condition de la signature de la convention de confidentialité, de non-débauchage et de non-concurrence protectrice de la valeur. Le débat ne doit pas être tranché, il doit être utile aux finalités des procédures et permettre au juge de </w:t>
      </w:r>
      <w:r w:rsidRPr="00A509FC">
        <w:rPr>
          <w:rFonts w:ascii="Times New Roman" w:hAnsi="Times New Roman"/>
          <w:i/>
          <w:sz w:val="24"/>
        </w:rPr>
        <w:t>Fair</w:t>
      </w:r>
      <w:r w:rsidRPr="00A509FC">
        <w:rPr>
          <w:rFonts w:ascii="Times New Roman" w:hAnsi="Times New Roman"/>
          <w:sz w:val="24"/>
        </w:rPr>
        <w:t>e son office.</w:t>
      </w:r>
    </w:p>
    <w:p w:rsidR="008064D7" w:rsidRDefault="008064D7" w:rsidP="008B5056">
      <w:pPr>
        <w:spacing w:line="240" w:lineRule="auto"/>
        <w:rPr>
          <w:rFonts w:ascii="Times New Roman" w:hAnsi="Times New Roman"/>
          <w:b/>
          <w:smallCaps/>
          <w:sz w:val="28"/>
          <w14:shadow w14:blurRad="50800" w14:dist="38100" w14:dir="2700000" w14:sx="100000" w14:sy="100000" w14:kx="0" w14:ky="0" w14:algn="tl">
            <w14:srgbClr w14:val="000000">
              <w14:alpha w14:val="60000"/>
            </w14:srgbClr>
          </w14:shadow>
        </w:rPr>
      </w:pPr>
    </w:p>
    <w:p w:rsidR="008064D7" w:rsidRPr="00D21249" w:rsidRDefault="008064D7" w:rsidP="00A509FC">
      <w:pPr>
        <w:pStyle w:val="Paragraphedeliste"/>
        <w:numPr>
          <w:ilvl w:val="0"/>
          <w:numId w:val="2"/>
        </w:numPr>
        <w:spacing w:line="240" w:lineRule="auto"/>
        <w:ind w:hanging="567"/>
        <w:rPr>
          <w:rFonts w:ascii="Times New Roman" w:hAnsi="Times New Roman"/>
          <w:b/>
          <w:smallCaps/>
          <w:sz w:val="28"/>
          <w14:shadow w14:blurRad="50800" w14:dist="38100" w14:dir="2700000" w14:sx="100000" w14:sy="100000" w14:kx="0" w14:ky="0" w14:algn="tl">
            <w14:srgbClr w14:val="000000">
              <w14:alpha w14:val="60000"/>
            </w14:srgbClr>
          </w14:shadow>
        </w:rPr>
      </w:pPr>
      <w:r w:rsidRPr="00D21249">
        <w:rPr>
          <w:rFonts w:ascii="Times New Roman" w:hAnsi="Times New Roman"/>
          <w:sz w:val="24"/>
          <w:u w:val="single"/>
        </w:rPr>
        <w:t>Nouvelle pratique du droit de l’insolvabilité </w:t>
      </w:r>
      <w:r w:rsidRPr="00D21249">
        <w:rPr>
          <w:rFonts w:ascii="Times New Roman" w:hAnsi="Times New Roman"/>
          <w:sz w:val="24"/>
        </w:rPr>
        <w:t xml:space="preserve">: la mise en œuvre de la règle de priorité – et celle du </w:t>
      </w:r>
      <w:r w:rsidRPr="007C17D3">
        <w:rPr>
          <w:rFonts w:ascii="Times New Roman" w:hAnsi="Times New Roman"/>
          <w:i/>
          <w:sz w:val="24"/>
        </w:rPr>
        <w:t>Best interest</w:t>
      </w:r>
      <w:r w:rsidRPr="00D21249">
        <w:rPr>
          <w:rFonts w:ascii="Times New Roman" w:hAnsi="Times New Roman"/>
          <w:sz w:val="24"/>
        </w:rPr>
        <w:t xml:space="preserve"> – qu’elle soit d’ailleurs relative ou absolue va changer </w:t>
      </w:r>
      <w:r w:rsidRPr="00D21249">
        <w:rPr>
          <w:rFonts w:ascii="Times New Roman" w:hAnsi="Times New Roman"/>
          <w:sz w:val="24"/>
        </w:rPr>
        <w:lastRenderedPageBreak/>
        <w:t xml:space="preserve">profondément le droit de l’insolvabilité. En limitant le droit des créanciers à la valeur </w:t>
      </w:r>
      <w:r w:rsidRPr="007C17D3">
        <w:rPr>
          <w:rFonts w:ascii="Times New Roman" w:hAnsi="Times New Roman"/>
          <w:i/>
          <w:sz w:val="24"/>
        </w:rPr>
        <w:t>going-concern</w:t>
      </w:r>
      <w:r w:rsidRPr="00D21249">
        <w:rPr>
          <w:rFonts w:ascii="Times New Roman" w:hAnsi="Times New Roman"/>
          <w:sz w:val="24"/>
        </w:rPr>
        <w:t xml:space="preserve"> et en les obligeant à se la partager tout en donnant à chacun au moins autant qu’en liquidation, la règle obligera tous les créanciers, les actionnaires et les débiteurs à un travail d’alignement de leurs intérêts plus que d’opposition – souvent stérile – de ceux-ci. Pour les professionnels, le changement de pratique sera très important, beaucoup plus axé sur l’économie et la finance que sur la forme et la procédure juridique tout en valorisant mieux la stratégie et la gestion des comportements de tous les acteurs fusse au risque de liquidation. Cette pratique – si elle produit un meilleur rendement pour les créanciers tout en préservant les débiteurs – créera (comme aux Etats-Unis</w:t>
      </w:r>
      <w:r>
        <w:rPr>
          <w:rStyle w:val="Appelnotedebasdep"/>
          <w:rFonts w:ascii="Times New Roman" w:hAnsi="Times New Roman"/>
          <w:sz w:val="24"/>
        </w:rPr>
        <w:footnoteReference w:id="380"/>
      </w:r>
      <w:r w:rsidRPr="00D21249">
        <w:rPr>
          <w:rFonts w:ascii="Times New Roman" w:hAnsi="Times New Roman"/>
          <w:sz w:val="24"/>
        </w:rPr>
        <w:t>) plus de valeur ajoutée. Elle sera plus appréciée e valorisée.</w:t>
      </w:r>
    </w:p>
    <w:p w:rsidR="008064D7" w:rsidRDefault="008064D7">
      <w:pPr>
        <w:spacing w:after="160" w:line="259" w:lineRule="auto"/>
        <w:jc w:val="left"/>
        <w:rPr>
          <w:rFonts w:ascii="Times New Roman" w:eastAsiaTheme="majorEastAsia" w:hAnsi="Times New Roman"/>
          <w:color w:val="2E74B5" w:themeColor="accent1" w:themeShade="BF"/>
          <w:sz w:val="32"/>
          <w:szCs w:val="32"/>
          <w14:shadow w14:blurRad="50800" w14:dist="38100" w14:dir="2700000" w14:sx="100000" w14:sy="100000" w14:kx="0" w14:ky="0" w14:algn="tl">
            <w14:srgbClr w14:val="000000">
              <w14:alpha w14:val="60000"/>
            </w14:srgbClr>
          </w14:shadow>
        </w:rPr>
      </w:pPr>
      <w:r>
        <w:rPr>
          <w:rFonts w:ascii="Times New Roman" w:hAnsi="Times New Roman"/>
          <w14:shadow w14:blurRad="50800" w14:dist="38100" w14:dir="2700000" w14:sx="100000" w14:sy="100000" w14:kx="0" w14:ky="0" w14:algn="tl">
            <w14:srgbClr w14:val="000000">
              <w14:alpha w14:val="60000"/>
            </w14:srgbClr>
          </w14:shadow>
        </w:rPr>
        <w:br w:type="page"/>
      </w:r>
    </w:p>
    <w:p w:rsidR="008064D7" w:rsidRPr="00E513A3" w:rsidRDefault="008064D7" w:rsidP="00AD31A6">
      <w:pPr>
        <w:pStyle w:val="Titre1"/>
        <w:spacing w:before="0" w:line="240" w:lineRule="auto"/>
        <w:rPr>
          <w:rFonts w:ascii="Times New Roman" w:hAnsi="Times New Roman" w:cs="Times New Roman"/>
          <w14:shadow w14:blurRad="50800" w14:dist="38100" w14:dir="2700000" w14:sx="100000" w14:sy="100000" w14:kx="0" w14:ky="0" w14:algn="tl">
            <w14:srgbClr w14:val="000000">
              <w14:alpha w14:val="60000"/>
            </w14:srgbClr>
          </w14:shadow>
        </w:rPr>
      </w:pPr>
      <w:bookmarkStart w:id="68" w:name="_Toc55407513"/>
      <w:r>
        <w:rPr>
          <w:rFonts w:ascii="Times New Roman" w:hAnsi="Times New Roman" w:cs="Times New Roman"/>
          <w14:shadow w14:blurRad="50800" w14:dist="38100" w14:dir="2700000" w14:sx="100000" w14:sy="100000" w14:kx="0" w14:ky="0" w14:algn="tl">
            <w14:srgbClr w14:val="000000">
              <w14:alpha w14:val="60000"/>
            </w14:srgbClr>
          </w14:shadow>
        </w:rPr>
        <w:lastRenderedPageBreak/>
        <w:t xml:space="preserve">Conclusions : Nouveaux axes du droit de l’insolvabilité- enjeux pour les </w:t>
      </w:r>
      <w:r w:rsidRPr="00C44D7D">
        <w:rPr>
          <w:rFonts w:ascii="Times New Roman" w:hAnsi="Times New Roman" w:cs="Times New Roman"/>
          <w:i/>
          <w14:shadow w14:blurRad="50800" w14:dist="38100" w14:dir="2700000" w14:sx="100000" w14:sy="100000" w14:kx="0" w14:ky="0" w14:algn="tl">
            <w14:srgbClr w14:val="000000">
              <w14:alpha w14:val="60000"/>
            </w14:srgbClr>
          </w14:shadow>
        </w:rPr>
        <w:t>stakeholders</w:t>
      </w:r>
      <w:bookmarkEnd w:id="68"/>
    </w:p>
    <w:p w:rsidR="008064D7" w:rsidRDefault="008064D7" w:rsidP="00D21249">
      <w:pPr>
        <w:pStyle w:val="Paragraphedeliste"/>
        <w:spacing w:line="240" w:lineRule="auto"/>
        <w:ind w:left="786"/>
        <w:rPr>
          <w:rFonts w:ascii="Times New Roman" w:hAnsi="Times New Roman"/>
          <w:sz w:val="24"/>
        </w:rPr>
      </w:pPr>
    </w:p>
    <w:p w:rsidR="008064D7" w:rsidRPr="00A51A45" w:rsidRDefault="008064D7" w:rsidP="007565AA">
      <w:pPr>
        <w:pStyle w:val="Titre2"/>
        <w:numPr>
          <w:ilvl w:val="0"/>
          <w:numId w:val="22"/>
        </w:numPr>
        <w:rPr>
          <w:rFonts w:ascii="Times New Roman" w:hAnsi="Times New Roman" w:cs="Times New Roman"/>
        </w:rPr>
      </w:pPr>
      <w:bookmarkStart w:id="69" w:name="_Toc55407514"/>
      <w:r w:rsidRPr="00A51A45">
        <w:rPr>
          <w:rFonts w:ascii="Times New Roman" w:hAnsi="Times New Roman" w:cs="Times New Roman"/>
        </w:rPr>
        <w:t xml:space="preserve">Nouveaux </w:t>
      </w:r>
      <w:r w:rsidR="00A509FC">
        <w:rPr>
          <w:rFonts w:ascii="Times New Roman" w:hAnsi="Times New Roman" w:cs="Times New Roman"/>
        </w:rPr>
        <w:t>ou pas nouveaux ?</w:t>
      </w:r>
      <w:bookmarkEnd w:id="69"/>
      <w:r w:rsidRPr="00A51A45">
        <w:rPr>
          <w:rFonts w:ascii="Times New Roman" w:hAnsi="Times New Roman" w:cs="Times New Roman"/>
        </w:rPr>
        <w:t xml:space="preserve"> </w:t>
      </w:r>
    </w:p>
    <w:p w:rsidR="008064D7" w:rsidRDefault="008064D7" w:rsidP="00D21249">
      <w:pPr>
        <w:pStyle w:val="Paragraphedeliste"/>
        <w:spacing w:line="240" w:lineRule="auto"/>
        <w:ind w:left="786"/>
        <w:rPr>
          <w:rFonts w:ascii="Times New Roman" w:hAnsi="Times New Roman"/>
          <w:sz w:val="24"/>
        </w:rPr>
      </w:pPr>
    </w:p>
    <w:p w:rsidR="008064D7" w:rsidRDefault="008064D7" w:rsidP="00A509FC">
      <w:pPr>
        <w:pStyle w:val="Paragraphedeliste"/>
        <w:numPr>
          <w:ilvl w:val="0"/>
          <w:numId w:val="2"/>
        </w:numPr>
        <w:spacing w:line="240" w:lineRule="auto"/>
        <w:ind w:hanging="567"/>
        <w:rPr>
          <w:rFonts w:ascii="Times New Roman" w:hAnsi="Times New Roman"/>
          <w:sz w:val="24"/>
        </w:rPr>
      </w:pPr>
      <w:r w:rsidRPr="0062009D">
        <w:rPr>
          <w:rFonts w:ascii="Times New Roman" w:hAnsi="Times New Roman"/>
          <w:sz w:val="24"/>
          <w:u w:val="single"/>
        </w:rPr>
        <w:t>Ressemblances </w:t>
      </w:r>
      <w:r>
        <w:rPr>
          <w:rFonts w:ascii="Times New Roman" w:hAnsi="Times New Roman"/>
          <w:sz w:val="24"/>
          <w:u w:val="single"/>
        </w:rPr>
        <w:t xml:space="preserve"> entre le </w:t>
      </w:r>
      <w:r w:rsidRPr="007C17D3">
        <w:rPr>
          <w:rFonts w:ascii="Times New Roman" w:hAnsi="Times New Roman"/>
          <w:i/>
          <w:sz w:val="24"/>
          <w:u w:val="single"/>
        </w:rPr>
        <w:t>In the money</w:t>
      </w:r>
      <w:r>
        <w:rPr>
          <w:rFonts w:ascii="Times New Roman" w:hAnsi="Times New Roman"/>
          <w:sz w:val="24"/>
          <w:u w:val="single"/>
        </w:rPr>
        <w:t xml:space="preserve"> et</w:t>
      </w:r>
      <w:r w:rsidRPr="0062009D">
        <w:rPr>
          <w:rFonts w:ascii="Times New Roman" w:hAnsi="Times New Roman"/>
          <w:sz w:val="24"/>
          <w:u w:val="single"/>
        </w:rPr>
        <w:t xml:space="preserve"> le droit actuel</w:t>
      </w:r>
      <w:r>
        <w:rPr>
          <w:rFonts w:ascii="Times New Roman" w:hAnsi="Times New Roman"/>
          <w:sz w:val="24"/>
        </w:rPr>
        <w:t xml:space="preserve"> : Au terme de cet examen, on peut être surpris de constater que les notions de la directive – </w:t>
      </w:r>
      <w:r w:rsidR="00A509FC">
        <w:rPr>
          <w:rFonts w:ascii="Times New Roman" w:hAnsi="Times New Roman"/>
          <w:sz w:val="24"/>
        </w:rPr>
        <w:t>souvent</w:t>
      </w:r>
      <w:r>
        <w:rPr>
          <w:rFonts w:ascii="Times New Roman" w:hAnsi="Times New Roman"/>
          <w:sz w:val="24"/>
        </w:rPr>
        <w:t xml:space="preserve"> présentée</w:t>
      </w:r>
      <w:r w:rsidR="00060877">
        <w:rPr>
          <w:rFonts w:ascii="Times New Roman" w:hAnsi="Times New Roman"/>
          <w:sz w:val="24"/>
        </w:rPr>
        <w:t>s</w:t>
      </w:r>
      <w:r>
        <w:rPr>
          <w:rFonts w:ascii="Times New Roman" w:hAnsi="Times New Roman"/>
          <w:sz w:val="24"/>
        </w:rPr>
        <w:t xml:space="preserve"> comme </w:t>
      </w:r>
      <w:r w:rsidR="00060877">
        <w:rPr>
          <w:rFonts w:ascii="Times New Roman" w:hAnsi="Times New Roman"/>
          <w:sz w:val="24"/>
        </w:rPr>
        <w:t>« </w:t>
      </w:r>
      <w:r w:rsidRPr="00060877">
        <w:rPr>
          <w:rFonts w:ascii="Times New Roman" w:hAnsi="Times New Roman"/>
          <w:i/>
          <w:sz w:val="24"/>
        </w:rPr>
        <w:t>un machin</w:t>
      </w:r>
      <w:r>
        <w:rPr>
          <w:rFonts w:ascii="Times New Roman" w:hAnsi="Times New Roman"/>
          <w:sz w:val="24"/>
        </w:rPr>
        <w:t> » ou une « </w:t>
      </w:r>
      <w:r w:rsidRPr="00060877">
        <w:rPr>
          <w:rFonts w:ascii="Times New Roman" w:hAnsi="Times New Roman"/>
          <w:i/>
          <w:sz w:val="24"/>
        </w:rPr>
        <w:t>usine à gaz</w:t>
      </w:r>
      <w:r>
        <w:rPr>
          <w:rFonts w:ascii="Times New Roman" w:hAnsi="Times New Roman"/>
          <w:sz w:val="24"/>
        </w:rPr>
        <w:t> »</w:t>
      </w:r>
      <w:r w:rsidR="00060877">
        <w:rPr>
          <w:rFonts w:ascii="Times New Roman" w:hAnsi="Times New Roman"/>
          <w:sz w:val="24"/>
        </w:rPr>
        <w:t xml:space="preserve"> -</w:t>
      </w:r>
      <w:r>
        <w:rPr>
          <w:rFonts w:ascii="Times New Roman" w:hAnsi="Times New Roman"/>
          <w:sz w:val="24"/>
        </w:rPr>
        <w:t xml:space="preserve"> ne sont pas très éloignées des notions existantes dans notre droit actuel : valeur going-concern, valeur de liquidation, </w:t>
      </w:r>
      <w:r w:rsidR="00A509FC">
        <w:rPr>
          <w:rFonts w:ascii="Times New Roman" w:hAnsi="Times New Roman"/>
          <w:sz w:val="24"/>
        </w:rPr>
        <w:t>non-discrimination</w:t>
      </w:r>
      <w:r>
        <w:rPr>
          <w:rFonts w:ascii="Times New Roman" w:hAnsi="Times New Roman"/>
          <w:sz w:val="24"/>
        </w:rPr>
        <w:t>, traitement proportionnel , catégories de créanc</w:t>
      </w:r>
      <w:r w:rsidR="00060877">
        <w:rPr>
          <w:rFonts w:ascii="Times New Roman" w:hAnsi="Times New Roman"/>
          <w:sz w:val="24"/>
        </w:rPr>
        <w:t>iers, créanciers secured ou non-</w:t>
      </w:r>
      <w:r>
        <w:rPr>
          <w:rFonts w:ascii="Times New Roman" w:hAnsi="Times New Roman"/>
          <w:sz w:val="24"/>
        </w:rPr>
        <w:t xml:space="preserve">secured ( ordinaires et extraordinaire) , protection des droits des extraordinaires (paiement d’intérêt et non </w:t>
      </w:r>
      <w:r w:rsidR="00A509FC">
        <w:rPr>
          <w:rFonts w:ascii="Times New Roman" w:hAnsi="Times New Roman"/>
          <w:sz w:val="24"/>
        </w:rPr>
        <w:t>extension</w:t>
      </w:r>
      <w:r>
        <w:rPr>
          <w:rFonts w:ascii="Times New Roman" w:hAnsi="Times New Roman"/>
          <w:sz w:val="24"/>
        </w:rPr>
        <w:t xml:space="preserve"> </w:t>
      </w:r>
      <w:r w:rsidR="00A509FC">
        <w:rPr>
          <w:rFonts w:ascii="Times New Roman" w:hAnsi="Times New Roman"/>
          <w:sz w:val="24"/>
        </w:rPr>
        <w:t>au-delà</w:t>
      </w:r>
      <w:r>
        <w:rPr>
          <w:rFonts w:ascii="Times New Roman" w:hAnsi="Times New Roman"/>
          <w:sz w:val="24"/>
        </w:rPr>
        <w:t xml:space="preserve"> de 24 mois en cas d’atteinte à la valeur), accord du créancier extraordinaire</w:t>
      </w:r>
      <w:r w:rsidR="00060877">
        <w:rPr>
          <w:rFonts w:ascii="Times New Roman" w:hAnsi="Times New Roman"/>
          <w:sz w:val="24"/>
        </w:rPr>
        <w:t>.</w:t>
      </w:r>
      <w:r>
        <w:rPr>
          <w:rFonts w:ascii="Times New Roman" w:hAnsi="Times New Roman"/>
          <w:sz w:val="24"/>
        </w:rPr>
        <w:t xml:space="preserve"> </w:t>
      </w:r>
    </w:p>
    <w:p w:rsidR="008064D7" w:rsidRPr="005B25E5" w:rsidRDefault="008064D7" w:rsidP="005B25E5">
      <w:pPr>
        <w:pStyle w:val="Paragraphedeliste"/>
        <w:spacing w:after="160" w:line="259" w:lineRule="auto"/>
        <w:ind w:left="786"/>
        <w:rPr>
          <w:rFonts w:ascii="Times New Roman" w:hAnsi="Times New Roman"/>
          <w:sz w:val="24"/>
        </w:rPr>
      </w:pPr>
    </w:p>
    <w:p w:rsidR="008064D7" w:rsidRPr="005B25E5" w:rsidRDefault="008064D7" w:rsidP="00A509FC">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Des</w:t>
      </w:r>
      <w:r w:rsidR="00060877">
        <w:rPr>
          <w:rFonts w:ascii="Times New Roman" w:hAnsi="Times New Roman"/>
          <w:sz w:val="24"/>
          <w:u w:val="single"/>
        </w:rPr>
        <w:t xml:space="preserve"> différences existent cependant.</w:t>
      </w:r>
    </w:p>
    <w:p w:rsidR="008064D7" w:rsidRPr="005B25E5" w:rsidRDefault="008064D7" w:rsidP="005B25E5">
      <w:pPr>
        <w:pStyle w:val="Paragraphedeliste"/>
        <w:rPr>
          <w:rFonts w:ascii="Times New Roman" w:hAnsi="Times New Roman"/>
          <w:sz w:val="24"/>
          <w:u w:val="single"/>
        </w:rPr>
      </w:pPr>
    </w:p>
    <w:p w:rsidR="009A0AD5" w:rsidRPr="005B25E5" w:rsidRDefault="008064D7" w:rsidP="005B25E5">
      <w:pPr>
        <w:pStyle w:val="Paragraphedeliste"/>
        <w:spacing w:after="160" w:line="259" w:lineRule="auto"/>
        <w:ind w:left="786"/>
        <w:rPr>
          <w:rFonts w:ascii="Times New Roman" w:hAnsi="Times New Roman"/>
          <w:sz w:val="24"/>
        </w:rPr>
      </w:pPr>
      <w:r w:rsidRPr="005B25E5">
        <w:rPr>
          <w:rFonts w:ascii="Times New Roman" w:hAnsi="Times New Roman"/>
          <w:sz w:val="24"/>
          <w:u w:val="single"/>
        </w:rPr>
        <w:t>Pour les créanciers extraordinaire (</w:t>
      </w:r>
      <w:r w:rsidRPr="005B25E5">
        <w:rPr>
          <w:rFonts w:ascii="Times New Roman" w:hAnsi="Times New Roman"/>
          <w:i/>
          <w:sz w:val="24"/>
          <w:u w:val="single"/>
        </w:rPr>
        <w:t>Secured</w:t>
      </w:r>
      <w:r w:rsidRPr="005B25E5">
        <w:rPr>
          <w:rFonts w:ascii="Times New Roman" w:hAnsi="Times New Roman"/>
          <w:sz w:val="24"/>
          <w:u w:val="single"/>
        </w:rPr>
        <w:t>),</w:t>
      </w:r>
      <w:r w:rsidR="00060877">
        <w:rPr>
          <w:rFonts w:ascii="Times New Roman" w:hAnsi="Times New Roman"/>
          <w:sz w:val="24"/>
        </w:rPr>
        <w:t xml:space="preserve"> dans le modèle actuel, </w:t>
      </w:r>
      <w:r w:rsidRPr="005B25E5">
        <w:rPr>
          <w:rFonts w:ascii="Times New Roman" w:hAnsi="Times New Roman"/>
          <w:sz w:val="24"/>
        </w:rPr>
        <w:t xml:space="preserve">chaque créancier extraordinaire ne peut se voir imposer sans </w:t>
      </w:r>
      <w:r w:rsidRPr="005B25E5">
        <w:rPr>
          <w:rFonts w:ascii="Times New Roman" w:hAnsi="Times New Roman"/>
          <w:sz w:val="24"/>
          <w:u w:val="single"/>
        </w:rPr>
        <w:t>son</w:t>
      </w:r>
      <w:r w:rsidRPr="005B25E5">
        <w:rPr>
          <w:rFonts w:ascii="Times New Roman" w:hAnsi="Times New Roman"/>
          <w:sz w:val="24"/>
        </w:rPr>
        <w:t xml:space="preserve"> accord individuel autre chose qu’un délai de 24 mois</w:t>
      </w:r>
      <w:r>
        <w:rPr>
          <w:rStyle w:val="Appelnotedebasdep"/>
          <w:rFonts w:ascii="Times New Roman" w:hAnsi="Times New Roman"/>
          <w:sz w:val="24"/>
        </w:rPr>
        <w:footnoteReference w:id="381"/>
      </w:r>
      <w:r w:rsidRPr="005B25E5">
        <w:rPr>
          <w:rFonts w:ascii="Times New Roman" w:hAnsi="Times New Roman"/>
          <w:sz w:val="24"/>
        </w:rPr>
        <w:t xml:space="preserve"> a</w:t>
      </w:r>
      <w:r w:rsidR="009A0AD5" w:rsidRPr="005B25E5">
        <w:rPr>
          <w:rFonts w:ascii="Times New Roman" w:hAnsi="Times New Roman"/>
          <w:sz w:val="24"/>
        </w:rPr>
        <w:t>lors que dans le modèle nouveau, il pourrait devoir accepter</w:t>
      </w:r>
      <w:r w:rsidR="00060877">
        <w:rPr>
          <w:rFonts w:ascii="Times New Roman" w:hAnsi="Times New Roman"/>
          <w:sz w:val="24"/>
        </w:rPr>
        <w:t xml:space="preserve"> ou se voir imposer</w:t>
      </w:r>
      <w:r w:rsidR="009A0AD5" w:rsidRPr="005B25E5">
        <w:rPr>
          <w:rFonts w:ascii="Times New Roman" w:hAnsi="Times New Roman"/>
          <w:sz w:val="24"/>
        </w:rPr>
        <w:t xml:space="preserve"> un plan</w:t>
      </w:r>
      <w:r w:rsidR="00060877">
        <w:rPr>
          <w:rFonts w:ascii="Times New Roman" w:hAnsi="Times New Roman"/>
          <w:sz w:val="24"/>
        </w:rPr>
        <w:t xml:space="preserve"> qui limite ses droits en-deçà des nominaux, voire en-deçà de la valeur going-concern de l’actif qui le sécurise jusqu’à la valeur de liquidation. L’</w:t>
      </w:r>
      <w:r w:rsidR="005B25E5">
        <w:rPr>
          <w:rFonts w:ascii="Times New Roman" w:hAnsi="Times New Roman"/>
          <w:sz w:val="24"/>
        </w:rPr>
        <w:t xml:space="preserve">applications de la règle de priorité relative </w:t>
      </w:r>
      <w:r w:rsidR="00060877">
        <w:rPr>
          <w:rFonts w:ascii="Times New Roman" w:hAnsi="Times New Roman"/>
          <w:sz w:val="24"/>
        </w:rPr>
        <w:t>accorderaient</w:t>
      </w:r>
      <w:r w:rsidR="005B25E5">
        <w:rPr>
          <w:rFonts w:ascii="Times New Roman" w:hAnsi="Times New Roman"/>
          <w:sz w:val="24"/>
        </w:rPr>
        <w:t xml:space="preserve"> au juge européen plus de pouvoir que n’a actuellement le juge américain de distribuer les pertes en partie sur le créancier extraordinaire en prenant en compte les intérêts des autres stakeholders si la continuité de l’entreprise </w:t>
      </w:r>
      <w:r w:rsidR="00A509FC">
        <w:rPr>
          <w:rFonts w:ascii="Times New Roman" w:hAnsi="Times New Roman"/>
          <w:sz w:val="24"/>
        </w:rPr>
        <w:t>l’exige</w:t>
      </w:r>
      <w:r w:rsidR="00060877">
        <w:rPr>
          <w:rFonts w:ascii="Times New Roman" w:hAnsi="Times New Roman"/>
          <w:sz w:val="24"/>
        </w:rPr>
        <w:t>ait</w:t>
      </w:r>
      <w:r w:rsidR="00A509FC">
        <w:rPr>
          <w:rFonts w:ascii="Times New Roman" w:hAnsi="Times New Roman"/>
          <w:sz w:val="24"/>
        </w:rPr>
        <w:t>.</w:t>
      </w:r>
      <w:r w:rsidR="005B25E5">
        <w:rPr>
          <w:rFonts w:ascii="Times New Roman" w:hAnsi="Times New Roman"/>
          <w:sz w:val="24"/>
        </w:rPr>
        <w:t xml:space="preserve"> </w:t>
      </w:r>
    </w:p>
    <w:p w:rsidR="009A0AD5" w:rsidRDefault="009A0AD5" w:rsidP="00D21249">
      <w:pPr>
        <w:pStyle w:val="Paragraphedeliste"/>
        <w:spacing w:line="240" w:lineRule="auto"/>
        <w:ind w:left="786"/>
        <w:rPr>
          <w:rFonts w:ascii="Times New Roman" w:hAnsi="Times New Roman"/>
          <w:sz w:val="24"/>
          <w:u w:val="single"/>
        </w:rPr>
      </w:pPr>
    </w:p>
    <w:p w:rsidR="00E8352C" w:rsidRDefault="009A0AD5" w:rsidP="00D21249">
      <w:pPr>
        <w:pStyle w:val="Paragraphedeliste"/>
        <w:spacing w:line="240" w:lineRule="auto"/>
        <w:ind w:left="786"/>
        <w:rPr>
          <w:rFonts w:ascii="Times New Roman" w:hAnsi="Times New Roman"/>
          <w:sz w:val="24"/>
        </w:rPr>
      </w:pPr>
      <w:r>
        <w:rPr>
          <w:rFonts w:ascii="Times New Roman" w:hAnsi="Times New Roman"/>
          <w:sz w:val="24"/>
          <w:u w:val="single"/>
        </w:rPr>
        <w:t>Les créanciers ordinaires</w:t>
      </w:r>
      <w:r w:rsidR="00E86BB0">
        <w:rPr>
          <w:rFonts w:ascii="Times New Roman" w:hAnsi="Times New Roman"/>
          <w:sz w:val="24"/>
          <w:u w:val="single"/>
        </w:rPr>
        <w:t xml:space="preserve"> (</w:t>
      </w:r>
      <w:r w:rsidR="007C17D3" w:rsidRPr="007C17D3">
        <w:rPr>
          <w:rFonts w:ascii="Times New Roman" w:hAnsi="Times New Roman"/>
          <w:i/>
          <w:sz w:val="24"/>
          <w:u w:val="single"/>
        </w:rPr>
        <w:t>Secured</w:t>
      </w:r>
      <w:r w:rsidR="00E86BB0">
        <w:rPr>
          <w:rFonts w:ascii="Times New Roman" w:hAnsi="Times New Roman"/>
          <w:sz w:val="24"/>
          <w:u w:val="single"/>
        </w:rPr>
        <w:t>)</w:t>
      </w:r>
      <w:r>
        <w:rPr>
          <w:rFonts w:ascii="Times New Roman" w:hAnsi="Times New Roman"/>
          <w:sz w:val="24"/>
        </w:rPr>
        <w:t xml:space="preserve"> auront un plus grand levier </w:t>
      </w:r>
      <w:r w:rsidR="00E86BB0">
        <w:rPr>
          <w:rFonts w:ascii="Times New Roman" w:hAnsi="Times New Roman"/>
          <w:sz w:val="24"/>
        </w:rPr>
        <w:t xml:space="preserve">qu’aujourd’hui </w:t>
      </w:r>
      <w:r>
        <w:rPr>
          <w:rFonts w:ascii="Times New Roman" w:hAnsi="Times New Roman"/>
          <w:sz w:val="24"/>
        </w:rPr>
        <w:t xml:space="preserve">dans la nouvelle procédure puisque souvent le vote majoritaire en volume dans l’actuelle procédure est </w:t>
      </w:r>
      <w:r w:rsidR="00A51A45">
        <w:rPr>
          <w:rFonts w:ascii="Times New Roman" w:hAnsi="Times New Roman"/>
          <w:sz w:val="24"/>
        </w:rPr>
        <w:t>obtenu</w:t>
      </w:r>
      <w:r>
        <w:rPr>
          <w:rFonts w:ascii="Times New Roman" w:hAnsi="Times New Roman"/>
          <w:sz w:val="24"/>
        </w:rPr>
        <w:t xml:space="preserve"> par le vote des extraordinaire</w:t>
      </w:r>
      <w:r w:rsidR="00E86BB0">
        <w:rPr>
          <w:rFonts w:ascii="Times New Roman" w:hAnsi="Times New Roman"/>
          <w:sz w:val="24"/>
        </w:rPr>
        <w:t>s</w:t>
      </w:r>
      <w:r>
        <w:rPr>
          <w:rFonts w:ascii="Times New Roman" w:hAnsi="Times New Roman"/>
          <w:sz w:val="24"/>
        </w:rPr>
        <w:t xml:space="preserve"> qui ne sont pas très affectés ou par les créances liées. Dans le nouveau système, les créanciers </w:t>
      </w:r>
      <w:r w:rsidR="007C17D3" w:rsidRPr="007C17D3">
        <w:rPr>
          <w:rFonts w:ascii="Times New Roman" w:hAnsi="Times New Roman"/>
          <w:i/>
          <w:sz w:val="24"/>
        </w:rPr>
        <w:t>Unsecured</w:t>
      </w:r>
      <w:r w:rsidRPr="00C44D7D">
        <w:rPr>
          <w:rFonts w:ascii="Times New Roman" w:hAnsi="Times New Roman"/>
          <w:i/>
          <w:sz w:val="24"/>
        </w:rPr>
        <w:t xml:space="preserve"> </w:t>
      </w:r>
      <w:r w:rsidR="00E86BB0">
        <w:rPr>
          <w:rFonts w:ascii="Times New Roman" w:hAnsi="Times New Roman"/>
          <w:sz w:val="24"/>
        </w:rPr>
        <w:t>(</w:t>
      </w:r>
      <w:r>
        <w:rPr>
          <w:rFonts w:ascii="Times New Roman" w:hAnsi="Times New Roman"/>
          <w:sz w:val="24"/>
        </w:rPr>
        <w:t>ordinaire</w:t>
      </w:r>
      <w:r w:rsidR="00E86BB0">
        <w:rPr>
          <w:rFonts w:ascii="Times New Roman" w:hAnsi="Times New Roman"/>
          <w:sz w:val="24"/>
        </w:rPr>
        <w:t>s),</w:t>
      </w:r>
      <w:r>
        <w:rPr>
          <w:rFonts w:ascii="Times New Roman" w:hAnsi="Times New Roman"/>
          <w:sz w:val="24"/>
        </w:rPr>
        <w:t xml:space="preserve"> en refusant de voter </w:t>
      </w:r>
      <w:r w:rsidR="005C6983">
        <w:rPr>
          <w:rFonts w:ascii="Times New Roman" w:hAnsi="Times New Roman"/>
          <w:sz w:val="24"/>
        </w:rPr>
        <w:t>et en discutant la valeur de l’</w:t>
      </w:r>
      <w:r w:rsidR="00A51A45">
        <w:rPr>
          <w:rFonts w:ascii="Times New Roman" w:hAnsi="Times New Roman"/>
          <w:sz w:val="24"/>
        </w:rPr>
        <w:t>entreprise</w:t>
      </w:r>
      <w:r w:rsidR="00E86BB0">
        <w:rPr>
          <w:rFonts w:ascii="Times New Roman" w:hAnsi="Times New Roman"/>
          <w:sz w:val="24"/>
        </w:rPr>
        <w:t>,</w:t>
      </w:r>
      <w:r w:rsidR="005C6983">
        <w:rPr>
          <w:rFonts w:ascii="Times New Roman" w:hAnsi="Times New Roman"/>
          <w:sz w:val="24"/>
        </w:rPr>
        <w:t xml:space="preserve"> pourront négocier un traitement plus </w:t>
      </w:r>
      <w:r w:rsidR="00A51A45">
        <w:rPr>
          <w:rFonts w:ascii="Times New Roman" w:hAnsi="Times New Roman"/>
          <w:sz w:val="24"/>
        </w:rPr>
        <w:t>favorable.</w:t>
      </w:r>
      <w:r w:rsidR="005B25E5">
        <w:rPr>
          <w:rFonts w:ascii="Times New Roman" w:hAnsi="Times New Roman"/>
          <w:sz w:val="24"/>
        </w:rPr>
        <w:t xml:space="preserve"> </w:t>
      </w:r>
    </w:p>
    <w:p w:rsidR="005C6983" w:rsidRDefault="005C6983" w:rsidP="00D21249">
      <w:pPr>
        <w:pStyle w:val="Paragraphedeliste"/>
        <w:spacing w:line="240" w:lineRule="auto"/>
        <w:ind w:left="786"/>
        <w:rPr>
          <w:rFonts w:ascii="Times New Roman" w:hAnsi="Times New Roman"/>
          <w:sz w:val="24"/>
        </w:rPr>
      </w:pPr>
    </w:p>
    <w:p w:rsidR="008B3E2A" w:rsidRPr="005C6983" w:rsidRDefault="005C6983" w:rsidP="00E86BB0">
      <w:pPr>
        <w:pStyle w:val="Paragraphedeliste"/>
        <w:spacing w:line="240" w:lineRule="auto"/>
        <w:ind w:left="786"/>
        <w:rPr>
          <w:rFonts w:ascii="Times New Roman" w:hAnsi="Times New Roman"/>
          <w:sz w:val="24"/>
          <w:u w:val="single"/>
        </w:rPr>
      </w:pPr>
      <w:r w:rsidRPr="005C6983">
        <w:rPr>
          <w:rFonts w:ascii="Times New Roman" w:hAnsi="Times New Roman"/>
          <w:sz w:val="24"/>
          <w:u w:val="single"/>
        </w:rPr>
        <w:t>Les actionnaires</w:t>
      </w:r>
      <w:r w:rsidR="00060877">
        <w:rPr>
          <w:rFonts w:ascii="Times New Roman" w:hAnsi="Times New Roman"/>
          <w:sz w:val="24"/>
          <w:u w:val="single"/>
        </w:rPr>
        <w:t>,</w:t>
      </w:r>
      <w:r>
        <w:rPr>
          <w:rFonts w:ascii="Times New Roman" w:hAnsi="Times New Roman"/>
          <w:sz w:val="24"/>
        </w:rPr>
        <w:t xml:space="preserve"> </w:t>
      </w:r>
      <w:r w:rsidR="00E86BB0">
        <w:rPr>
          <w:rFonts w:ascii="Times New Roman" w:hAnsi="Times New Roman"/>
          <w:sz w:val="24"/>
        </w:rPr>
        <w:t xml:space="preserve">qui </w:t>
      </w:r>
      <w:r>
        <w:rPr>
          <w:rFonts w:ascii="Times New Roman" w:hAnsi="Times New Roman"/>
          <w:sz w:val="24"/>
        </w:rPr>
        <w:t xml:space="preserve">ne pouvaient rien se </w:t>
      </w:r>
      <w:r w:rsidR="00A509FC" w:rsidRPr="00A509FC">
        <w:rPr>
          <w:rFonts w:ascii="Times New Roman" w:hAnsi="Times New Roman"/>
          <w:sz w:val="24"/>
        </w:rPr>
        <w:t>faire</w:t>
      </w:r>
      <w:r>
        <w:rPr>
          <w:rFonts w:ascii="Times New Roman" w:hAnsi="Times New Roman"/>
          <w:sz w:val="24"/>
        </w:rPr>
        <w:t xml:space="preserve"> impo</w:t>
      </w:r>
      <w:r w:rsidR="00E86BB0">
        <w:rPr>
          <w:rFonts w:ascii="Times New Roman" w:hAnsi="Times New Roman"/>
          <w:sz w:val="24"/>
        </w:rPr>
        <w:t>ser dans la procédure actuelle</w:t>
      </w:r>
      <w:r w:rsidR="00060877">
        <w:rPr>
          <w:rFonts w:ascii="Times New Roman" w:hAnsi="Times New Roman"/>
          <w:sz w:val="24"/>
        </w:rPr>
        <w:t>,</w:t>
      </w:r>
      <w:r w:rsidR="00E86BB0">
        <w:rPr>
          <w:rFonts w:ascii="Times New Roman" w:hAnsi="Times New Roman"/>
          <w:sz w:val="24"/>
        </w:rPr>
        <w:t xml:space="preserve"> pourront</w:t>
      </w:r>
      <w:r>
        <w:rPr>
          <w:rFonts w:ascii="Times New Roman" w:hAnsi="Times New Roman"/>
          <w:sz w:val="24"/>
        </w:rPr>
        <w:t xml:space="preserve"> devoir subir une conversion de créance à des conditions défavorables</w:t>
      </w:r>
      <w:r w:rsidR="00E86BB0">
        <w:rPr>
          <w:rFonts w:ascii="Times New Roman" w:hAnsi="Times New Roman"/>
          <w:sz w:val="24"/>
        </w:rPr>
        <w:t xml:space="preserve"> qui minimisent leurs droits.</w:t>
      </w:r>
      <w:r w:rsidR="005B25E5">
        <w:rPr>
          <w:rFonts w:ascii="Times New Roman" w:hAnsi="Times New Roman"/>
          <w:sz w:val="24"/>
        </w:rPr>
        <w:t xml:space="preserve"> Le principe est même </w:t>
      </w:r>
      <w:r w:rsidR="00A509FC">
        <w:rPr>
          <w:rFonts w:ascii="Times New Roman" w:hAnsi="Times New Roman"/>
          <w:sz w:val="24"/>
        </w:rPr>
        <w:t>qu’ils</w:t>
      </w:r>
      <w:r w:rsidR="005B25E5">
        <w:rPr>
          <w:rFonts w:ascii="Times New Roman" w:hAnsi="Times New Roman"/>
          <w:sz w:val="24"/>
        </w:rPr>
        <w:t xml:space="preserve"> pourraient être partiellement exproprié</w:t>
      </w:r>
      <w:r w:rsidR="00060877">
        <w:rPr>
          <w:rFonts w:ascii="Times New Roman" w:hAnsi="Times New Roman"/>
          <w:sz w:val="24"/>
        </w:rPr>
        <w:t>s</w:t>
      </w:r>
      <w:r w:rsidR="005B25E5">
        <w:rPr>
          <w:rFonts w:ascii="Times New Roman" w:hAnsi="Times New Roman"/>
          <w:sz w:val="24"/>
        </w:rPr>
        <w:t xml:space="preserve"> de </w:t>
      </w:r>
      <w:r w:rsidR="00A509FC">
        <w:rPr>
          <w:rFonts w:ascii="Times New Roman" w:hAnsi="Times New Roman"/>
          <w:sz w:val="24"/>
        </w:rPr>
        <w:t>leurs droits</w:t>
      </w:r>
      <w:r w:rsidR="005B25E5">
        <w:rPr>
          <w:rFonts w:ascii="Times New Roman" w:hAnsi="Times New Roman"/>
          <w:sz w:val="24"/>
        </w:rPr>
        <w:t>, au moins partiellement</w:t>
      </w:r>
      <w:r w:rsidR="00060877">
        <w:rPr>
          <w:rFonts w:ascii="Times New Roman" w:hAnsi="Times New Roman"/>
          <w:sz w:val="24"/>
        </w:rPr>
        <w:t xml:space="preserve"> </w:t>
      </w:r>
      <w:r w:rsidR="005B25E5">
        <w:rPr>
          <w:rFonts w:ascii="Times New Roman" w:hAnsi="Times New Roman"/>
          <w:sz w:val="24"/>
        </w:rPr>
        <w:t xml:space="preserve">- au profit </w:t>
      </w:r>
      <w:r w:rsidR="00060877">
        <w:rPr>
          <w:rFonts w:ascii="Times New Roman" w:hAnsi="Times New Roman"/>
          <w:sz w:val="24"/>
        </w:rPr>
        <w:t>des créanciers juniors</w:t>
      </w:r>
      <w:r w:rsidR="005B25E5">
        <w:rPr>
          <w:rFonts w:ascii="Times New Roman" w:hAnsi="Times New Roman"/>
          <w:sz w:val="24"/>
        </w:rPr>
        <w:t xml:space="preserve"> sauf s’ils réinvestissent d’une manière ou d’une autre dans la valeur de l’entreprise </w:t>
      </w:r>
    </w:p>
    <w:p w:rsidR="009A0AD5" w:rsidRDefault="009A0AD5" w:rsidP="00D21249">
      <w:pPr>
        <w:pStyle w:val="Paragraphedeliste"/>
        <w:spacing w:line="240" w:lineRule="auto"/>
        <w:ind w:left="786"/>
        <w:rPr>
          <w:rFonts w:ascii="Times New Roman" w:hAnsi="Times New Roman"/>
          <w:sz w:val="24"/>
        </w:rPr>
      </w:pPr>
    </w:p>
    <w:p w:rsidR="008B3E2A" w:rsidRDefault="00E86BB0" w:rsidP="006E2C59">
      <w:pPr>
        <w:pStyle w:val="Paragraphedeliste"/>
        <w:spacing w:after="160" w:line="259" w:lineRule="auto"/>
        <w:ind w:left="786"/>
        <w:rPr>
          <w:rFonts w:ascii="Times New Roman" w:hAnsi="Times New Roman"/>
          <w:sz w:val="24"/>
        </w:rPr>
      </w:pPr>
      <w:r>
        <w:rPr>
          <w:rFonts w:ascii="Times New Roman" w:hAnsi="Times New Roman"/>
          <w:sz w:val="24"/>
          <w:u w:val="single"/>
        </w:rPr>
        <w:t>Le processus</w:t>
      </w:r>
      <w:r>
        <w:rPr>
          <w:rFonts w:ascii="Times New Roman" w:hAnsi="Times New Roman"/>
          <w:sz w:val="24"/>
        </w:rPr>
        <w:t xml:space="preserve"> sera aussi différent : la création des classes </w:t>
      </w:r>
      <w:r w:rsidR="00060877">
        <w:rPr>
          <w:rFonts w:ascii="Times New Roman" w:hAnsi="Times New Roman"/>
          <w:sz w:val="24"/>
        </w:rPr>
        <w:t>et même la suspension des poursuites</w:t>
      </w:r>
      <w:r>
        <w:rPr>
          <w:rFonts w:ascii="Times New Roman" w:hAnsi="Times New Roman"/>
          <w:sz w:val="24"/>
        </w:rPr>
        <w:t xml:space="preserve"> résulteront </w:t>
      </w:r>
      <w:r w:rsidR="00060877">
        <w:rPr>
          <w:rFonts w:ascii="Times New Roman" w:hAnsi="Times New Roman"/>
          <w:sz w:val="24"/>
        </w:rPr>
        <w:t>peu ou prou d’</w:t>
      </w:r>
      <w:r>
        <w:rPr>
          <w:rFonts w:ascii="Times New Roman" w:hAnsi="Times New Roman"/>
          <w:sz w:val="24"/>
        </w:rPr>
        <w:t>une négociation. La discussion sur la valeur sera nécessaire si une des parties veut éviter de « </w:t>
      </w:r>
      <w:r>
        <w:rPr>
          <w:rFonts w:ascii="Times New Roman" w:hAnsi="Times New Roman"/>
          <w:i/>
          <w:sz w:val="24"/>
        </w:rPr>
        <w:t>jouer aux dés</w:t>
      </w:r>
      <w:r>
        <w:rPr>
          <w:rFonts w:ascii="Times New Roman" w:hAnsi="Times New Roman"/>
          <w:sz w:val="24"/>
        </w:rPr>
        <w:t xml:space="preserve"> ». Il est donc vraisemblable que de nombreuses </w:t>
      </w:r>
      <w:r w:rsidR="006E2C59">
        <w:rPr>
          <w:rFonts w:ascii="Times New Roman" w:hAnsi="Times New Roman"/>
          <w:sz w:val="24"/>
        </w:rPr>
        <w:t>procédures</w:t>
      </w:r>
      <w:r>
        <w:rPr>
          <w:rFonts w:ascii="Times New Roman" w:hAnsi="Times New Roman"/>
          <w:sz w:val="24"/>
        </w:rPr>
        <w:t xml:space="preserve"> puissent se terminer au stade de la négociation. L’accord amiable homologué pourra servir. On peut aussi imaginer de le compléter d’une </w:t>
      </w:r>
      <w:r>
        <w:rPr>
          <w:rFonts w:ascii="Times New Roman" w:hAnsi="Times New Roman"/>
          <w:sz w:val="24"/>
        </w:rPr>
        <w:lastRenderedPageBreak/>
        <w:t xml:space="preserve">procédure de type </w:t>
      </w:r>
      <w:r w:rsidR="00101802">
        <w:rPr>
          <w:rFonts w:ascii="Times New Roman" w:hAnsi="Times New Roman"/>
          <w:sz w:val="24"/>
        </w:rPr>
        <w:t>Schème</w:t>
      </w:r>
      <w:r>
        <w:rPr>
          <w:rFonts w:ascii="Times New Roman" w:hAnsi="Times New Roman"/>
          <w:sz w:val="24"/>
        </w:rPr>
        <w:t xml:space="preserve"> qui – toujours dans le</w:t>
      </w:r>
      <w:r w:rsidR="00C44D7D">
        <w:rPr>
          <w:rFonts w:ascii="Times New Roman" w:hAnsi="Times New Roman"/>
          <w:i/>
          <w:sz w:val="24"/>
        </w:rPr>
        <w:t xml:space="preserve"> </w:t>
      </w:r>
      <w:r w:rsidR="007C17D3" w:rsidRPr="007C17D3">
        <w:rPr>
          <w:rFonts w:ascii="Times New Roman" w:hAnsi="Times New Roman"/>
          <w:i/>
          <w:sz w:val="24"/>
        </w:rPr>
        <w:t>Pre-</w:t>
      </w:r>
      <w:r w:rsidR="00242A1C" w:rsidRPr="00242A1C">
        <w:rPr>
          <w:rFonts w:ascii="Times New Roman" w:hAnsi="Times New Roman"/>
          <w:i/>
          <w:sz w:val="24"/>
        </w:rPr>
        <w:t>Insolvency</w:t>
      </w:r>
      <w:r>
        <w:rPr>
          <w:rFonts w:ascii="Times New Roman" w:hAnsi="Times New Roman"/>
          <w:sz w:val="24"/>
        </w:rPr>
        <w:t xml:space="preserve"> – aboutira à constater un accord certes contraint, mais encore un accord.</w:t>
      </w:r>
    </w:p>
    <w:p w:rsidR="006E2C59" w:rsidRDefault="006E2C59" w:rsidP="006E2C59">
      <w:pPr>
        <w:pStyle w:val="Paragraphedeliste"/>
        <w:spacing w:after="160" w:line="259" w:lineRule="auto"/>
        <w:ind w:left="786"/>
        <w:rPr>
          <w:rFonts w:ascii="Times New Roman" w:hAnsi="Times New Roman"/>
          <w:sz w:val="24"/>
          <w:u w:val="single"/>
        </w:rPr>
      </w:pPr>
    </w:p>
    <w:p w:rsidR="006E2C59" w:rsidRDefault="006E2C59" w:rsidP="006E2C59">
      <w:pPr>
        <w:pStyle w:val="Paragraphedeliste"/>
        <w:spacing w:after="160" w:line="259" w:lineRule="auto"/>
        <w:ind w:left="786"/>
        <w:rPr>
          <w:rFonts w:ascii="Times New Roman" w:hAnsi="Times New Roman"/>
          <w:sz w:val="24"/>
        </w:rPr>
      </w:pPr>
      <w:r>
        <w:rPr>
          <w:rFonts w:ascii="Times New Roman" w:hAnsi="Times New Roman"/>
          <w:sz w:val="24"/>
          <w:u w:val="single"/>
        </w:rPr>
        <w:t xml:space="preserve">Les travailleurs </w:t>
      </w:r>
      <w:r>
        <w:rPr>
          <w:rFonts w:ascii="Times New Roman" w:hAnsi="Times New Roman"/>
          <w:sz w:val="24"/>
        </w:rPr>
        <w:t>trouveront dans la directive, si el</w:t>
      </w:r>
      <w:r w:rsidR="00C44D7D">
        <w:rPr>
          <w:rFonts w:ascii="Times New Roman" w:hAnsi="Times New Roman"/>
          <w:sz w:val="24"/>
        </w:rPr>
        <w:t>le est transposée sur ce point,</w:t>
      </w:r>
      <w:r>
        <w:rPr>
          <w:rFonts w:ascii="Times New Roman" w:hAnsi="Times New Roman"/>
          <w:sz w:val="24"/>
        </w:rPr>
        <w:t xml:space="preserve"> un levier pour contester l’approbation de plan qui affecterait trop leur situation au regard du traitement fait aux créanciers – en particulier financier – et aux actionnaires.</w:t>
      </w:r>
    </w:p>
    <w:p w:rsidR="006E2C59" w:rsidRDefault="006E2C59" w:rsidP="006E2C59">
      <w:pPr>
        <w:pStyle w:val="Paragraphedeliste"/>
        <w:spacing w:after="160" w:line="259" w:lineRule="auto"/>
        <w:ind w:left="786"/>
        <w:rPr>
          <w:rFonts w:ascii="Times New Roman" w:hAnsi="Times New Roman"/>
          <w:sz w:val="24"/>
        </w:rPr>
      </w:pPr>
    </w:p>
    <w:p w:rsidR="00234ABA" w:rsidRDefault="009D49E2" w:rsidP="009D49E2">
      <w:pPr>
        <w:pStyle w:val="Paragraphedeliste"/>
        <w:spacing w:line="240" w:lineRule="auto"/>
        <w:ind w:left="786"/>
        <w:rPr>
          <w:rFonts w:ascii="Times New Roman" w:hAnsi="Times New Roman"/>
          <w:sz w:val="24"/>
        </w:rPr>
      </w:pPr>
      <w:r>
        <w:rPr>
          <w:rFonts w:ascii="Times New Roman" w:hAnsi="Times New Roman"/>
          <w:sz w:val="24"/>
          <w:u w:val="single"/>
        </w:rPr>
        <w:t>Création d’un seuil minimum</w:t>
      </w:r>
      <w:r w:rsidR="006E2C59">
        <w:rPr>
          <w:rFonts w:ascii="Times New Roman" w:hAnsi="Times New Roman"/>
          <w:sz w:val="24"/>
          <w:u w:val="single"/>
        </w:rPr>
        <w:t> </w:t>
      </w:r>
      <w:r w:rsidR="006E2C59">
        <w:rPr>
          <w:rFonts w:ascii="Times New Roman" w:hAnsi="Times New Roman"/>
          <w:sz w:val="24"/>
        </w:rPr>
        <w:t xml:space="preserve">: la procédure de réorganisation prévue par la directive – mais la directive n’oblige pas à supprimer les autres procédures actuelles –attribue au moins à chaque créancier, selon son rang, la même valeur qu’en cas de faillite. Elle ne vise que les entreprises viables capables de soutenir </w:t>
      </w:r>
      <w:r>
        <w:rPr>
          <w:rFonts w:ascii="Times New Roman" w:hAnsi="Times New Roman"/>
          <w:sz w:val="24"/>
        </w:rPr>
        <w:t>le processus imposé</w:t>
      </w:r>
      <w:r w:rsidR="006E2C59">
        <w:rPr>
          <w:rFonts w:ascii="Times New Roman" w:hAnsi="Times New Roman"/>
          <w:sz w:val="24"/>
        </w:rPr>
        <w:t xml:space="preserve"> par la directive. Si tel n’est pas le cas, les PRJ actuelles pourront être </w:t>
      </w:r>
      <w:r>
        <w:rPr>
          <w:rFonts w:ascii="Times New Roman" w:hAnsi="Times New Roman"/>
          <w:sz w:val="24"/>
        </w:rPr>
        <w:t>mises</w:t>
      </w:r>
      <w:r w:rsidR="006E2C59">
        <w:rPr>
          <w:rFonts w:ascii="Times New Roman" w:hAnsi="Times New Roman"/>
          <w:sz w:val="24"/>
        </w:rPr>
        <w:t xml:space="preserve"> en œuvre distinctement ou successivement à la nouvelle procédure. Le seuil minimum </w:t>
      </w:r>
      <w:r>
        <w:rPr>
          <w:rFonts w:ascii="Times New Roman" w:hAnsi="Times New Roman"/>
          <w:sz w:val="24"/>
        </w:rPr>
        <w:t xml:space="preserve">(valeur de liquidation) </w:t>
      </w:r>
      <w:r w:rsidR="006E2C59">
        <w:rPr>
          <w:rFonts w:ascii="Times New Roman" w:hAnsi="Times New Roman"/>
          <w:sz w:val="24"/>
        </w:rPr>
        <w:t>est une garantie pour les créanciers.</w:t>
      </w:r>
      <w:r w:rsidR="00697448">
        <w:rPr>
          <w:rFonts w:ascii="Times New Roman" w:hAnsi="Times New Roman"/>
          <w:sz w:val="24"/>
        </w:rPr>
        <w:t xml:space="preserve"> </w:t>
      </w:r>
    </w:p>
    <w:p w:rsidR="00234ABA" w:rsidRDefault="00234ABA" w:rsidP="00234ABA">
      <w:pPr>
        <w:pStyle w:val="Paragraphedeliste"/>
        <w:spacing w:after="160" w:line="259" w:lineRule="auto"/>
        <w:ind w:left="786"/>
        <w:rPr>
          <w:rFonts w:ascii="Times New Roman" w:hAnsi="Times New Roman"/>
          <w:sz w:val="24"/>
        </w:rPr>
      </w:pPr>
    </w:p>
    <w:p w:rsidR="006E2C59" w:rsidRPr="00234ABA" w:rsidRDefault="00234ABA" w:rsidP="009D49E2">
      <w:pPr>
        <w:pStyle w:val="Paragraphedeliste"/>
        <w:spacing w:line="240" w:lineRule="auto"/>
        <w:ind w:left="786"/>
        <w:rPr>
          <w:rFonts w:ascii="Times New Roman" w:hAnsi="Times New Roman"/>
          <w:sz w:val="24"/>
        </w:rPr>
      </w:pPr>
      <w:r w:rsidRPr="00234ABA">
        <w:rPr>
          <w:rFonts w:ascii="Times New Roman" w:hAnsi="Times New Roman"/>
          <w:sz w:val="24"/>
          <w:u w:val="single"/>
        </w:rPr>
        <w:t>Les PME</w:t>
      </w:r>
      <w:r>
        <w:rPr>
          <w:rFonts w:ascii="Times New Roman" w:hAnsi="Times New Roman"/>
          <w:sz w:val="24"/>
        </w:rPr>
        <w:t xml:space="preserve"> peuvent être dispensée</w:t>
      </w:r>
      <w:r w:rsidR="009D49E2">
        <w:rPr>
          <w:rFonts w:ascii="Times New Roman" w:hAnsi="Times New Roman"/>
          <w:sz w:val="24"/>
        </w:rPr>
        <w:t>s</w:t>
      </w:r>
      <w:r>
        <w:rPr>
          <w:rFonts w:ascii="Times New Roman" w:hAnsi="Times New Roman"/>
          <w:sz w:val="24"/>
        </w:rPr>
        <w:t xml:space="preserve"> d’être obligées de recourir à ce système</w:t>
      </w:r>
      <w:r w:rsidR="009D49E2">
        <w:rPr>
          <w:rFonts w:ascii="Times New Roman" w:hAnsi="Times New Roman"/>
          <w:sz w:val="24"/>
        </w:rPr>
        <w:t>,</w:t>
      </w:r>
      <w:r>
        <w:rPr>
          <w:rFonts w:ascii="Times New Roman" w:hAnsi="Times New Roman"/>
          <w:sz w:val="24"/>
        </w:rPr>
        <w:t xml:space="preserve"> mais peuvent avoir intérêt à l’utiliser</w:t>
      </w:r>
      <w:r w:rsidR="009D49E2">
        <w:rPr>
          <w:rFonts w:ascii="Times New Roman" w:hAnsi="Times New Roman"/>
          <w:sz w:val="24"/>
        </w:rPr>
        <w:t>,</w:t>
      </w:r>
      <w:r>
        <w:rPr>
          <w:rFonts w:ascii="Times New Roman" w:hAnsi="Times New Roman"/>
          <w:sz w:val="24"/>
        </w:rPr>
        <w:t xml:space="preserve"> en présence de dettes extraordina</w:t>
      </w:r>
      <w:r w:rsidR="009D49E2">
        <w:rPr>
          <w:rFonts w:ascii="Times New Roman" w:hAnsi="Times New Roman"/>
          <w:sz w:val="24"/>
        </w:rPr>
        <w:t>ires, que la PRJ ne peut abattre</w:t>
      </w:r>
      <w:r>
        <w:rPr>
          <w:rFonts w:ascii="Times New Roman" w:hAnsi="Times New Roman"/>
          <w:sz w:val="24"/>
        </w:rPr>
        <w:t xml:space="preserve"> d’une dette institutionnelle majoritaires ou en présence d’un nombre de créanciers récalcitrants majoritaires en nombre.</w:t>
      </w:r>
      <w:r w:rsidR="009D49E2">
        <w:rPr>
          <w:rFonts w:ascii="Times New Roman" w:hAnsi="Times New Roman"/>
          <w:sz w:val="24"/>
        </w:rPr>
        <w:t xml:space="preserve"> </w:t>
      </w:r>
      <w:r w:rsidR="00697448" w:rsidRPr="00234ABA">
        <w:rPr>
          <w:rFonts w:ascii="Times New Roman" w:hAnsi="Times New Roman"/>
          <w:sz w:val="24"/>
        </w:rPr>
        <w:t>Notons que la loi CARES de 2019 applicable le 19 février 2020 aux Etats unis a elle aussi modifié le chapter 11 pour les PME ( moins de</w:t>
      </w:r>
      <w:r>
        <w:rPr>
          <w:rFonts w:ascii="Times New Roman" w:hAnsi="Times New Roman"/>
          <w:sz w:val="24"/>
        </w:rPr>
        <w:t xml:space="preserve"> 7.500.00 $ de dette) : elle pré</w:t>
      </w:r>
      <w:r w:rsidR="00697448" w:rsidRPr="00234ABA">
        <w:rPr>
          <w:rFonts w:ascii="Times New Roman" w:hAnsi="Times New Roman"/>
          <w:sz w:val="24"/>
        </w:rPr>
        <w:t>voit une application différente de la règle de priorité envers les actionnaires dont on ne peut pas se passer lorsqu’il s’agit d’une PME, supprime les disclosure</w:t>
      </w:r>
      <w:r w:rsidR="00A509FC">
        <w:rPr>
          <w:rFonts w:ascii="Times New Roman" w:hAnsi="Times New Roman"/>
          <w:sz w:val="24"/>
        </w:rPr>
        <w:t>s</w:t>
      </w:r>
      <w:r w:rsidR="00697448" w:rsidRPr="00234ABA">
        <w:rPr>
          <w:rFonts w:ascii="Times New Roman" w:hAnsi="Times New Roman"/>
          <w:sz w:val="24"/>
        </w:rPr>
        <w:t xml:space="preserve"> pour diminuer les frais sauf sur injonction de la Cour, ne donne pas aux créanciers le droit de déposer un plan concurrent, reporte la date de paiement des frais de procédure à la fin de celle-ci, accorde un délai plus court de 90 jours pour présenter le plan, ne prévoit pas de comité des créanciers, permet la désignation d’un Us trustee en écartant ses frais</w:t>
      </w:r>
      <w:r w:rsidR="009D49E2">
        <w:rPr>
          <w:rFonts w:ascii="Times New Roman" w:hAnsi="Times New Roman"/>
          <w:sz w:val="24"/>
        </w:rPr>
        <w:t xml:space="preserve"> s</w:t>
      </w:r>
      <w:r w:rsidR="00697448" w:rsidRPr="00234ABA">
        <w:rPr>
          <w:rFonts w:ascii="Times New Roman" w:hAnsi="Times New Roman"/>
          <w:sz w:val="24"/>
        </w:rPr>
        <w:t xml:space="preserve">i le test du meilleur intérêt </w:t>
      </w:r>
      <w:r w:rsidR="00A509FC" w:rsidRPr="00234ABA">
        <w:rPr>
          <w:rFonts w:ascii="Times New Roman" w:hAnsi="Times New Roman"/>
          <w:sz w:val="24"/>
        </w:rPr>
        <w:t>des créanciers</w:t>
      </w:r>
      <w:r w:rsidR="00697448" w:rsidRPr="00234ABA">
        <w:rPr>
          <w:rFonts w:ascii="Times New Roman" w:hAnsi="Times New Roman"/>
          <w:sz w:val="24"/>
        </w:rPr>
        <w:t xml:space="preserve"> reste applicable. </w:t>
      </w:r>
    </w:p>
    <w:p w:rsidR="006E2C59" w:rsidRDefault="006E2C59" w:rsidP="006E2C59">
      <w:pPr>
        <w:pStyle w:val="Paragraphedeliste"/>
        <w:spacing w:after="160" w:line="259" w:lineRule="auto"/>
        <w:ind w:left="786"/>
        <w:rPr>
          <w:rFonts w:ascii="Times New Roman" w:hAnsi="Times New Roman"/>
          <w:sz w:val="24"/>
        </w:rPr>
      </w:pPr>
    </w:p>
    <w:p w:rsidR="006E2C59" w:rsidRPr="006E2C59" w:rsidRDefault="006E2C59" w:rsidP="00A509FC">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Nouveaux outils</w:t>
      </w:r>
      <w:r w:rsidR="009D49E2">
        <w:rPr>
          <w:rFonts w:ascii="Times New Roman" w:hAnsi="Times New Roman"/>
          <w:sz w:val="24"/>
          <w:u w:val="single"/>
        </w:rPr>
        <w:t> </w:t>
      </w:r>
      <w:r w:rsidR="009D49E2">
        <w:rPr>
          <w:rFonts w:ascii="Times New Roman" w:hAnsi="Times New Roman"/>
          <w:sz w:val="24"/>
        </w:rPr>
        <w:t>? L</w:t>
      </w:r>
      <w:r>
        <w:rPr>
          <w:rFonts w:ascii="Times New Roman" w:hAnsi="Times New Roman"/>
          <w:sz w:val="24"/>
        </w:rPr>
        <w:t>a détermination par le juge ou les parties des valeurs supposerait la création d’une base de données des entreprises ayant eu recours à ces procédures pour déterminer les décotes ou s</w:t>
      </w:r>
      <w:r w:rsidR="00C44D7D">
        <w:rPr>
          <w:rFonts w:ascii="Times New Roman" w:hAnsi="Times New Roman"/>
          <w:sz w:val="24"/>
        </w:rPr>
        <w:t>urcotes applicables. Le modèle a</w:t>
      </w:r>
      <w:r>
        <w:rPr>
          <w:rFonts w:ascii="Times New Roman" w:hAnsi="Times New Roman"/>
          <w:sz w:val="24"/>
        </w:rPr>
        <w:t>méricain pourrait être pris en exemple. Des études économétriques sur ces données et sur les valeurs boursières seraient nécessaires. La littérature économique – financière et juridique doit se développer pour décrire les principes que pourraient utiliser les juges.</w:t>
      </w:r>
    </w:p>
    <w:p w:rsidR="00A51A45" w:rsidRPr="00E8352C" w:rsidRDefault="00A51A45" w:rsidP="00D21249">
      <w:pPr>
        <w:pStyle w:val="Paragraphedeliste"/>
        <w:spacing w:line="240" w:lineRule="auto"/>
        <w:ind w:left="786"/>
        <w:rPr>
          <w:rFonts w:ascii="Times New Roman" w:hAnsi="Times New Roman"/>
          <w:sz w:val="24"/>
        </w:rPr>
      </w:pPr>
    </w:p>
    <w:p w:rsidR="00EA0162" w:rsidRPr="00A51A45" w:rsidRDefault="00032ED9" w:rsidP="007565AA">
      <w:pPr>
        <w:pStyle w:val="Titre2"/>
        <w:numPr>
          <w:ilvl w:val="0"/>
          <w:numId w:val="22"/>
        </w:numPr>
        <w:rPr>
          <w:rFonts w:ascii="Times New Roman" w:hAnsi="Times New Roman" w:cs="Times New Roman"/>
        </w:rPr>
      </w:pPr>
      <w:bookmarkStart w:id="70" w:name="_Toc55407515"/>
      <w:r>
        <w:rPr>
          <w:rFonts w:ascii="Times New Roman" w:hAnsi="Times New Roman" w:cs="Times New Roman"/>
        </w:rPr>
        <w:t>Règles de p</w:t>
      </w:r>
      <w:r w:rsidR="00EA0162" w:rsidRPr="00A51A45">
        <w:rPr>
          <w:rFonts w:ascii="Times New Roman" w:hAnsi="Times New Roman" w:cs="Times New Roman"/>
        </w:rPr>
        <w:t xml:space="preserve">riorité absolue ou </w:t>
      </w:r>
      <w:r w:rsidR="00A51A45" w:rsidRPr="00A51A45">
        <w:rPr>
          <w:rFonts w:ascii="Times New Roman" w:hAnsi="Times New Roman" w:cs="Times New Roman"/>
        </w:rPr>
        <w:t>priorité</w:t>
      </w:r>
      <w:r w:rsidR="00EA0162" w:rsidRPr="00A51A45">
        <w:rPr>
          <w:rFonts w:ascii="Times New Roman" w:hAnsi="Times New Roman" w:cs="Times New Roman"/>
        </w:rPr>
        <w:t xml:space="preserve"> relative</w:t>
      </w:r>
      <w:bookmarkEnd w:id="70"/>
      <w:r w:rsidR="00EA0162" w:rsidRPr="00A51A45">
        <w:rPr>
          <w:rFonts w:ascii="Times New Roman" w:hAnsi="Times New Roman" w:cs="Times New Roman"/>
        </w:rPr>
        <w:t xml:space="preserve"> </w:t>
      </w:r>
    </w:p>
    <w:p w:rsidR="00E8352C" w:rsidRDefault="00E8352C" w:rsidP="00D21249">
      <w:pPr>
        <w:spacing w:line="240" w:lineRule="auto"/>
        <w:rPr>
          <w:rFonts w:ascii="Times New Roman" w:hAnsi="Times New Roman"/>
          <w:sz w:val="24"/>
        </w:rPr>
      </w:pPr>
    </w:p>
    <w:p w:rsidR="009D49E2" w:rsidRDefault="009D49E2" w:rsidP="009D49E2">
      <w:pPr>
        <w:pStyle w:val="Paragraphedeliste"/>
        <w:numPr>
          <w:ilvl w:val="0"/>
          <w:numId w:val="2"/>
        </w:numPr>
        <w:spacing w:line="240" w:lineRule="auto"/>
        <w:ind w:hanging="567"/>
        <w:rPr>
          <w:rFonts w:ascii="Times New Roman" w:hAnsi="Times New Roman"/>
          <w:sz w:val="24"/>
        </w:rPr>
      </w:pPr>
      <w:r>
        <w:rPr>
          <w:rFonts w:ascii="Times New Roman" w:hAnsi="Times New Roman"/>
          <w:sz w:val="24"/>
        </w:rPr>
        <w:t xml:space="preserve">Le choix que va poser le législateur sur </w:t>
      </w:r>
      <w:r w:rsidR="00121A07">
        <w:rPr>
          <w:rFonts w:ascii="Times New Roman" w:hAnsi="Times New Roman"/>
          <w:sz w:val="24"/>
        </w:rPr>
        <w:t>les</w:t>
      </w:r>
      <w:r>
        <w:rPr>
          <w:rFonts w:ascii="Times New Roman" w:hAnsi="Times New Roman"/>
          <w:sz w:val="24"/>
        </w:rPr>
        <w:t xml:space="preserve"> classes est déterminant. S’il abonde dans le sens où la loi ne devrait pas interdire la création de classes spécifiques par le débiteur dans chaque dossier et, par conséquent, où le juge se trouvera en présence de classes composées de créanciers aux rangs très différents et ce, sans changer les rangs et les privilèges, il semble que la priorité absolue ne sera pas souvent applicable – le juge, en effet, trouvera souvent une grande difficulté de hiérarchiser les classes qui ne pourraient être composites.</w:t>
      </w:r>
    </w:p>
    <w:p w:rsidR="009D49E2" w:rsidRDefault="009D49E2" w:rsidP="009D49E2">
      <w:pPr>
        <w:pStyle w:val="Paragraphedeliste"/>
        <w:spacing w:line="240" w:lineRule="auto"/>
        <w:ind w:left="786"/>
        <w:rPr>
          <w:rFonts w:ascii="Times New Roman" w:hAnsi="Times New Roman"/>
          <w:sz w:val="24"/>
        </w:rPr>
      </w:pPr>
    </w:p>
    <w:p w:rsidR="009D49E2" w:rsidRDefault="009D49E2" w:rsidP="009D49E2">
      <w:pPr>
        <w:pStyle w:val="Paragraphedeliste"/>
        <w:spacing w:line="240" w:lineRule="auto"/>
        <w:ind w:left="786"/>
        <w:rPr>
          <w:rFonts w:ascii="Times New Roman" w:hAnsi="Times New Roman"/>
          <w:sz w:val="24"/>
        </w:rPr>
      </w:pPr>
      <w:r>
        <w:rPr>
          <w:rFonts w:ascii="Times New Roman" w:hAnsi="Times New Roman"/>
          <w:sz w:val="24"/>
        </w:rPr>
        <w:lastRenderedPageBreak/>
        <w:t>Pour retenir la règle de priorité absolue, il faudrait, comme aux Etats-Unis, classer les créanciers parmi des classes regroupant les privilèges se ressemblant suffisamment et en modifiant au besoin leur hiérarchie.</w:t>
      </w:r>
    </w:p>
    <w:p w:rsidR="009D49E2" w:rsidRDefault="009D49E2" w:rsidP="009D49E2">
      <w:pPr>
        <w:pStyle w:val="Paragraphedeliste"/>
        <w:spacing w:line="240" w:lineRule="auto"/>
        <w:ind w:left="786"/>
        <w:rPr>
          <w:rFonts w:ascii="Times New Roman" w:hAnsi="Times New Roman"/>
          <w:sz w:val="24"/>
        </w:rPr>
      </w:pPr>
    </w:p>
    <w:p w:rsidR="009D49E2" w:rsidRDefault="009D49E2" w:rsidP="009D49E2">
      <w:pPr>
        <w:pStyle w:val="Paragraphedeliste"/>
        <w:spacing w:line="240" w:lineRule="auto"/>
        <w:ind w:left="786"/>
        <w:rPr>
          <w:rFonts w:ascii="Times New Roman" w:hAnsi="Times New Roman"/>
          <w:sz w:val="24"/>
        </w:rPr>
      </w:pPr>
      <w:r>
        <w:rPr>
          <w:rFonts w:ascii="Times New Roman" w:hAnsi="Times New Roman"/>
          <w:sz w:val="24"/>
        </w:rPr>
        <w:t xml:space="preserve">La règle de priorité relative, utilisable pour des dossiers d’espèce lorsque l’objectif de restructuration s’impose, est donc une règle adéquate à condition que </w:t>
      </w:r>
      <w:r w:rsidR="00121A07">
        <w:rPr>
          <w:rFonts w:ascii="Times New Roman" w:hAnsi="Times New Roman"/>
          <w:sz w:val="24"/>
        </w:rPr>
        <w:t>la</w:t>
      </w:r>
      <w:r>
        <w:rPr>
          <w:rFonts w:ascii="Times New Roman" w:hAnsi="Times New Roman"/>
          <w:sz w:val="24"/>
        </w:rPr>
        <w:t xml:space="preserve"> loi précise la manière dont </w:t>
      </w:r>
      <w:r w:rsidR="00121A07">
        <w:rPr>
          <w:rFonts w:ascii="Times New Roman" w:hAnsi="Times New Roman"/>
          <w:sz w:val="24"/>
        </w:rPr>
        <w:t>elle</w:t>
      </w:r>
      <w:r>
        <w:rPr>
          <w:rFonts w:ascii="Times New Roman" w:hAnsi="Times New Roman"/>
          <w:sz w:val="24"/>
        </w:rPr>
        <w:t xml:space="preserve"> droit être mise en œuvre. Le traitement « </w:t>
      </w:r>
      <w:r>
        <w:rPr>
          <w:rFonts w:ascii="Times New Roman" w:hAnsi="Times New Roman"/>
          <w:i/>
          <w:sz w:val="24"/>
        </w:rPr>
        <w:t>equitable »</w:t>
      </w:r>
      <w:r>
        <w:rPr>
          <w:rFonts w:ascii="Times New Roman" w:hAnsi="Times New Roman"/>
          <w:sz w:val="24"/>
        </w:rPr>
        <w:t xml:space="preserve"> ou « </w:t>
      </w:r>
      <w:r>
        <w:rPr>
          <w:rFonts w:ascii="Times New Roman" w:hAnsi="Times New Roman"/>
          <w:i/>
          <w:sz w:val="24"/>
        </w:rPr>
        <w:t>Fair »</w:t>
      </w:r>
      <w:r>
        <w:rPr>
          <w:rFonts w:ascii="Times New Roman" w:hAnsi="Times New Roman"/>
          <w:sz w:val="24"/>
        </w:rPr>
        <w:t xml:space="preserve"> du droit Américain peut se retrouver, en partie, dans le critère de proportionnalité issu de la jurisprudence de la Cour Constitutionnelle sur les articles 10 et 11 de la Constitution.</w:t>
      </w:r>
    </w:p>
    <w:p w:rsidR="00121A07" w:rsidRDefault="00121A07" w:rsidP="009D49E2">
      <w:pPr>
        <w:pStyle w:val="Paragraphedeliste"/>
        <w:spacing w:line="240" w:lineRule="auto"/>
        <w:ind w:left="786"/>
        <w:rPr>
          <w:rFonts w:ascii="Times New Roman" w:hAnsi="Times New Roman"/>
          <w:sz w:val="24"/>
        </w:rPr>
      </w:pPr>
    </w:p>
    <w:p w:rsidR="00121A07" w:rsidRDefault="00121A07" w:rsidP="009D49E2">
      <w:pPr>
        <w:pStyle w:val="Paragraphedeliste"/>
        <w:spacing w:line="240" w:lineRule="auto"/>
        <w:ind w:left="786"/>
        <w:rPr>
          <w:rFonts w:ascii="Times New Roman" w:hAnsi="Times New Roman"/>
          <w:sz w:val="24"/>
        </w:rPr>
      </w:pPr>
      <w:r>
        <w:rPr>
          <w:rFonts w:ascii="Times New Roman" w:hAnsi="Times New Roman"/>
          <w:sz w:val="24"/>
        </w:rPr>
        <w:t>La règle de priorité relative donne aussi au juge des moyens complémentaires pour protéger l’actionnariat existant d’une mesure d’ « </w:t>
      </w:r>
      <w:r w:rsidRPr="00121A07">
        <w:rPr>
          <w:rFonts w:ascii="Times New Roman" w:hAnsi="Times New Roman"/>
          <w:i/>
          <w:sz w:val="24"/>
        </w:rPr>
        <w:t>expropriation</w:t>
      </w:r>
      <w:r>
        <w:rPr>
          <w:rFonts w:ascii="Times New Roman" w:hAnsi="Times New Roman"/>
          <w:sz w:val="24"/>
        </w:rPr>
        <w:t> » excessive en lui réservant la balance des intérêts.</w:t>
      </w:r>
    </w:p>
    <w:p w:rsidR="00121A07" w:rsidRDefault="00121A07" w:rsidP="009D49E2">
      <w:pPr>
        <w:pStyle w:val="Paragraphedeliste"/>
        <w:spacing w:line="240" w:lineRule="auto"/>
        <w:ind w:left="786"/>
        <w:rPr>
          <w:rFonts w:ascii="Times New Roman" w:hAnsi="Times New Roman"/>
          <w:sz w:val="24"/>
        </w:rPr>
      </w:pPr>
    </w:p>
    <w:p w:rsidR="00121A07" w:rsidRDefault="00121A07" w:rsidP="009D49E2">
      <w:pPr>
        <w:pStyle w:val="Paragraphedeliste"/>
        <w:spacing w:line="240" w:lineRule="auto"/>
        <w:ind w:left="786"/>
        <w:rPr>
          <w:rFonts w:ascii="Times New Roman" w:hAnsi="Times New Roman"/>
          <w:sz w:val="24"/>
        </w:rPr>
      </w:pPr>
      <w:r>
        <w:rPr>
          <w:rFonts w:ascii="Times New Roman" w:hAnsi="Times New Roman"/>
          <w:sz w:val="24"/>
        </w:rPr>
        <w:t>Si la règle est, par conséquent, moins prévisible que la règle de la règle de priorité absolue – et encore, on a vu qu’elle n’était pas impliquée en droit américain de manière toujours absolue – et que, par conséquent, elle favorisera moins la négociation, elle est à mon avis, le seul praticable.</w:t>
      </w:r>
    </w:p>
    <w:p w:rsidR="00121A07" w:rsidRDefault="00121A07" w:rsidP="009D49E2">
      <w:pPr>
        <w:pStyle w:val="Paragraphedeliste"/>
        <w:spacing w:line="240" w:lineRule="auto"/>
        <w:ind w:left="786"/>
        <w:rPr>
          <w:rFonts w:ascii="Times New Roman" w:hAnsi="Times New Roman"/>
          <w:sz w:val="24"/>
        </w:rPr>
      </w:pPr>
    </w:p>
    <w:p w:rsidR="00121A07" w:rsidRDefault="00121A07" w:rsidP="009D49E2">
      <w:pPr>
        <w:pStyle w:val="Paragraphedeliste"/>
        <w:spacing w:line="240" w:lineRule="auto"/>
        <w:ind w:left="786"/>
        <w:rPr>
          <w:rFonts w:ascii="Times New Roman" w:hAnsi="Times New Roman"/>
          <w:sz w:val="24"/>
        </w:rPr>
      </w:pPr>
      <w:r>
        <w:rPr>
          <w:rFonts w:ascii="Times New Roman" w:hAnsi="Times New Roman"/>
          <w:sz w:val="24"/>
        </w:rPr>
        <w:t>L’examen de proportionnalité requis se fera cependant plus dans la perspective de la maximalisation de l’intérêt des créanciers que dans la seule perspective de la continuité de l’entreprise. La directive inhère un glissement de valeur à protéger – l’entreprise dans la LCE et el Livre XX, même au prix d’abattement important des droits des créanciers – les créancier dans la directive au prix de devoir recourir à d’autres procédures si la rentabilité et la viabilité se soutiennent par le paiement des créanciers.</w:t>
      </w:r>
    </w:p>
    <w:p w:rsidR="00121A07" w:rsidRDefault="00121A07" w:rsidP="009D49E2">
      <w:pPr>
        <w:pStyle w:val="Paragraphedeliste"/>
        <w:spacing w:line="240" w:lineRule="auto"/>
        <w:ind w:left="786"/>
        <w:rPr>
          <w:rFonts w:ascii="Times New Roman" w:hAnsi="Times New Roman"/>
          <w:sz w:val="24"/>
        </w:rPr>
      </w:pPr>
    </w:p>
    <w:p w:rsidR="00121A07" w:rsidRPr="00121A07" w:rsidRDefault="00121A07" w:rsidP="00121A07">
      <w:pPr>
        <w:pStyle w:val="Titre2"/>
        <w:numPr>
          <w:ilvl w:val="0"/>
          <w:numId w:val="22"/>
        </w:numPr>
        <w:rPr>
          <w:rFonts w:ascii="Times New Roman" w:hAnsi="Times New Roman" w:cs="Times New Roman"/>
        </w:rPr>
      </w:pPr>
      <w:bookmarkStart w:id="71" w:name="_Toc55407516"/>
      <w:r w:rsidRPr="00121A07">
        <w:rPr>
          <w:rFonts w:ascii="Times New Roman" w:hAnsi="Times New Roman" w:cs="Times New Roman"/>
        </w:rPr>
        <w:t>Les autres règles essentielles</w:t>
      </w:r>
      <w:bookmarkEnd w:id="71"/>
    </w:p>
    <w:p w:rsidR="00121A07" w:rsidRDefault="00121A07" w:rsidP="009D49E2">
      <w:pPr>
        <w:pStyle w:val="Paragraphedeliste"/>
        <w:spacing w:line="240" w:lineRule="auto"/>
        <w:ind w:left="786"/>
        <w:rPr>
          <w:rFonts w:ascii="Times New Roman" w:hAnsi="Times New Roman"/>
          <w:sz w:val="24"/>
        </w:rPr>
      </w:pPr>
    </w:p>
    <w:p w:rsidR="00121A07" w:rsidRDefault="00121A07" w:rsidP="00121A07">
      <w:pPr>
        <w:pStyle w:val="Paragraphedeliste"/>
        <w:numPr>
          <w:ilvl w:val="0"/>
          <w:numId w:val="2"/>
        </w:numPr>
        <w:spacing w:line="240" w:lineRule="auto"/>
        <w:ind w:hanging="567"/>
        <w:rPr>
          <w:rFonts w:ascii="Times New Roman" w:hAnsi="Times New Roman"/>
          <w:sz w:val="24"/>
        </w:rPr>
      </w:pPr>
      <w:r>
        <w:rPr>
          <w:rFonts w:ascii="Times New Roman" w:hAnsi="Times New Roman"/>
          <w:sz w:val="24"/>
        </w:rPr>
        <w:t>La directive</w:t>
      </w:r>
      <w:r w:rsidR="00D35A09">
        <w:rPr>
          <w:rFonts w:ascii="Times New Roman" w:hAnsi="Times New Roman"/>
          <w:sz w:val="24"/>
        </w:rPr>
        <w:t xml:space="preserve"> introduit aussi d’autres règles de la priorité absolue ou relative qui participent à une nouvelle perception du droit de l’insolvabilité et que le législateur doit introduire.</w:t>
      </w:r>
    </w:p>
    <w:p w:rsidR="00D35A09" w:rsidRDefault="00D35A09" w:rsidP="00D35A09">
      <w:pPr>
        <w:pStyle w:val="Paragraphedeliste"/>
        <w:spacing w:line="240" w:lineRule="auto"/>
        <w:ind w:left="786"/>
        <w:rPr>
          <w:rFonts w:ascii="Times New Roman" w:hAnsi="Times New Roman"/>
          <w:sz w:val="24"/>
        </w:rPr>
      </w:pPr>
    </w:p>
    <w:p w:rsidR="00D35A09" w:rsidRDefault="00D35A09" w:rsidP="00D35A09">
      <w:pPr>
        <w:pStyle w:val="Paragraphedeliste"/>
        <w:numPr>
          <w:ilvl w:val="0"/>
          <w:numId w:val="7"/>
        </w:numPr>
        <w:spacing w:line="240" w:lineRule="auto"/>
        <w:rPr>
          <w:rFonts w:ascii="Times New Roman" w:hAnsi="Times New Roman"/>
          <w:sz w:val="24"/>
        </w:rPr>
      </w:pPr>
      <w:r>
        <w:rPr>
          <w:rFonts w:ascii="Times New Roman" w:hAnsi="Times New Roman"/>
          <w:sz w:val="24"/>
        </w:rPr>
        <w:t>Le Best interest des créanciers à travers la valeur de liquidation doit être défini de manière à rendre le test facile à utiliser ;</w:t>
      </w:r>
    </w:p>
    <w:p w:rsidR="00D35A09" w:rsidRDefault="00D35A09" w:rsidP="00D35A09">
      <w:pPr>
        <w:pStyle w:val="Paragraphedeliste"/>
        <w:numPr>
          <w:ilvl w:val="0"/>
          <w:numId w:val="7"/>
        </w:numPr>
        <w:spacing w:line="240" w:lineRule="auto"/>
        <w:rPr>
          <w:rFonts w:ascii="Times New Roman" w:hAnsi="Times New Roman"/>
          <w:sz w:val="24"/>
        </w:rPr>
      </w:pPr>
      <w:r>
        <w:rPr>
          <w:rFonts w:ascii="Times New Roman" w:hAnsi="Times New Roman"/>
          <w:sz w:val="24"/>
        </w:rPr>
        <w:t>Le test de viabilité ou de faisabilité doit être retenu ;</w:t>
      </w:r>
    </w:p>
    <w:p w:rsidR="00D35A09" w:rsidRDefault="00D35A09" w:rsidP="00D35A09">
      <w:pPr>
        <w:pStyle w:val="Paragraphedeliste"/>
        <w:numPr>
          <w:ilvl w:val="0"/>
          <w:numId w:val="7"/>
        </w:numPr>
        <w:spacing w:line="240" w:lineRule="auto"/>
        <w:rPr>
          <w:rFonts w:ascii="Times New Roman" w:hAnsi="Times New Roman"/>
          <w:sz w:val="24"/>
        </w:rPr>
      </w:pPr>
      <w:r>
        <w:rPr>
          <w:rFonts w:ascii="Times New Roman" w:hAnsi="Times New Roman"/>
          <w:sz w:val="24"/>
        </w:rPr>
        <w:t>Permettre aux créanciers, au bout d’un certain temps, de présenter un plan alternatif qui participera à rétablir une négociation que la règle de priorité relative a miné ;</w:t>
      </w:r>
    </w:p>
    <w:p w:rsidR="00D35A09" w:rsidRDefault="00D35A09" w:rsidP="00D35A09">
      <w:pPr>
        <w:pStyle w:val="Paragraphedeliste"/>
        <w:numPr>
          <w:ilvl w:val="0"/>
          <w:numId w:val="7"/>
        </w:numPr>
        <w:spacing w:line="240" w:lineRule="auto"/>
        <w:rPr>
          <w:rFonts w:ascii="Times New Roman" w:hAnsi="Times New Roman"/>
          <w:sz w:val="24"/>
        </w:rPr>
      </w:pPr>
      <w:r>
        <w:rPr>
          <w:rFonts w:ascii="Times New Roman" w:hAnsi="Times New Roman"/>
          <w:sz w:val="24"/>
        </w:rPr>
        <w:t>La règle de la « </w:t>
      </w:r>
      <w:r>
        <w:rPr>
          <w:rFonts w:ascii="Times New Roman" w:hAnsi="Times New Roman"/>
          <w:i/>
          <w:sz w:val="24"/>
        </w:rPr>
        <w:t>New Value</w:t>
      </w:r>
      <w:r>
        <w:rPr>
          <w:rFonts w:ascii="Times New Roman" w:hAnsi="Times New Roman"/>
          <w:sz w:val="24"/>
        </w:rPr>
        <w:t> » participe à augmenter la valeur de l’entreprise ;</w:t>
      </w:r>
    </w:p>
    <w:p w:rsidR="00D35A09" w:rsidRDefault="00D35A09" w:rsidP="00D35A09">
      <w:pPr>
        <w:pStyle w:val="Paragraphedeliste"/>
        <w:numPr>
          <w:ilvl w:val="0"/>
          <w:numId w:val="7"/>
        </w:numPr>
        <w:spacing w:line="240" w:lineRule="auto"/>
        <w:rPr>
          <w:rFonts w:ascii="Times New Roman" w:hAnsi="Times New Roman"/>
          <w:sz w:val="24"/>
        </w:rPr>
      </w:pPr>
      <w:r>
        <w:rPr>
          <w:rFonts w:ascii="Times New Roman" w:hAnsi="Times New Roman"/>
          <w:sz w:val="24"/>
        </w:rPr>
        <w:t xml:space="preserve">La règle de contrôle </w:t>
      </w:r>
      <w:r>
        <w:rPr>
          <w:rFonts w:ascii="Times New Roman" w:hAnsi="Times New Roman"/>
          <w:i/>
          <w:sz w:val="24"/>
        </w:rPr>
        <w:t>ex ante</w:t>
      </w:r>
      <w:r>
        <w:rPr>
          <w:rFonts w:ascii="Times New Roman" w:hAnsi="Times New Roman"/>
          <w:sz w:val="24"/>
        </w:rPr>
        <w:t xml:space="preserve"> sur le financement et l’octroi de privilège ou sûreté New Money ou post-Money participent à augmenter la valeur de l’entreprise ;</w:t>
      </w:r>
    </w:p>
    <w:p w:rsidR="00D35A09" w:rsidRPr="009D49E2" w:rsidRDefault="00D35A09" w:rsidP="00D35A09">
      <w:pPr>
        <w:pStyle w:val="Paragraphedeliste"/>
        <w:numPr>
          <w:ilvl w:val="0"/>
          <w:numId w:val="7"/>
        </w:numPr>
        <w:spacing w:line="240" w:lineRule="auto"/>
        <w:rPr>
          <w:rFonts w:ascii="Times New Roman" w:hAnsi="Times New Roman"/>
          <w:sz w:val="24"/>
        </w:rPr>
      </w:pPr>
      <w:r>
        <w:rPr>
          <w:rFonts w:ascii="Times New Roman" w:hAnsi="Times New Roman"/>
          <w:sz w:val="24"/>
        </w:rPr>
        <w:t xml:space="preserve">L’absence de discrimination et un traitement </w:t>
      </w:r>
      <w:r>
        <w:rPr>
          <w:rFonts w:ascii="Times New Roman" w:hAnsi="Times New Roman"/>
          <w:i/>
          <w:sz w:val="24"/>
        </w:rPr>
        <w:t>Fair</w:t>
      </w:r>
      <w:r>
        <w:rPr>
          <w:rFonts w:ascii="Times New Roman" w:hAnsi="Times New Roman"/>
          <w:sz w:val="24"/>
        </w:rPr>
        <w:t xml:space="preserve"> des créanciers permet d’écarter des paiements trop petits aux créanciers au profit de l’actionnaire</w:t>
      </w:r>
    </w:p>
    <w:p w:rsidR="009D49E2" w:rsidRDefault="009D49E2" w:rsidP="00D21249">
      <w:pPr>
        <w:spacing w:line="240" w:lineRule="auto"/>
        <w:rPr>
          <w:rFonts w:ascii="Times New Roman" w:hAnsi="Times New Roman"/>
          <w:sz w:val="24"/>
        </w:rPr>
      </w:pPr>
    </w:p>
    <w:p w:rsidR="009D49E2" w:rsidRDefault="009D49E2" w:rsidP="00D21249">
      <w:pPr>
        <w:spacing w:line="240" w:lineRule="auto"/>
        <w:rPr>
          <w:rFonts w:ascii="Times New Roman" w:hAnsi="Times New Roman"/>
          <w:sz w:val="24"/>
        </w:rPr>
      </w:pPr>
    </w:p>
    <w:p w:rsidR="009D49E2" w:rsidRDefault="009D49E2" w:rsidP="00D21249">
      <w:pPr>
        <w:spacing w:line="240" w:lineRule="auto"/>
        <w:rPr>
          <w:rFonts w:ascii="Times New Roman" w:hAnsi="Times New Roman"/>
          <w:sz w:val="24"/>
        </w:rPr>
      </w:pPr>
    </w:p>
    <w:p w:rsidR="009D49E2" w:rsidRDefault="009D49E2" w:rsidP="00D21249">
      <w:pPr>
        <w:spacing w:line="240" w:lineRule="auto"/>
        <w:rPr>
          <w:rFonts w:ascii="Times New Roman" w:hAnsi="Times New Roman"/>
          <w:sz w:val="24"/>
        </w:rPr>
      </w:pPr>
    </w:p>
    <w:p w:rsidR="0037619E" w:rsidRDefault="0037619E" w:rsidP="009D49E2">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lastRenderedPageBreak/>
        <w:t>La valeur illustrative</w:t>
      </w:r>
      <w:r>
        <w:rPr>
          <w:rFonts w:ascii="Times New Roman" w:hAnsi="Times New Roman"/>
          <w:sz w:val="24"/>
        </w:rPr>
        <w:t>. Sur base des développements faits, on peut aussi illustrer les valeurs.</w:t>
      </w:r>
    </w:p>
    <w:p w:rsidR="009D49E2" w:rsidRDefault="009D49E2" w:rsidP="009D49E2">
      <w:pPr>
        <w:pStyle w:val="Paragraphedeliste"/>
        <w:spacing w:line="240" w:lineRule="auto"/>
        <w:ind w:left="786"/>
        <w:rPr>
          <w:rFonts w:ascii="Times New Roman" w:hAnsi="Times New Roman"/>
          <w:noProof/>
          <w:sz w:val="24"/>
          <w:lang w:eastAsia="fr-BE"/>
        </w:rPr>
      </w:pPr>
    </w:p>
    <w:p w:rsidR="009D49E2" w:rsidRDefault="00D35A09" w:rsidP="009D49E2">
      <w:pPr>
        <w:pStyle w:val="Paragraphedeliste"/>
        <w:spacing w:line="240" w:lineRule="auto"/>
        <w:ind w:left="786"/>
        <w:rPr>
          <w:rFonts w:ascii="Times New Roman" w:hAnsi="Times New Roman"/>
          <w:sz w:val="24"/>
        </w:rPr>
      </w:pPr>
      <w:r>
        <w:rPr>
          <w:rFonts w:ascii="Times New Roman" w:hAnsi="Times New Roman"/>
          <w:noProof/>
          <w:sz w:val="24"/>
          <w:lang w:eastAsia="fr-BE"/>
        </w:rPr>
        <mc:AlternateContent>
          <mc:Choice Requires="wps">
            <w:drawing>
              <wp:anchor distT="0" distB="0" distL="114300" distR="114300" simplePos="0" relativeHeight="251659264" behindDoc="0" locked="0" layoutInCell="1" allowOverlap="1" wp14:anchorId="1175D255" wp14:editId="7012CD3C">
                <wp:simplePos x="0" y="0"/>
                <wp:positionH relativeFrom="margin">
                  <wp:posOffset>-180975</wp:posOffset>
                </wp:positionH>
                <wp:positionV relativeFrom="paragraph">
                  <wp:posOffset>209550</wp:posOffset>
                </wp:positionV>
                <wp:extent cx="561975" cy="3009900"/>
                <wp:effectExtent l="0" t="0" r="9525" b="0"/>
                <wp:wrapNone/>
                <wp:docPr id="9" name="Double flèche verticale 9"/>
                <wp:cNvGraphicFramePr/>
                <a:graphic xmlns:a="http://schemas.openxmlformats.org/drawingml/2006/main">
                  <a:graphicData uri="http://schemas.microsoft.com/office/word/2010/wordprocessingShape">
                    <wps:wsp>
                      <wps:cNvSpPr/>
                      <wps:spPr>
                        <a:xfrm>
                          <a:off x="0" y="0"/>
                          <a:ext cx="561975" cy="3009900"/>
                        </a:xfrm>
                        <a:prstGeom prst="upDownArrow">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rsidR="009D49E2" w:rsidRPr="008F397E" w:rsidRDefault="009D49E2" w:rsidP="001D4A74">
                            <w:pPr>
                              <w:jc w:val="center"/>
                              <w:rPr>
                                <w:b/>
                                <w:color w:val="000000" w:themeColor="text1"/>
                              </w:rPr>
                            </w:pPr>
                            <w:r>
                              <w:rPr>
                                <w:b/>
                                <w:color w:val="000000" w:themeColor="text1"/>
                              </w:rPr>
                              <w:t>0</w:t>
                            </w:r>
                          </w:p>
                          <w:p w:rsidR="009D49E2"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Pr="008F397E" w:rsidRDefault="009D49E2" w:rsidP="001D4A74">
                            <w:pPr>
                              <w:jc w:val="center"/>
                              <w:rPr>
                                <w:b/>
                                <w:color w:val="000000" w:themeColor="text1"/>
                              </w:rPr>
                            </w:pPr>
                            <w:r w:rsidRPr="008F397E">
                              <w:rPr>
                                <w:b/>
                                <w:color w:val="000000" w:themeColor="text1"/>
                              </w:rPr>
                              <w:t>100</w:t>
                            </w:r>
                          </w:p>
                          <w:p w:rsidR="009D49E2" w:rsidRPr="008F397E"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Pr="008F397E" w:rsidRDefault="009D49E2" w:rsidP="001D4A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5D25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Double flèche verticale 9" o:spid="_x0000_s1027" type="#_x0000_t70" style="position:absolute;left:0;text-align:left;margin-left:-14.25pt;margin-top:16.5pt;width:44.25pt;height:2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" adj=",2016" fillcolor="#2967a1 [2148]" stroked="f">
                <v:fill color2="#9cc2e5 [1940]" rotate="t" angle="180" colors="0 #2a69a2;31457f #609ed6;1 #9dc3e6" focus="100%" type="gradient"/>
                <v:textbox>
                  <w:txbxContent>
                    <w:p w:rsidR="009D49E2" w:rsidRPr="008F397E" w:rsidRDefault="009D49E2" w:rsidP="001D4A74">
                      <w:pPr>
                        <w:jc w:val="center"/>
                        <w:rPr>
                          <w:b/>
                          <w:color w:val="000000" w:themeColor="text1"/>
                        </w:rPr>
                      </w:pPr>
                      <w:r>
                        <w:rPr>
                          <w:b/>
                          <w:color w:val="000000" w:themeColor="text1"/>
                        </w:rPr>
                        <w:t>0</w:t>
                      </w:r>
                    </w:p>
                    <w:p w:rsidR="009D49E2"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Pr="008F397E" w:rsidRDefault="009D49E2" w:rsidP="001D4A74">
                      <w:pPr>
                        <w:jc w:val="center"/>
                        <w:rPr>
                          <w:b/>
                          <w:color w:val="000000" w:themeColor="text1"/>
                        </w:rPr>
                      </w:pPr>
                      <w:r w:rsidRPr="008F397E">
                        <w:rPr>
                          <w:b/>
                          <w:color w:val="000000" w:themeColor="text1"/>
                        </w:rPr>
                        <w:t>100</w:t>
                      </w:r>
                    </w:p>
                    <w:p w:rsidR="009D49E2" w:rsidRPr="008F397E" w:rsidRDefault="009D49E2" w:rsidP="001D4A74">
                      <w:pPr>
                        <w:jc w:val="center"/>
                        <w:rPr>
                          <w:b/>
                          <w:color w:val="000000" w:themeColor="text1"/>
                        </w:rPr>
                      </w:pPr>
                    </w:p>
                    <w:p w:rsidR="009D49E2" w:rsidRPr="008F397E" w:rsidRDefault="009D49E2" w:rsidP="001D4A74">
                      <w:pPr>
                        <w:jc w:val="center"/>
                        <w:rPr>
                          <w:b/>
                          <w:color w:val="000000" w:themeColor="text1"/>
                        </w:rPr>
                      </w:pPr>
                    </w:p>
                    <w:p w:rsidR="009D49E2" w:rsidRPr="008F397E" w:rsidRDefault="009D49E2" w:rsidP="001D4A74">
                      <w:pPr>
                        <w:jc w:val="center"/>
                      </w:pPr>
                    </w:p>
                  </w:txbxContent>
                </v:textbox>
                <w10:wrap anchorx="margin"/>
              </v:shape>
            </w:pict>
          </mc:Fallback>
        </mc:AlternateContent>
      </w:r>
    </w:p>
    <w:p w:rsidR="001D4A74" w:rsidRPr="007015DF" w:rsidRDefault="007015DF" w:rsidP="001D4A74">
      <w:pPr>
        <w:pStyle w:val="Paragraphedeliste"/>
        <w:spacing w:after="160" w:line="259" w:lineRule="auto"/>
        <w:ind w:left="786"/>
        <w:rPr>
          <w:rFonts w:ascii="Times New Roman" w:hAnsi="Times New Roman"/>
          <w:b/>
          <w:sz w:val="24"/>
        </w:rPr>
      </w:pPr>
      <w:r>
        <w:rPr>
          <w:rFonts w:ascii="Times New Roman" w:hAnsi="Times New Roman"/>
          <w:noProof/>
          <w:sz w:val="24"/>
          <w:lang w:eastAsia="fr-BE"/>
        </w:rPr>
        <mc:AlternateContent>
          <mc:Choice Requires="wps">
            <w:drawing>
              <wp:anchor distT="0" distB="0" distL="114300" distR="114300" simplePos="0" relativeHeight="251669504" behindDoc="0" locked="0" layoutInCell="1" allowOverlap="1" wp14:anchorId="1C586625" wp14:editId="065349ED">
                <wp:simplePos x="0" y="0"/>
                <wp:positionH relativeFrom="column">
                  <wp:posOffset>3252470</wp:posOffset>
                </wp:positionH>
                <wp:positionV relativeFrom="paragraph">
                  <wp:posOffset>187325</wp:posOffset>
                </wp:positionV>
                <wp:extent cx="1743075" cy="45719"/>
                <wp:effectExtent l="38100" t="76200" r="0" b="88265"/>
                <wp:wrapNone/>
                <wp:docPr id="22" name="Connecteur droit avec flèche 22"/>
                <wp:cNvGraphicFramePr/>
                <a:graphic xmlns:a="http://schemas.openxmlformats.org/drawingml/2006/main">
                  <a:graphicData uri="http://schemas.microsoft.com/office/word/2010/wordprocessingShape">
                    <wps:wsp>
                      <wps:cNvCnPr/>
                      <wps:spPr>
                        <a:xfrm flipV="1">
                          <a:off x="0" y="0"/>
                          <a:ext cx="174307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D47EB3" id="_x0000_t32" coordsize="21600,21600" o:spt="32" o:oned="t" path="m,l21600,21600e" filled="f">
                <v:path arrowok="t" fillok="f" o:connecttype="none"/>
                <o:lock v:ext="edit" shapetype="t"/>
              </v:shapetype>
              <v:shape id="Connecteur droit avec flèche 22" o:spid="_x0000_s1026" type="#_x0000_t32" style="position:absolute;margin-left:256.1pt;margin-top:14.75pt;width:137.2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" strokecolor="#5b9bd5 [3204]" strokeweight=".5pt">
                <v:stroke startarrow="block" endarrow="block" joinstyle="miter"/>
              </v:shape>
            </w:pict>
          </mc:Fallback>
        </mc:AlternateContent>
      </w:r>
      <w:r>
        <w:rPr>
          <w:rFonts w:ascii="Times New Roman" w:hAnsi="Times New Roman"/>
          <w:noProof/>
          <w:sz w:val="24"/>
          <w:lang w:eastAsia="fr-BE"/>
        </w:rPr>
        <mc:AlternateContent>
          <mc:Choice Requires="wps">
            <w:drawing>
              <wp:anchor distT="0" distB="0" distL="114300" distR="114300" simplePos="0" relativeHeight="251667456" behindDoc="0" locked="0" layoutInCell="1" allowOverlap="1" wp14:anchorId="4447AA37" wp14:editId="0C59E4C3">
                <wp:simplePos x="0" y="0"/>
                <wp:positionH relativeFrom="column">
                  <wp:posOffset>623570</wp:posOffset>
                </wp:positionH>
                <wp:positionV relativeFrom="paragraph">
                  <wp:posOffset>158750</wp:posOffset>
                </wp:positionV>
                <wp:extent cx="2581275" cy="45719"/>
                <wp:effectExtent l="19050" t="76200" r="95250" b="88265"/>
                <wp:wrapNone/>
                <wp:docPr id="21" name="Connecteur droit avec flèche 21"/>
                <wp:cNvGraphicFramePr/>
                <a:graphic xmlns:a="http://schemas.openxmlformats.org/drawingml/2006/main">
                  <a:graphicData uri="http://schemas.microsoft.com/office/word/2010/wordprocessingShape">
                    <wps:wsp>
                      <wps:cNvCnPr/>
                      <wps:spPr>
                        <a:xfrm flipV="1">
                          <a:off x="0" y="0"/>
                          <a:ext cx="258127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3639D2" id="Connecteur droit avec flèche 21" o:spid="_x0000_s1026" type="#_x0000_t32" style="position:absolute;margin-left:49.1pt;margin-top:12.5pt;width:203.2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" strokecolor="#5b9bd5 [3204]" strokeweight=".5pt">
                <v:stroke startarrow="block" endarrow="block" joinstyle="miter"/>
              </v:shape>
            </w:pict>
          </mc:Fallback>
        </mc:AlternateContent>
      </w:r>
      <w:r>
        <w:rPr>
          <w:rFonts w:ascii="Times New Roman" w:hAnsi="Times New Roman"/>
          <w:sz w:val="24"/>
        </w:rPr>
        <w:t xml:space="preserve">        </w:t>
      </w:r>
      <w:r w:rsidRPr="007015DF">
        <w:rPr>
          <w:rFonts w:ascii="Times New Roman" w:hAnsi="Times New Roman"/>
          <w:b/>
          <w:sz w:val="24"/>
        </w:rPr>
        <w:t xml:space="preserve">Valeur liquidation                                   valeur </w:t>
      </w:r>
      <w:r w:rsidR="007C17D3" w:rsidRPr="007C17D3">
        <w:rPr>
          <w:rFonts w:ascii="Times New Roman" w:hAnsi="Times New Roman"/>
          <w:b/>
          <w:i/>
          <w:sz w:val="24"/>
        </w:rPr>
        <w:t>going-concern</w:t>
      </w:r>
    </w:p>
    <w:p w:rsidR="0037619E" w:rsidRDefault="00D35A09" w:rsidP="0037619E">
      <w:pPr>
        <w:pStyle w:val="Paragraphedeliste"/>
        <w:spacing w:after="160" w:line="259" w:lineRule="auto"/>
        <w:ind w:left="786"/>
        <w:rPr>
          <w:rFonts w:ascii="Times New Roman" w:hAnsi="Times New Roman"/>
          <w:sz w:val="24"/>
          <w:u w:val="single"/>
        </w:rPr>
      </w:pPr>
      <w:r>
        <w:rPr>
          <w:rFonts w:ascii="Times New Roman" w:hAnsi="Times New Roman"/>
          <w:noProof/>
          <w:sz w:val="24"/>
          <w:lang w:eastAsia="fr-BE"/>
        </w:rPr>
        <mc:AlternateContent>
          <mc:Choice Requires="wps">
            <w:drawing>
              <wp:anchor distT="0" distB="0" distL="114300" distR="114300" simplePos="0" relativeHeight="251649024" behindDoc="1" locked="0" layoutInCell="1" allowOverlap="1" wp14:anchorId="6FA9CC14" wp14:editId="600700CB">
                <wp:simplePos x="0" y="0"/>
                <wp:positionH relativeFrom="column">
                  <wp:posOffset>385445</wp:posOffset>
                </wp:positionH>
                <wp:positionV relativeFrom="paragraph">
                  <wp:posOffset>163195</wp:posOffset>
                </wp:positionV>
                <wp:extent cx="1000125" cy="542925"/>
                <wp:effectExtent l="0" t="0" r="28575" b="28575"/>
                <wp:wrapTight wrapText="bothSides">
                  <wp:wrapPolygon edited="0">
                    <wp:start x="0" y="0"/>
                    <wp:lineTo x="0" y="21979"/>
                    <wp:lineTo x="21806" y="21979"/>
                    <wp:lineTo x="21806" y="0"/>
                    <wp:lineTo x="0" y="0"/>
                  </wp:wrapPolygon>
                </wp:wrapTight>
                <wp:docPr id="13" name="Zone de texte 13"/>
                <wp:cNvGraphicFramePr/>
                <a:graphic xmlns:a="http://schemas.openxmlformats.org/drawingml/2006/main">
                  <a:graphicData uri="http://schemas.microsoft.com/office/word/2010/wordprocessingShape">
                    <wps:wsp>
                      <wps:cNvSpPr txBox="1"/>
                      <wps:spPr>
                        <a:xfrm>
                          <a:off x="0" y="0"/>
                          <a:ext cx="1000125" cy="542925"/>
                        </a:xfrm>
                        <a:prstGeom prst="rect">
                          <a:avLst/>
                        </a:prstGeom>
                        <a:solidFill>
                          <a:schemeClr val="lt1"/>
                        </a:solidFill>
                        <a:ln w="6350">
                          <a:solidFill>
                            <a:prstClr val="black"/>
                          </a:solidFill>
                        </a:ln>
                      </wps:spPr>
                      <wps:txbx>
                        <w:txbxContent>
                          <w:p w:rsidR="009D49E2" w:rsidRPr="001D4A74" w:rsidRDefault="009D49E2" w:rsidP="001D4A74">
                            <w:pPr>
                              <w:spacing w:line="240" w:lineRule="auto"/>
                              <w:rPr>
                                <w:rFonts w:ascii="Times New Roman" w:hAnsi="Times New Roman"/>
                                <w:sz w:val="20"/>
                              </w:rPr>
                            </w:pPr>
                            <w:r w:rsidRPr="001D4A74">
                              <w:rPr>
                                <w:rFonts w:ascii="Times New Roman" w:hAnsi="Times New Roman"/>
                                <w:sz w:val="20"/>
                              </w:rPr>
                              <w:t xml:space="preserve">Liquidation </w:t>
                            </w:r>
                            <w:r w:rsidR="00D35A09">
                              <w:rPr>
                                <w:rFonts w:ascii="Times New Roman" w:hAnsi="Times New Roman"/>
                                <w:sz w:val="20"/>
                              </w:rPr>
                              <w:t>par morceaux en vente publique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9CC14" id="Zone de texte 13" o:spid="_x0000_s1028" type="#_x0000_t202" style="position:absolute;left:0;text-align:left;margin-left:30.35pt;margin-top:12.85pt;width:78.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" fillcolor="white [3201]" strokeweight=".5pt">
                <v:textbox>
                  <w:txbxContent>
                    <w:p w:rsidR="009D49E2" w:rsidRPr="001D4A74" w:rsidRDefault="009D49E2" w:rsidP="001D4A74">
                      <w:pPr>
                        <w:spacing w:line="240" w:lineRule="auto"/>
                        <w:rPr>
                          <w:rFonts w:ascii="Times New Roman" w:hAnsi="Times New Roman"/>
                          <w:sz w:val="20"/>
                        </w:rPr>
                      </w:pPr>
                      <w:r w:rsidRPr="001D4A74">
                        <w:rPr>
                          <w:rFonts w:ascii="Times New Roman" w:hAnsi="Times New Roman"/>
                          <w:sz w:val="20"/>
                        </w:rPr>
                        <w:t xml:space="preserve">Liquidation </w:t>
                      </w:r>
                      <w:r w:rsidR="00D35A09">
                        <w:rPr>
                          <w:rFonts w:ascii="Times New Roman" w:hAnsi="Times New Roman"/>
                          <w:sz w:val="20"/>
                        </w:rPr>
                        <w:t>par morceaux en vente publique</w:t>
                      </w:r>
                    </w:p>
                  </w:txbxContent>
                </v:textbox>
                <w10:wrap type="tight"/>
              </v:shape>
            </w:pict>
          </mc:Fallback>
        </mc:AlternateContent>
      </w:r>
      <w:r w:rsidR="001D4A74">
        <w:rPr>
          <w:rFonts w:ascii="Times New Roman" w:hAnsi="Times New Roman"/>
          <w:noProof/>
          <w:sz w:val="24"/>
          <w:lang w:eastAsia="fr-BE"/>
        </w:rPr>
        <mc:AlternateContent>
          <mc:Choice Requires="wps">
            <w:drawing>
              <wp:anchor distT="0" distB="0" distL="114300" distR="114300" simplePos="0" relativeHeight="251665408" behindDoc="0" locked="0" layoutInCell="1" allowOverlap="1" wp14:anchorId="07B64A62" wp14:editId="775054E2">
                <wp:simplePos x="0" y="0"/>
                <wp:positionH relativeFrom="column">
                  <wp:posOffset>5157470</wp:posOffset>
                </wp:positionH>
                <wp:positionV relativeFrom="paragraph">
                  <wp:posOffset>168910</wp:posOffset>
                </wp:positionV>
                <wp:extent cx="628650" cy="2381250"/>
                <wp:effectExtent l="0" t="0" r="19050" b="19050"/>
                <wp:wrapNone/>
                <wp:docPr id="20" name="Zone de texte 20"/>
                <wp:cNvGraphicFramePr/>
                <a:graphic xmlns:a="http://schemas.openxmlformats.org/drawingml/2006/main">
                  <a:graphicData uri="http://schemas.microsoft.com/office/word/2010/wordprocessingShape">
                    <wps:wsp>
                      <wps:cNvSpPr txBox="1"/>
                      <wps:spPr>
                        <a:xfrm>
                          <a:off x="0" y="0"/>
                          <a:ext cx="628650" cy="2381250"/>
                        </a:xfrm>
                        <a:prstGeom prst="rect">
                          <a:avLst/>
                        </a:prstGeom>
                        <a:solidFill>
                          <a:schemeClr val="lt1"/>
                        </a:solidFill>
                        <a:ln w="6350">
                          <a:solidFill>
                            <a:prstClr val="black"/>
                          </a:solidFill>
                        </a:ln>
                      </wps:spPr>
                      <wps:txbx>
                        <w:txbxContent>
                          <w:p w:rsidR="009D49E2" w:rsidRPr="0085162B" w:rsidRDefault="0085162B" w:rsidP="0085162B">
                            <w:pPr>
                              <w:spacing w:line="240" w:lineRule="auto"/>
                              <w:rPr>
                                <w:rFonts w:ascii="Times New Roman" w:hAnsi="Times New Roman"/>
                                <w:sz w:val="20"/>
                              </w:rPr>
                            </w:pPr>
                            <w:r>
                              <w:rPr>
                                <w:rFonts w:ascii="Times New Roman" w:hAnsi="Times New Roman"/>
                                <w:sz w:val="20"/>
                              </w:rPr>
                              <w:t>Valeur d’entreprise cotée en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64A62" id="Zone de texte 20" o:spid="_x0000_s1029" type="#_x0000_t202" style="position:absolute;left:0;text-align:left;margin-left:406.1pt;margin-top:13.3pt;width:49.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" fillcolor="white [3201]" strokeweight=".5pt">
                <v:textbox>
                  <w:txbxContent>
                    <w:p w:rsidR="009D49E2" w:rsidRPr="0085162B" w:rsidRDefault="0085162B" w:rsidP="0085162B">
                      <w:pPr>
                        <w:spacing w:line="240" w:lineRule="auto"/>
                        <w:rPr>
                          <w:rFonts w:ascii="Times New Roman" w:hAnsi="Times New Roman"/>
                          <w:sz w:val="20"/>
                        </w:rPr>
                      </w:pPr>
                      <w:r>
                        <w:rPr>
                          <w:rFonts w:ascii="Times New Roman" w:hAnsi="Times New Roman"/>
                          <w:sz w:val="20"/>
                        </w:rPr>
                        <w:t>Valeur d’entreprise cotée en progression</w:t>
                      </w:r>
                    </w:p>
                  </w:txbxContent>
                </v:textbox>
              </v:shape>
            </w:pict>
          </mc:Fallback>
        </mc:AlternateContent>
      </w:r>
      <w:r w:rsidR="001D4A74">
        <w:rPr>
          <w:rFonts w:ascii="Times New Roman" w:hAnsi="Times New Roman"/>
          <w:noProof/>
          <w:sz w:val="24"/>
          <w:lang w:eastAsia="fr-BE"/>
        </w:rPr>
        <mc:AlternateContent>
          <mc:Choice Requires="wps">
            <w:drawing>
              <wp:anchor distT="0" distB="0" distL="114300" distR="114300" simplePos="0" relativeHeight="251663360" behindDoc="0" locked="0" layoutInCell="1" allowOverlap="1" wp14:anchorId="5FD566A6" wp14:editId="18CFD496">
                <wp:simplePos x="0" y="0"/>
                <wp:positionH relativeFrom="column">
                  <wp:posOffset>4547870</wp:posOffset>
                </wp:positionH>
                <wp:positionV relativeFrom="paragraph">
                  <wp:posOffset>168910</wp:posOffset>
                </wp:positionV>
                <wp:extent cx="628650" cy="2152650"/>
                <wp:effectExtent l="0" t="0" r="19050" b="19050"/>
                <wp:wrapNone/>
                <wp:docPr id="19" name="Zone de texte 19"/>
                <wp:cNvGraphicFramePr/>
                <a:graphic xmlns:a="http://schemas.openxmlformats.org/drawingml/2006/main">
                  <a:graphicData uri="http://schemas.microsoft.com/office/word/2010/wordprocessingShape">
                    <wps:wsp>
                      <wps:cNvSpPr txBox="1"/>
                      <wps:spPr>
                        <a:xfrm>
                          <a:off x="0" y="0"/>
                          <a:ext cx="628650" cy="2152650"/>
                        </a:xfrm>
                        <a:prstGeom prst="rect">
                          <a:avLst/>
                        </a:prstGeom>
                        <a:solidFill>
                          <a:schemeClr val="lt1"/>
                        </a:solidFill>
                        <a:ln w="6350">
                          <a:solidFill>
                            <a:prstClr val="black"/>
                          </a:solidFill>
                        </a:ln>
                      </wps:spPr>
                      <wps:txbx>
                        <w:txbxContent>
                          <w:p w:rsidR="009D49E2" w:rsidRPr="0085162B" w:rsidRDefault="0085162B" w:rsidP="0085162B">
                            <w:pPr>
                              <w:spacing w:line="240" w:lineRule="auto"/>
                              <w:rPr>
                                <w:rFonts w:ascii="Times New Roman" w:hAnsi="Times New Roman"/>
                                <w:sz w:val="20"/>
                              </w:rPr>
                            </w:pPr>
                            <w:r>
                              <w:rPr>
                                <w:rFonts w:ascii="Times New Roman" w:hAnsi="Times New Roman"/>
                                <w:sz w:val="20"/>
                              </w:rPr>
                              <w:t>Valeur de cession d’entreprise privée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566A6" id="Zone de texte 19" o:spid="_x0000_s1030" type="#_x0000_t202" style="position:absolute;left:0;text-align:left;margin-left:358.1pt;margin-top:13.3pt;width:49.5pt;height:16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" fillcolor="white [3201]" strokeweight=".5pt">
                <v:textbox>
                  <w:txbxContent>
                    <w:p w:rsidR="009D49E2" w:rsidRPr="0085162B" w:rsidRDefault="0085162B" w:rsidP="0085162B">
                      <w:pPr>
                        <w:spacing w:line="240" w:lineRule="auto"/>
                        <w:rPr>
                          <w:rFonts w:ascii="Times New Roman" w:hAnsi="Times New Roman"/>
                          <w:sz w:val="20"/>
                        </w:rPr>
                      </w:pPr>
                      <w:r>
                        <w:rPr>
                          <w:rFonts w:ascii="Times New Roman" w:hAnsi="Times New Roman"/>
                          <w:sz w:val="20"/>
                        </w:rPr>
                        <w:t>Valeur de cession d’entreprise privée</w:t>
                      </w:r>
                    </w:p>
                  </w:txbxContent>
                </v:textbox>
              </v:shape>
            </w:pict>
          </mc:Fallback>
        </mc:AlternateContent>
      </w:r>
      <w:r w:rsidR="001D4A74">
        <w:rPr>
          <w:rFonts w:ascii="Times New Roman" w:hAnsi="Times New Roman"/>
          <w:noProof/>
          <w:sz w:val="24"/>
          <w:lang w:eastAsia="fr-BE"/>
        </w:rPr>
        <mc:AlternateContent>
          <mc:Choice Requires="wps">
            <w:drawing>
              <wp:anchor distT="0" distB="0" distL="114300" distR="114300" simplePos="0" relativeHeight="251657216" behindDoc="0" locked="0" layoutInCell="1" allowOverlap="1" wp14:anchorId="781B2FA4" wp14:editId="45FFACC6">
                <wp:simplePos x="0" y="0"/>
                <wp:positionH relativeFrom="column">
                  <wp:posOffset>3909695</wp:posOffset>
                </wp:positionH>
                <wp:positionV relativeFrom="paragraph">
                  <wp:posOffset>159385</wp:posOffset>
                </wp:positionV>
                <wp:extent cx="628650" cy="2190750"/>
                <wp:effectExtent l="0" t="0" r="19050" b="19050"/>
                <wp:wrapNone/>
                <wp:docPr id="17" name="Zone de texte 17"/>
                <wp:cNvGraphicFramePr/>
                <a:graphic xmlns:a="http://schemas.openxmlformats.org/drawingml/2006/main">
                  <a:graphicData uri="http://schemas.microsoft.com/office/word/2010/wordprocessingShape">
                    <wps:wsp>
                      <wps:cNvSpPr txBox="1"/>
                      <wps:spPr>
                        <a:xfrm>
                          <a:off x="0" y="0"/>
                          <a:ext cx="628650" cy="2190750"/>
                        </a:xfrm>
                        <a:prstGeom prst="rect">
                          <a:avLst/>
                        </a:prstGeom>
                        <a:solidFill>
                          <a:schemeClr val="lt1"/>
                        </a:solidFill>
                        <a:ln w="6350">
                          <a:solidFill>
                            <a:prstClr val="black"/>
                          </a:solidFill>
                        </a:ln>
                      </wps:spPr>
                      <wps:txbx>
                        <w:txbxContent>
                          <w:p w:rsidR="009D49E2" w:rsidRPr="0085162B" w:rsidRDefault="0085162B" w:rsidP="0085162B">
                            <w:pPr>
                              <w:spacing w:line="240" w:lineRule="auto"/>
                              <w:rPr>
                                <w:rFonts w:ascii="Times New Roman" w:hAnsi="Times New Roman"/>
                                <w:sz w:val="20"/>
                              </w:rPr>
                            </w:pPr>
                            <w:r>
                              <w:rPr>
                                <w:rFonts w:ascii="Times New Roman" w:hAnsi="Times New Roman"/>
                                <w:sz w:val="20"/>
                              </w:rPr>
                              <w:t>Valeur PME et grande entreprise moyennement rentable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B2FA4" id="Zone de texte 17" o:spid="_x0000_s1031" type="#_x0000_t202" style="position:absolute;left:0;text-align:left;margin-left:307.85pt;margin-top:12.55pt;width:49.5pt;height:1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" fillcolor="white [3201]" strokeweight=".5pt">
                <v:textbox>
                  <w:txbxContent>
                    <w:p w:rsidR="009D49E2" w:rsidRPr="0085162B" w:rsidRDefault="0085162B" w:rsidP="0085162B">
                      <w:pPr>
                        <w:spacing w:line="240" w:lineRule="auto"/>
                        <w:rPr>
                          <w:rFonts w:ascii="Times New Roman" w:hAnsi="Times New Roman"/>
                          <w:sz w:val="20"/>
                        </w:rPr>
                      </w:pPr>
                      <w:r>
                        <w:rPr>
                          <w:rFonts w:ascii="Times New Roman" w:hAnsi="Times New Roman"/>
                          <w:sz w:val="20"/>
                        </w:rPr>
                        <w:t>Valeur PME et grande entreprise moyennement rentable</w:t>
                      </w:r>
                    </w:p>
                  </w:txbxContent>
                </v:textbox>
              </v:shape>
            </w:pict>
          </mc:Fallback>
        </mc:AlternateContent>
      </w:r>
      <w:r w:rsidR="001D4A74">
        <w:rPr>
          <w:rFonts w:ascii="Times New Roman" w:hAnsi="Times New Roman"/>
          <w:noProof/>
          <w:sz w:val="24"/>
          <w:lang w:eastAsia="fr-BE"/>
        </w:rPr>
        <mc:AlternateContent>
          <mc:Choice Requires="wps">
            <w:drawing>
              <wp:anchor distT="0" distB="0" distL="114300" distR="114300" simplePos="0" relativeHeight="251655168" behindDoc="0" locked="0" layoutInCell="1" allowOverlap="1" wp14:anchorId="7C940E0E" wp14:editId="56EC1F07">
                <wp:simplePos x="0" y="0"/>
                <wp:positionH relativeFrom="column">
                  <wp:posOffset>3290570</wp:posOffset>
                </wp:positionH>
                <wp:positionV relativeFrom="paragraph">
                  <wp:posOffset>168910</wp:posOffset>
                </wp:positionV>
                <wp:extent cx="628650" cy="1828800"/>
                <wp:effectExtent l="0" t="0" r="19050" b="19050"/>
                <wp:wrapNone/>
                <wp:docPr id="16" name="Zone de texte 16"/>
                <wp:cNvGraphicFramePr/>
                <a:graphic xmlns:a="http://schemas.openxmlformats.org/drawingml/2006/main">
                  <a:graphicData uri="http://schemas.microsoft.com/office/word/2010/wordprocessingShape">
                    <wps:wsp>
                      <wps:cNvSpPr txBox="1"/>
                      <wps:spPr>
                        <a:xfrm>
                          <a:off x="0" y="0"/>
                          <a:ext cx="628650" cy="1828800"/>
                        </a:xfrm>
                        <a:prstGeom prst="rect">
                          <a:avLst/>
                        </a:prstGeom>
                        <a:solidFill>
                          <a:schemeClr val="lt1"/>
                        </a:solidFill>
                        <a:ln w="6350">
                          <a:solidFill>
                            <a:prstClr val="black"/>
                          </a:solidFill>
                        </a:ln>
                      </wps:spPr>
                      <wps:txbx>
                        <w:txbxContent>
                          <w:p w:rsidR="009D49E2" w:rsidRPr="0085162B" w:rsidRDefault="0085162B" w:rsidP="0085162B">
                            <w:pPr>
                              <w:spacing w:line="240" w:lineRule="auto"/>
                              <w:rPr>
                                <w:rFonts w:ascii="Times New Roman" w:hAnsi="Times New Roman"/>
                                <w:sz w:val="20"/>
                              </w:rPr>
                            </w:pPr>
                            <w:r w:rsidRPr="0085162B">
                              <w:rPr>
                                <w:rFonts w:ascii="Times New Roman" w:hAnsi="Times New Roman"/>
                                <w:sz w:val="20"/>
                              </w:rPr>
                              <w:t>Valeur PME moyenne</w:t>
                            </w:r>
                            <w:r>
                              <w:rPr>
                                <w:rFonts w:ascii="Times New Roman" w:hAnsi="Times New Roman"/>
                                <w:sz w:val="20"/>
                              </w:rPr>
                              <w:t>ment rentable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940E0E" id="Zone de texte 16" o:spid="_x0000_s1032" type="#_x0000_t202" style="position:absolute;left:0;text-align:left;margin-left:259.1pt;margin-top:13.3pt;width:49.5pt;height:2in;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" fillcolor="white [3201]" strokeweight=".5pt">
                <v:textbox>
                  <w:txbxContent>
                    <w:p w:rsidR="009D49E2" w:rsidRPr="0085162B" w:rsidRDefault="0085162B" w:rsidP="0085162B">
                      <w:pPr>
                        <w:spacing w:line="240" w:lineRule="auto"/>
                        <w:rPr>
                          <w:rFonts w:ascii="Times New Roman" w:hAnsi="Times New Roman"/>
                          <w:sz w:val="20"/>
                        </w:rPr>
                      </w:pPr>
                      <w:r w:rsidRPr="0085162B">
                        <w:rPr>
                          <w:rFonts w:ascii="Times New Roman" w:hAnsi="Times New Roman"/>
                          <w:sz w:val="20"/>
                        </w:rPr>
                        <w:t>Valeur PME moyenne</w:t>
                      </w:r>
                      <w:r>
                        <w:rPr>
                          <w:rFonts w:ascii="Times New Roman" w:hAnsi="Times New Roman"/>
                          <w:sz w:val="20"/>
                        </w:rPr>
                        <w:t>ment rentable</w:t>
                      </w:r>
                    </w:p>
                  </w:txbxContent>
                </v:textbox>
              </v:shape>
            </w:pict>
          </mc:Fallback>
        </mc:AlternateContent>
      </w:r>
      <w:r w:rsidR="001D4A74">
        <w:rPr>
          <w:rFonts w:ascii="Times New Roman" w:hAnsi="Times New Roman"/>
          <w:noProof/>
          <w:sz w:val="24"/>
          <w:lang w:eastAsia="fr-BE"/>
        </w:rPr>
        <mc:AlternateContent>
          <mc:Choice Requires="wps">
            <w:drawing>
              <wp:anchor distT="0" distB="0" distL="114300" distR="114300" simplePos="0" relativeHeight="251661312" behindDoc="0" locked="0" layoutInCell="1" allowOverlap="1" wp14:anchorId="3B6F37C5" wp14:editId="34BB4D72">
                <wp:simplePos x="0" y="0"/>
                <wp:positionH relativeFrom="column">
                  <wp:posOffset>2661920</wp:posOffset>
                </wp:positionH>
                <wp:positionV relativeFrom="paragraph">
                  <wp:posOffset>178434</wp:posOffset>
                </wp:positionV>
                <wp:extent cx="628650" cy="132397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628650" cy="1323975"/>
                        </a:xfrm>
                        <a:prstGeom prst="rect">
                          <a:avLst/>
                        </a:prstGeom>
                        <a:solidFill>
                          <a:schemeClr val="lt1"/>
                        </a:solidFill>
                        <a:ln w="6350">
                          <a:solidFill>
                            <a:prstClr val="black"/>
                          </a:solidFill>
                        </a:ln>
                      </wps:spPr>
                      <wps:txbx>
                        <w:txbxContent>
                          <w:p w:rsidR="009D49E2" w:rsidRPr="0085162B" w:rsidRDefault="0085162B" w:rsidP="0085162B">
                            <w:pPr>
                              <w:spacing w:line="240" w:lineRule="auto"/>
                              <w:rPr>
                                <w:rFonts w:ascii="Times New Roman" w:hAnsi="Times New Roman"/>
                                <w:sz w:val="20"/>
                              </w:rPr>
                            </w:pPr>
                            <w:r>
                              <w:rPr>
                                <w:rFonts w:ascii="Times New Roman" w:hAnsi="Times New Roman"/>
                                <w:sz w:val="20"/>
                              </w:rPr>
                              <w:t>Valeur en continuité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F37C5" id="Zone de texte 18" o:spid="_x0000_s1033" type="#_x0000_t202" style="position:absolute;left:0;text-align:left;margin-left:209.6pt;margin-top:14.05pt;width:49.5pt;height:10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" fillcolor="white [3201]" strokeweight=".5pt">
                <v:textbox>
                  <w:txbxContent>
                    <w:p w:rsidR="009D49E2" w:rsidRPr="0085162B" w:rsidRDefault="0085162B" w:rsidP="0085162B">
                      <w:pPr>
                        <w:spacing w:line="240" w:lineRule="auto"/>
                        <w:rPr>
                          <w:rFonts w:ascii="Times New Roman" w:hAnsi="Times New Roman"/>
                          <w:sz w:val="20"/>
                        </w:rPr>
                      </w:pPr>
                      <w:r>
                        <w:rPr>
                          <w:rFonts w:ascii="Times New Roman" w:hAnsi="Times New Roman"/>
                          <w:sz w:val="20"/>
                        </w:rPr>
                        <w:t>Valeur en continuité</w:t>
                      </w:r>
                    </w:p>
                  </w:txbxContent>
                </v:textbox>
              </v:shape>
            </w:pict>
          </mc:Fallback>
        </mc:AlternateContent>
      </w:r>
      <w:r w:rsidR="001D4A74">
        <w:rPr>
          <w:rFonts w:ascii="Times New Roman" w:hAnsi="Times New Roman"/>
          <w:noProof/>
          <w:sz w:val="24"/>
          <w:lang w:eastAsia="fr-BE"/>
        </w:rPr>
        <mc:AlternateContent>
          <mc:Choice Requires="wps">
            <w:drawing>
              <wp:anchor distT="0" distB="0" distL="114300" distR="114300" simplePos="0" relativeHeight="251653120" behindDoc="1" locked="0" layoutInCell="1" allowOverlap="1" wp14:anchorId="1096CFD4" wp14:editId="04AFC173">
                <wp:simplePos x="0" y="0"/>
                <wp:positionH relativeFrom="column">
                  <wp:posOffset>2033270</wp:posOffset>
                </wp:positionH>
                <wp:positionV relativeFrom="paragraph">
                  <wp:posOffset>182245</wp:posOffset>
                </wp:positionV>
                <wp:extent cx="628650" cy="990600"/>
                <wp:effectExtent l="0" t="0" r="19050" b="19050"/>
                <wp:wrapTight wrapText="bothSides">
                  <wp:wrapPolygon edited="0">
                    <wp:start x="0" y="0"/>
                    <wp:lineTo x="0" y="21600"/>
                    <wp:lineTo x="21600" y="21600"/>
                    <wp:lineTo x="21600" y="0"/>
                    <wp:lineTo x="0" y="0"/>
                  </wp:wrapPolygon>
                </wp:wrapTight>
                <wp:docPr id="15" name="Zone de texte 15"/>
                <wp:cNvGraphicFramePr/>
                <a:graphic xmlns:a="http://schemas.openxmlformats.org/drawingml/2006/main">
                  <a:graphicData uri="http://schemas.microsoft.com/office/word/2010/wordprocessingShape">
                    <wps:wsp>
                      <wps:cNvSpPr txBox="1"/>
                      <wps:spPr>
                        <a:xfrm>
                          <a:off x="0" y="0"/>
                          <a:ext cx="628650" cy="990600"/>
                        </a:xfrm>
                        <a:prstGeom prst="rect">
                          <a:avLst/>
                        </a:prstGeom>
                        <a:solidFill>
                          <a:schemeClr val="lt1"/>
                        </a:solidFill>
                        <a:ln w="6350">
                          <a:solidFill>
                            <a:prstClr val="black"/>
                          </a:solidFill>
                        </a:ln>
                      </wps:spPr>
                      <wps:txbx>
                        <w:txbxContent>
                          <w:p w:rsidR="009D49E2" w:rsidRPr="0085162B" w:rsidRDefault="0085162B" w:rsidP="0085162B">
                            <w:pPr>
                              <w:spacing w:line="240" w:lineRule="auto"/>
                              <w:rPr>
                                <w:rFonts w:ascii="Times New Roman" w:hAnsi="Times New Roman"/>
                                <w:sz w:val="18"/>
                              </w:rPr>
                            </w:pPr>
                            <w:r>
                              <w:rPr>
                                <w:rFonts w:ascii="Times New Roman" w:hAnsi="Times New Roman"/>
                                <w:sz w:val="18"/>
                              </w:rPr>
                              <w:t>Valeur en bloc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96CFD4" id="Zone de texte 15" o:spid="_x0000_s1034" type="#_x0000_t202" style="position:absolute;left:0;text-align:left;margin-left:160.1pt;margin-top:14.35pt;width:49.5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" fillcolor="white [3201]" strokeweight=".5pt">
                <v:textbox>
                  <w:txbxContent>
                    <w:p w:rsidR="009D49E2" w:rsidRPr="0085162B" w:rsidRDefault="0085162B" w:rsidP="0085162B">
                      <w:pPr>
                        <w:spacing w:line="240" w:lineRule="auto"/>
                        <w:rPr>
                          <w:rFonts w:ascii="Times New Roman" w:hAnsi="Times New Roman"/>
                          <w:sz w:val="18"/>
                        </w:rPr>
                      </w:pPr>
                      <w:r>
                        <w:rPr>
                          <w:rFonts w:ascii="Times New Roman" w:hAnsi="Times New Roman"/>
                          <w:sz w:val="18"/>
                        </w:rPr>
                        <w:t>Valeur en bloc</w:t>
                      </w:r>
                    </w:p>
                  </w:txbxContent>
                </v:textbox>
                <w10:wrap type="tight"/>
              </v:shape>
            </w:pict>
          </mc:Fallback>
        </mc:AlternateContent>
      </w:r>
      <w:r w:rsidR="001D4A74">
        <w:rPr>
          <w:rFonts w:ascii="Times New Roman" w:hAnsi="Times New Roman"/>
          <w:noProof/>
          <w:sz w:val="24"/>
          <w:lang w:eastAsia="fr-BE"/>
        </w:rPr>
        <mc:AlternateContent>
          <mc:Choice Requires="wps">
            <w:drawing>
              <wp:anchor distT="0" distB="0" distL="114300" distR="114300" simplePos="0" relativeHeight="251651072" behindDoc="1" locked="0" layoutInCell="1" allowOverlap="1" wp14:anchorId="659D0C8D" wp14:editId="54F76AC4">
                <wp:simplePos x="0" y="0"/>
                <wp:positionH relativeFrom="column">
                  <wp:posOffset>1395095</wp:posOffset>
                </wp:positionH>
                <wp:positionV relativeFrom="paragraph">
                  <wp:posOffset>172720</wp:posOffset>
                </wp:positionV>
                <wp:extent cx="628650" cy="695325"/>
                <wp:effectExtent l="0" t="0" r="19050" b="28575"/>
                <wp:wrapTight wrapText="bothSides">
                  <wp:wrapPolygon edited="0">
                    <wp:start x="0" y="0"/>
                    <wp:lineTo x="0" y="21896"/>
                    <wp:lineTo x="21600" y="21896"/>
                    <wp:lineTo x="21600" y="0"/>
                    <wp:lineTo x="0" y="0"/>
                  </wp:wrapPolygon>
                </wp:wrapTight>
                <wp:docPr id="14" name="Zone de texte 14"/>
                <wp:cNvGraphicFramePr/>
                <a:graphic xmlns:a="http://schemas.openxmlformats.org/drawingml/2006/main">
                  <a:graphicData uri="http://schemas.microsoft.com/office/word/2010/wordprocessingShape">
                    <wps:wsp>
                      <wps:cNvSpPr txBox="1"/>
                      <wps:spPr>
                        <a:xfrm>
                          <a:off x="0" y="0"/>
                          <a:ext cx="628650" cy="695325"/>
                        </a:xfrm>
                        <a:prstGeom prst="rect">
                          <a:avLst/>
                        </a:prstGeom>
                        <a:solidFill>
                          <a:schemeClr val="lt1"/>
                        </a:solidFill>
                        <a:ln w="6350">
                          <a:solidFill>
                            <a:prstClr val="black"/>
                          </a:solidFill>
                        </a:ln>
                      </wps:spPr>
                      <wps:txbx>
                        <w:txbxContent>
                          <w:p w:rsidR="009D49E2" w:rsidRPr="0085162B" w:rsidRDefault="00D35A09" w:rsidP="0085162B">
                            <w:pPr>
                              <w:spacing w:line="240" w:lineRule="auto"/>
                              <w:rPr>
                                <w:rFonts w:ascii="Times New Roman" w:hAnsi="Times New Roman"/>
                                <w:sz w:val="18"/>
                              </w:rPr>
                            </w:pPr>
                            <w:r w:rsidRPr="0085162B">
                              <w:rPr>
                                <w:rFonts w:ascii="Times New Roman" w:hAnsi="Times New Roman"/>
                                <w:sz w:val="18"/>
                              </w:rPr>
                              <w:t>Morceau avec du temps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D0C8D" id="Zone de texte 14" o:spid="_x0000_s1035" type="#_x0000_t202" style="position:absolute;left:0;text-align:left;margin-left:109.85pt;margin-top:13.6pt;width:49.5pt;height:5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" fillcolor="white [3201]" strokeweight=".5pt">
                <v:textbox>
                  <w:txbxContent>
                    <w:p w:rsidR="009D49E2" w:rsidRPr="0085162B" w:rsidRDefault="00D35A09" w:rsidP="0085162B">
                      <w:pPr>
                        <w:spacing w:line="240" w:lineRule="auto"/>
                        <w:rPr>
                          <w:rFonts w:ascii="Times New Roman" w:hAnsi="Times New Roman"/>
                          <w:sz w:val="18"/>
                        </w:rPr>
                      </w:pPr>
                      <w:r w:rsidRPr="0085162B">
                        <w:rPr>
                          <w:rFonts w:ascii="Times New Roman" w:hAnsi="Times New Roman"/>
                          <w:sz w:val="18"/>
                        </w:rPr>
                        <w:t>Morceau avec du temps</w:t>
                      </w:r>
                    </w:p>
                  </w:txbxContent>
                </v:textbox>
                <w10:wrap type="tight"/>
              </v:shape>
            </w:pict>
          </mc:Fallback>
        </mc:AlternateContent>
      </w:r>
    </w:p>
    <w:p w:rsidR="0037619E" w:rsidRDefault="0037619E" w:rsidP="0037619E">
      <w:pPr>
        <w:pStyle w:val="Paragraphedeliste"/>
        <w:spacing w:after="160" w:line="259" w:lineRule="auto"/>
        <w:ind w:left="786"/>
        <w:rPr>
          <w:rFonts w:ascii="Times New Roman" w:hAnsi="Times New Roman"/>
          <w:sz w:val="24"/>
          <w:u w:val="single"/>
        </w:rPr>
      </w:pPr>
    </w:p>
    <w:p w:rsidR="0037619E" w:rsidRDefault="0037619E" w:rsidP="0037619E">
      <w:pPr>
        <w:pStyle w:val="Paragraphedeliste"/>
        <w:spacing w:after="160" w:line="259" w:lineRule="auto"/>
        <w:ind w:left="786"/>
        <w:rPr>
          <w:rFonts w:ascii="Times New Roman" w:hAnsi="Times New Roman"/>
          <w:sz w:val="24"/>
          <w:u w:val="single"/>
        </w:rPr>
      </w:pPr>
    </w:p>
    <w:p w:rsidR="0037619E" w:rsidRDefault="0037619E" w:rsidP="0037619E">
      <w:pPr>
        <w:pStyle w:val="Paragraphedeliste"/>
        <w:spacing w:after="160" w:line="259" w:lineRule="auto"/>
        <w:ind w:left="786"/>
        <w:rPr>
          <w:rFonts w:ascii="Times New Roman" w:hAnsi="Times New Roman"/>
          <w:sz w:val="24"/>
          <w:u w:val="single"/>
        </w:rPr>
      </w:pPr>
    </w:p>
    <w:p w:rsidR="0037619E" w:rsidRDefault="0037619E" w:rsidP="0037619E">
      <w:pPr>
        <w:pStyle w:val="Paragraphedeliste"/>
        <w:spacing w:after="160" w:line="259" w:lineRule="auto"/>
        <w:ind w:left="786"/>
        <w:rPr>
          <w:rFonts w:ascii="Times New Roman" w:hAnsi="Times New Roman"/>
          <w:sz w:val="24"/>
          <w:u w:val="single"/>
        </w:rPr>
      </w:pPr>
    </w:p>
    <w:p w:rsidR="0037619E" w:rsidRDefault="0037619E" w:rsidP="0037619E">
      <w:pPr>
        <w:pStyle w:val="Paragraphedeliste"/>
        <w:spacing w:after="160" w:line="259" w:lineRule="auto"/>
        <w:ind w:left="786"/>
        <w:rPr>
          <w:rFonts w:ascii="Times New Roman" w:hAnsi="Times New Roman"/>
          <w:sz w:val="24"/>
          <w:u w:val="single"/>
        </w:rPr>
      </w:pPr>
    </w:p>
    <w:p w:rsidR="0037619E" w:rsidRDefault="0037619E" w:rsidP="0037619E">
      <w:pPr>
        <w:pStyle w:val="Paragraphedeliste"/>
        <w:spacing w:after="160" w:line="259" w:lineRule="auto"/>
        <w:ind w:left="786"/>
        <w:rPr>
          <w:rFonts w:ascii="Times New Roman" w:hAnsi="Times New Roman"/>
          <w:sz w:val="24"/>
          <w:u w:val="single"/>
        </w:rPr>
      </w:pPr>
    </w:p>
    <w:p w:rsidR="0037619E" w:rsidRDefault="0037619E" w:rsidP="0037619E">
      <w:pPr>
        <w:pStyle w:val="Paragraphedeliste"/>
        <w:spacing w:after="160" w:line="259" w:lineRule="auto"/>
        <w:ind w:left="786"/>
        <w:rPr>
          <w:rFonts w:ascii="Times New Roman" w:hAnsi="Times New Roman"/>
          <w:sz w:val="24"/>
          <w:u w:val="single"/>
        </w:rPr>
      </w:pPr>
    </w:p>
    <w:p w:rsidR="0037619E" w:rsidRDefault="0037619E" w:rsidP="0037619E">
      <w:pPr>
        <w:pStyle w:val="Paragraphedeliste"/>
        <w:spacing w:after="160" w:line="259" w:lineRule="auto"/>
        <w:ind w:left="786"/>
        <w:rPr>
          <w:rFonts w:ascii="Times New Roman" w:hAnsi="Times New Roman"/>
          <w:sz w:val="24"/>
          <w:u w:val="single"/>
        </w:rPr>
      </w:pPr>
    </w:p>
    <w:p w:rsidR="0037619E" w:rsidRDefault="0037619E" w:rsidP="0037619E">
      <w:pPr>
        <w:pStyle w:val="Paragraphedeliste"/>
        <w:spacing w:after="160" w:line="259" w:lineRule="auto"/>
        <w:ind w:left="786"/>
        <w:rPr>
          <w:rFonts w:ascii="Times New Roman" w:hAnsi="Times New Roman"/>
          <w:sz w:val="24"/>
          <w:u w:val="single"/>
        </w:rPr>
      </w:pPr>
    </w:p>
    <w:p w:rsidR="0037619E" w:rsidRDefault="0037619E" w:rsidP="0037619E">
      <w:pPr>
        <w:pStyle w:val="Paragraphedeliste"/>
        <w:spacing w:after="160" w:line="259" w:lineRule="auto"/>
        <w:ind w:left="786"/>
        <w:rPr>
          <w:rFonts w:ascii="Times New Roman" w:hAnsi="Times New Roman"/>
          <w:sz w:val="24"/>
          <w:u w:val="single"/>
        </w:rPr>
      </w:pPr>
    </w:p>
    <w:p w:rsidR="0037619E" w:rsidRPr="00EA0162" w:rsidRDefault="0037619E" w:rsidP="00D21249">
      <w:pPr>
        <w:pStyle w:val="Paragraphedeliste"/>
        <w:spacing w:line="240" w:lineRule="auto"/>
        <w:ind w:left="786"/>
        <w:rPr>
          <w:rFonts w:ascii="Times New Roman" w:hAnsi="Times New Roman"/>
          <w:sz w:val="24"/>
        </w:rPr>
      </w:pPr>
    </w:p>
    <w:p w:rsidR="00EA0162" w:rsidRDefault="00EA0162" w:rsidP="00EA0162">
      <w:pPr>
        <w:pStyle w:val="Paragraphedeliste"/>
        <w:spacing w:line="240" w:lineRule="auto"/>
        <w:ind w:left="786"/>
        <w:rPr>
          <w:rFonts w:ascii="Times New Roman" w:hAnsi="Times New Roman"/>
          <w:sz w:val="24"/>
        </w:rPr>
      </w:pPr>
    </w:p>
    <w:p w:rsidR="0085162B" w:rsidRDefault="0085162B" w:rsidP="00EA0162">
      <w:pPr>
        <w:pStyle w:val="Paragraphedeliste"/>
        <w:spacing w:line="240" w:lineRule="auto"/>
        <w:ind w:left="786"/>
        <w:rPr>
          <w:rFonts w:ascii="Times New Roman" w:hAnsi="Times New Roman"/>
          <w:sz w:val="24"/>
        </w:rPr>
      </w:pPr>
    </w:p>
    <w:p w:rsidR="0085162B" w:rsidRDefault="0085162B" w:rsidP="00EA0162">
      <w:pPr>
        <w:pStyle w:val="Paragraphedeliste"/>
        <w:spacing w:line="240" w:lineRule="auto"/>
        <w:ind w:left="786"/>
        <w:rPr>
          <w:rFonts w:ascii="Times New Roman" w:hAnsi="Times New Roman"/>
          <w:sz w:val="24"/>
        </w:rPr>
      </w:pPr>
    </w:p>
    <w:p w:rsidR="0085162B" w:rsidRDefault="0085162B" w:rsidP="00EA0162">
      <w:pPr>
        <w:pStyle w:val="Paragraphedeliste"/>
        <w:spacing w:line="240" w:lineRule="auto"/>
        <w:ind w:left="786"/>
        <w:rPr>
          <w:rFonts w:ascii="Times New Roman" w:hAnsi="Times New Roman"/>
          <w:sz w:val="24"/>
        </w:rPr>
      </w:pPr>
    </w:p>
    <w:p w:rsidR="0085162B" w:rsidRDefault="0085162B" w:rsidP="00EA0162">
      <w:pPr>
        <w:pStyle w:val="Paragraphedeliste"/>
        <w:spacing w:line="240" w:lineRule="auto"/>
        <w:ind w:left="786"/>
        <w:rPr>
          <w:rFonts w:ascii="Times New Roman" w:hAnsi="Times New Roman"/>
          <w:sz w:val="24"/>
        </w:rPr>
      </w:pPr>
    </w:p>
    <w:p w:rsidR="00EA0162" w:rsidRPr="00A51A45" w:rsidRDefault="00EA0162" w:rsidP="007565AA">
      <w:pPr>
        <w:pStyle w:val="Titre2"/>
        <w:numPr>
          <w:ilvl w:val="0"/>
          <w:numId w:val="22"/>
        </w:numPr>
        <w:rPr>
          <w:rFonts w:ascii="Times New Roman" w:hAnsi="Times New Roman" w:cs="Times New Roman"/>
        </w:rPr>
      </w:pPr>
      <w:bookmarkStart w:id="72" w:name="_Toc55407517"/>
      <w:r w:rsidRPr="00A51A45">
        <w:rPr>
          <w:rFonts w:ascii="Times New Roman" w:hAnsi="Times New Roman" w:cs="Times New Roman"/>
        </w:rPr>
        <w:t>Propositions pour la loi de transposition</w:t>
      </w:r>
      <w:bookmarkEnd w:id="72"/>
    </w:p>
    <w:p w:rsidR="00EA0162" w:rsidRPr="00EA0162" w:rsidRDefault="00EA0162" w:rsidP="00EA0162">
      <w:pPr>
        <w:pStyle w:val="Paragraphedeliste"/>
        <w:spacing w:line="240" w:lineRule="auto"/>
        <w:ind w:left="786"/>
        <w:rPr>
          <w:rFonts w:ascii="Times New Roman" w:hAnsi="Times New Roman"/>
          <w:sz w:val="24"/>
        </w:rPr>
      </w:pPr>
    </w:p>
    <w:p w:rsidR="00AA004E" w:rsidRPr="008D0B85" w:rsidRDefault="00AA004E" w:rsidP="0085162B">
      <w:pPr>
        <w:pStyle w:val="Paragraphedeliste"/>
        <w:numPr>
          <w:ilvl w:val="0"/>
          <w:numId w:val="2"/>
        </w:numPr>
        <w:spacing w:line="240" w:lineRule="auto"/>
        <w:ind w:hanging="567"/>
        <w:rPr>
          <w:rFonts w:ascii="Times New Roman" w:hAnsi="Times New Roman"/>
          <w:sz w:val="24"/>
          <w:u w:val="single"/>
        </w:rPr>
      </w:pPr>
      <w:r w:rsidRPr="00AA004E">
        <w:rPr>
          <w:rFonts w:ascii="Times New Roman" w:hAnsi="Times New Roman"/>
          <w:sz w:val="24"/>
          <w:u w:val="single"/>
        </w:rPr>
        <w:t>Le concept in money est un tout</w:t>
      </w:r>
      <w:r w:rsidR="0085162B">
        <w:rPr>
          <w:rFonts w:ascii="Times New Roman" w:hAnsi="Times New Roman"/>
          <w:sz w:val="24"/>
          <w:u w:val="single"/>
        </w:rPr>
        <w:t>.</w:t>
      </w:r>
      <w:r w:rsidR="0085162B">
        <w:rPr>
          <w:rFonts w:ascii="Times New Roman" w:hAnsi="Times New Roman"/>
          <w:sz w:val="24"/>
        </w:rPr>
        <w:t xml:space="preserve"> </w:t>
      </w:r>
      <w:r>
        <w:rPr>
          <w:rFonts w:ascii="Times New Roman" w:hAnsi="Times New Roman"/>
          <w:sz w:val="24"/>
        </w:rPr>
        <w:t>Il est certes d’abord fondé sur ces valeurs</w:t>
      </w:r>
      <w:r w:rsidR="0085162B">
        <w:rPr>
          <w:rFonts w:ascii="Times New Roman" w:hAnsi="Times New Roman"/>
          <w:sz w:val="24"/>
        </w:rPr>
        <w:t>,</w:t>
      </w:r>
      <w:r>
        <w:rPr>
          <w:rFonts w:ascii="Times New Roman" w:hAnsi="Times New Roman"/>
          <w:sz w:val="24"/>
        </w:rPr>
        <w:t xml:space="preserve"> mais il est aussi fondé sur la règle de non-discrimination et de non atteinte excessive aux droits et intérêts des créanciers (Fair &amp; Equitable), sur la règle de la New</w:t>
      </w:r>
      <w:r w:rsidR="0085162B">
        <w:rPr>
          <w:rFonts w:ascii="Times New Roman" w:hAnsi="Times New Roman"/>
          <w:sz w:val="24"/>
        </w:rPr>
        <w:t>-</w:t>
      </w:r>
      <w:r>
        <w:rPr>
          <w:rFonts w:ascii="Times New Roman" w:hAnsi="Times New Roman"/>
          <w:sz w:val="24"/>
        </w:rPr>
        <w:t>Value et des classes y compris celle</w:t>
      </w:r>
      <w:r w:rsidR="0085162B">
        <w:rPr>
          <w:rFonts w:ascii="Times New Roman" w:hAnsi="Times New Roman"/>
          <w:sz w:val="24"/>
        </w:rPr>
        <w:t>s</w:t>
      </w:r>
      <w:r>
        <w:rPr>
          <w:rFonts w:ascii="Times New Roman" w:hAnsi="Times New Roman"/>
          <w:sz w:val="24"/>
        </w:rPr>
        <w:t xml:space="preserve"> incluant les actionnaires, sur la protection adéquate du créancier sécurisé, sur la détermination de la valeur des créances et litiges à la valeur going-concern et à celle d’un DIP financing permettant de maintenir et d’augmenter la valeur. La procédure doit permettre de vendre en cours de procédure des actifs</w:t>
      </w:r>
      <w:r w:rsidR="0085162B">
        <w:rPr>
          <w:rFonts w:ascii="Times New Roman" w:hAnsi="Times New Roman"/>
          <w:sz w:val="24"/>
        </w:rPr>
        <w:t>,</w:t>
      </w:r>
      <w:r>
        <w:rPr>
          <w:rFonts w:ascii="Times New Roman" w:hAnsi="Times New Roman"/>
          <w:sz w:val="24"/>
        </w:rPr>
        <w:t xml:space="preserve"> voire une partie importante ou totale des actifs et activités </w:t>
      </w:r>
      <w:r w:rsidR="0085162B">
        <w:rPr>
          <w:rFonts w:ascii="Times New Roman" w:hAnsi="Times New Roman"/>
          <w:sz w:val="24"/>
        </w:rPr>
        <w:t>(§</w:t>
      </w:r>
      <w:r>
        <w:rPr>
          <w:rFonts w:ascii="Times New Roman" w:hAnsi="Times New Roman"/>
          <w:sz w:val="24"/>
        </w:rPr>
        <w:t xml:space="preserve">309) afin de </w:t>
      </w:r>
      <w:r w:rsidR="0085162B">
        <w:rPr>
          <w:rFonts w:ascii="Times New Roman" w:hAnsi="Times New Roman"/>
          <w:sz w:val="24"/>
        </w:rPr>
        <w:t>préserver</w:t>
      </w:r>
      <w:r>
        <w:rPr>
          <w:rFonts w:ascii="Times New Roman" w:hAnsi="Times New Roman"/>
          <w:sz w:val="24"/>
        </w:rPr>
        <w:t xml:space="preserve"> l’entreprise tout en apportant aux créanciers une vraie valeur going-concern. La loi de transposition devra être précises sur ces points tellement notre culture juridique est plus « </w:t>
      </w:r>
      <w:r w:rsidRPr="0085162B">
        <w:rPr>
          <w:rFonts w:ascii="Times New Roman" w:hAnsi="Times New Roman"/>
          <w:i/>
          <w:sz w:val="24"/>
        </w:rPr>
        <w:t>formelle</w:t>
      </w:r>
      <w:r w:rsidR="0085162B">
        <w:rPr>
          <w:rFonts w:ascii="Times New Roman" w:hAnsi="Times New Roman"/>
          <w:sz w:val="24"/>
        </w:rPr>
        <w:t> » qu’économique.</w:t>
      </w:r>
      <w:r>
        <w:rPr>
          <w:rFonts w:ascii="Times New Roman" w:hAnsi="Times New Roman"/>
          <w:sz w:val="24"/>
        </w:rPr>
        <w:t xml:space="preserve"> </w:t>
      </w:r>
    </w:p>
    <w:p w:rsidR="008D0B85" w:rsidRDefault="008D0B85" w:rsidP="008D0B85">
      <w:pPr>
        <w:pStyle w:val="Paragraphedeliste"/>
        <w:spacing w:after="160" w:line="259" w:lineRule="auto"/>
        <w:ind w:left="786"/>
        <w:rPr>
          <w:rFonts w:ascii="Times New Roman" w:hAnsi="Times New Roman"/>
          <w:sz w:val="24"/>
          <w:u w:val="single"/>
        </w:rPr>
      </w:pPr>
    </w:p>
    <w:p w:rsidR="007818BE" w:rsidRDefault="008D0B85" w:rsidP="008D0B85">
      <w:pPr>
        <w:pStyle w:val="Paragraphedeliste"/>
        <w:spacing w:after="160" w:line="259" w:lineRule="auto"/>
        <w:ind w:left="786"/>
        <w:rPr>
          <w:rFonts w:ascii="Times New Roman" w:hAnsi="Times New Roman"/>
          <w:sz w:val="24"/>
        </w:rPr>
      </w:pPr>
      <w:r w:rsidRPr="008D0B85">
        <w:rPr>
          <w:rFonts w:ascii="Times New Roman" w:hAnsi="Times New Roman"/>
          <w:sz w:val="24"/>
        </w:rPr>
        <w:t>Deux points méritent une attention : dans le système US, le débiteur est tenté de faire des propositions raisonnables pour aboutir à un accord</w:t>
      </w:r>
      <w:r w:rsidR="0085162B">
        <w:rPr>
          <w:rFonts w:ascii="Times New Roman" w:hAnsi="Times New Roman"/>
          <w:sz w:val="24"/>
        </w:rPr>
        <w:t>,</w:t>
      </w:r>
      <w:r w:rsidRPr="008D0B85">
        <w:rPr>
          <w:rFonts w:ascii="Times New Roman" w:hAnsi="Times New Roman"/>
          <w:sz w:val="24"/>
        </w:rPr>
        <w:t xml:space="preserve"> car au terme du premier délai, ses créanciers pourront proposer un plan alternatif</w:t>
      </w:r>
      <w:r>
        <w:rPr>
          <w:rFonts w:ascii="Times New Roman" w:hAnsi="Times New Roman"/>
          <w:sz w:val="24"/>
        </w:rPr>
        <w:t xml:space="preserve"> peut</w:t>
      </w:r>
      <w:r w:rsidR="0085162B">
        <w:rPr>
          <w:rFonts w:ascii="Times New Roman" w:hAnsi="Times New Roman"/>
          <w:sz w:val="24"/>
        </w:rPr>
        <w:t>-</w:t>
      </w:r>
      <w:r>
        <w:rPr>
          <w:rFonts w:ascii="Times New Roman" w:hAnsi="Times New Roman"/>
          <w:sz w:val="24"/>
        </w:rPr>
        <w:t>être moins favorable ; cette solution n’existe pas dans la directive et en droit interne, la seule option laissée aux créanciers est donc soit d’accepter le plan du débiteur</w:t>
      </w:r>
      <w:r w:rsidR="0085162B">
        <w:rPr>
          <w:rFonts w:ascii="Times New Roman" w:hAnsi="Times New Roman"/>
          <w:sz w:val="24"/>
        </w:rPr>
        <w:t>,</w:t>
      </w:r>
      <w:r>
        <w:rPr>
          <w:rFonts w:ascii="Times New Roman" w:hAnsi="Times New Roman"/>
          <w:sz w:val="24"/>
        </w:rPr>
        <w:t xml:space="preserve"> soit d’accepter la valeur de liquidation. Une procédure qui pourrait permettre de proposer un plan alternatif est à évaluer. Le second point est l’existence d’un marché du DIP financing qui est probablement </w:t>
      </w:r>
      <w:r w:rsidR="007818BE">
        <w:rPr>
          <w:rFonts w:ascii="Times New Roman" w:hAnsi="Times New Roman"/>
          <w:sz w:val="24"/>
        </w:rPr>
        <w:t>à</w:t>
      </w:r>
      <w:r>
        <w:rPr>
          <w:rFonts w:ascii="Times New Roman" w:hAnsi="Times New Roman"/>
          <w:sz w:val="24"/>
        </w:rPr>
        <w:t xml:space="preserve"> créer </w:t>
      </w:r>
      <w:r w:rsidR="007818BE">
        <w:rPr>
          <w:rFonts w:ascii="Times New Roman" w:hAnsi="Times New Roman"/>
          <w:sz w:val="24"/>
        </w:rPr>
        <w:t xml:space="preserve">en organisant mieux les priorités ou </w:t>
      </w:r>
      <w:r w:rsidR="0085162B">
        <w:rPr>
          <w:rFonts w:ascii="Times New Roman" w:hAnsi="Times New Roman"/>
          <w:sz w:val="24"/>
        </w:rPr>
        <w:t>superpriority.</w:t>
      </w:r>
    </w:p>
    <w:p w:rsidR="007818BE" w:rsidRDefault="007818BE" w:rsidP="008D0B85">
      <w:pPr>
        <w:pStyle w:val="Paragraphedeliste"/>
        <w:spacing w:after="160" w:line="259" w:lineRule="auto"/>
        <w:ind w:left="786"/>
        <w:rPr>
          <w:rFonts w:ascii="Times New Roman" w:hAnsi="Times New Roman"/>
          <w:sz w:val="24"/>
        </w:rPr>
      </w:pPr>
    </w:p>
    <w:p w:rsidR="008D0B85" w:rsidRPr="008D0B85" w:rsidRDefault="007818BE" w:rsidP="008D0B85">
      <w:pPr>
        <w:pStyle w:val="Paragraphedeliste"/>
        <w:spacing w:after="160" w:line="259" w:lineRule="auto"/>
        <w:ind w:left="786"/>
        <w:rPr>
          <w:rFonts w:ascii="Times New Roman" w:hAnsi="Times New Roman"/>
          <w:sz w:val="24"/>
        </w:rPr>
      </w:pPr>
      <w:r>
        <w:rPr>
          <w:rFonts w:ascii="Times New Roman" w:hAnsi="Times New Roman"/>
          <w:sz w:val="24"/>
        </w:rPr>
        <w:t xml:space="preserve">En outre, il conviendrait de donner à la phase amiable de la </w:t>
      </w:r>
      <w:r w:rsidR="0085162B">
        <w:rPr>
          <w:rFonts w:ascii="Times New Roman" w:hAnsi="Times New Roman"/>
          <w:sz w:val="24"/>
        </w:rPr>
        <w:t>procédure et</w:t>
      </w:r>
      <w:r>
        <w:rPr>
          <w:rFonts w:ascii="Times New Roman" w:hAnsi="Times New Roman"/>
          <w:sz w:val="24"/>
        </w:rPr>
        <w:t xml:space="preserve"> partant confidentielle un cadre efficace permettant d’aboutir à autant d’accord que ceux qui se </w:t>
      </w:r>
      <w:r>
        <w:rPr>
          <w:rFonts w:ascii="Times New Roman" w:hAnsi="Times New Roman"/>
          <w:sz w:val="24"/>
        </w:rPr>
        <w:lastRenderedPageBreak/>
        <w:t xml:space="preserve">matérialise aux Etats-Unis et même en </w:t>
      </w:r>
      <w:r w:rsidR="0085162B">
        <w:rPr>
          <w:rFonts w:ascii="Times New Roman" w:hAnsi="Times New Roman"/>
          <w:sz w:val="24"/>
        </w:rPr>
        <w:t>France.</w:t>
      </w:r>
      <w:r>
        <w:rPr>
          <w:rFonts w:ascii="Times New Roman" w:hAnsi="Times New Roman"/>
          <w:sz w:val="24"/>
        </w:rPr>
        <w:t xml:space="preserve"> Un cadre adéquat pourrait aboutir à solutionner de nombreuses situations.</w:t>
      </w:r>
    </w:p>
    <w:p w:rsidR="00AA004E" w:rsidRPr="00AA004E" w:rsidRDefault="00AA004E" w:rsidP="00AA004E">
      <w:pPr>
        <w:pStyle w:val="Paragraphedeliste"/>
        <w:spacing w:after="160" w:line="259" w:lineRule="auto"/>
        <w:ind w:left="786"/>
        <w:rPr>
          <w:rFonts w:ascii="Times New Roman" w:hAnsi="Times New Roman"/>
          <w:sz w:val="24"/>
        </w:rPr>
      </w:pPr>
    </w:p>
    <w:p w:rsidR="00044690" w:rsidRPr="008F7F6D" w:rsidRDefault="008F7F6D" w:rsidP="0085162B">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 xml:space="preserve">Les </w:t>
      </w:r>
      <w:r w:rsidR="007015DF">
        <w:rPr>
          <w:rFonts w:ascii="Times New Roman" w:hAnsi="Times New Roman"/>
          <w:sz w:val="24"/>
          <w:u w:val="single"/>
        </w:rPr>
        <w:t>débiteurs</w:t>
      </w:r>
      <w:r>
        <w:rPr>
          <w:rFonts w:ascii="Times New Roman" w:hAnsi="Times New Roman"/>
          <w:sz w:val="24"/>
          <w:u w:val="single"/>
        </w:rPr>
        <w:t xml:space="preserve"> devrai</w:t>
      </w:r>
      <w:r w:rsidR="007015DF">
        <w:rPr>
          <w:rFonts w:ascii="Times New Roman" w:hAnsi="Times New Roman"/>
          <w:sz w:val="24"/>
          <w:u w:val="single"/>
        </w:rPr>
        <w:t>en</w:t>
      </w:r>
      <w:r>
        <w:rPr>
          <w:rFonts w:ascii="Times New Roman" w:hAnsi="Times New Roman"/>
          <w:sz w:val="24"/>
          <w:u w:val="single"/>
        </w:rPr>
        <w:t xml:space="preserve">t soutenir une </w:t>
      </w:r>
      <w:r w:rsidR="00044690">
        <w:rPr>
          <w:rFonts w:ascii="Times New Roman" w:hAnsi="Times New Roman"/>
          <w:sz w:val="24"/>
          <w:u w:val="single"/>
        </w:rPr>
        <w:t>intégr</w:t>
      </w:r>
      <w:r>
        <w:rPr>
          <w:rFonts w:ascii="Times New Roman" w:hAnsi="Times New Roman"/>
          <w:sz w:val="24"/>
          <w:u w:val="single"/>
        </w:rPr>
        <w:t xml:space="preserve">ation dynamique de </w:t>
      </w:r>
      <w:r w:rsidR="00044690">
        <w:rPr>
          <w:rFonts w:ascii="Times New Roman" w:hAnsi="Times New Roman"/>
          <w:sz w:val="24"/>
          <w:u w:val="single"/>
        </w:rPr>
        <w:t>la directive.</w:t>
      </w:r>
      <w:r w:rsidR="00044690">
        <w:rPr>
          <w:rFonts w:ascii="Times New Roman" w:hAnsi="Times New Roman"/>
          <w:sz w:val="24"/>
        </w:rPr>
        <w:t xml:space="preserve"> Des restructurations de grosses PME ou de grandes entreprises comme </w:t>
      </w:r>
      <w:r w:rsidR="00A51A45">
        <w:rPr>
          <w:rFonts w:ascii="Times New Roman" w:hAnsi="Times New Roman"/>
          <w:sz w:val="24"/>
        </w:rPr>
        <w:t>NYRSTAR</w:t>
      </w:r>
      <w:r w:rsidR="00044690">
        <w:rPr>
          <w:rFonts w:ascii="Times New Roman" w:hAnsi="Times New Roman"/>
          <w:sz w:val="24"/>
        </w:rPr>
        <w:t xml:space="preserve">, </w:t>
      </w:r>
      <w:r w:rsidR="00C44D7D">
        <w:rPr>
          <w:rFonts w:ascii="Times New Roman" w:hAnsi="Times New Roman"/>
          <w:sz w:val="24"/>
        </w:rPr>
        <w:t>BRA</w:t>
      </w:r>
      <w:r w:rsidR="00A51A45">
        <w:rPr>
          <w:rFonts w:ascii="Times New Roman" w:hAnsi="Times New Roman"/>
          <w:sz w:val="24"/>
        </w:rPr>
        <w:t>NTANO</w:t>
      </w:r>
      <w:r w:rsidR="00044690">
        <w:rPr>
          <w:rFonts w:ascii="Times New Roman" w:hAnsi="Times New Roman"/>
          <w:sz w:val="24"/>
        </w:rPr>
        <w:t xml:space="preserve"> ou </w:t>
      </w:r>
      <w:r w:rsidR="00A51A45">
        <w:rPr>
          <w:rFonts w:ascii="Times New Roman" w:hAnsi="Times New Roman"/>
          <w:sz w:val="24"/>
        </w:rPr>
        <w:t>ORCHESTRA</w:t>
      </w:r>
      <w:r w:rsidR="00044690">
        <w:rPr>
          <w:rFonts w:ascii="Times New Roman" w:hAnsi="Times New Roman"/>
          <w:sz w:val="24"/>
        </w:rPr>
        <w:t>-</w:t>
      </w:r>
      <w:r w:rsidR="00A51A45">
        <w:rPr>
          <w:rFonts w:ascii="Times New Roman" w:hAnsi="Times New Roman"/>
          <w:sz w:val="24"/>
        </w:rPr>
        <w:t>PREMAMAN</w:t>
      </w:r>
      <w:r w:rsidR="00044690">
        <w:rPr>
          <w:rFonts w:ascii="Times New Roman" w:hAnsi="Times New Roman"/>
          <w:sz w:val="24"/>
        </w:rPr>
        <w:t xml:space="preserve"> seraient enfin possibles. Les PME ne seraient pas obligées d’utiliser ce système sauf si elles y trouvent un intérêt.</w:t>
      </w:r>
      <w:r>
        <w:rPr>
          <w:rFonts w:ascii="Times New Roman" w:hAnsi="Times New Roman"/>
          <w:sz w:val="24"/>
        </w:rPr>
        <w:t xml:space="preserve"> </w:t>
      </w:r>
      <w:r w:rsidR="00044690" w:rsidRPr="008F7F6D">
        <w:rPr>
          <w:rFonts w:ascii="Times New Roman" w:hAnsi="Times New Roman"/>
          <w:sz w:val="24"/>
        </w:rPr>
        <w:t xml:space="preserve">En modélisant mieux le traitement des créanciers – et parmi eux, les sécurisés et les non-sécurisés – par rapport aux actionnaires au seins d’un processus conduit par des dirigeants attentifs à l’intérêt des </w:t>
      </w:r>
      <w:r w:rsidR="00044690" w:rsidRPr="00C44D7D">
        <w:rPr>
          <w:rFonts w:ascii="Times New Roman" w:hAnsi="Times New Roman"/>
          <w:i/>
          <w:sz w:val="24"/>
        </w:rPr>
        <w:t>stakeholders</w:t>
      </w:r>
      <w:r w:rsidR="00044690" w:rsidRPr="008F7F6D">
        <w:rPr>
          <w:rFonts w:ascii="Times New Roman" w:hAnsi="Times New Roman"/>
          <w:sz w:val="24"/>
        </w:rPr>
        <w:t>, au besoin avec l’intervention de praticiens de l’insolvabilité, la directive protège et maximalise mieux la valeur de l’entreprise et la valeur des créanciers.</w:t>
      </w:r>
    </w:p>
    <w:p w:rsidR="00044690" w:rsidRDefault="00044690" w:rsidP="007015DF">
      <w:pPr>
        <w:pStyle w:val="Paragraphedeliste"/>
        <w:spacing w:line="240" w:lineRule="auto"/>
        <w:ind w:left="786"/>
        <w:rPr>
          <w:rFonts w:ascii="Times New Roman" w:hAnsi="Times New Roman"/>
          <w:sz w:val="24"/>
        </w:rPr>
      </w:pPr>
    </w:p>
    <w:p w:rsidR="00044690" w:rsidRDefault="00C44D7D" w:rsidP="007015DF">
      <w:pPr>
        <w:pStyle w:val="Paragraphedeliste"/>
        <w:spacing w:line="240" w:lineRule="auto"/>
        <w:ind w:left="786"/>
        <w:rPr>
          <w:rFonts w:ascii="Times New Roman" w:hAnsi="Times New Roman"/>
          <w:sz w:val="24"/>
        </w:rPr>
      </w:pPr>
      <w:r>
        <w:rPr>
          <w:rFonts w:ascii="Times New Roman" w:hAnsi="Times New Roman"/>
          <w:sz w:val="24"/>
        </w:rPr>
        <w:t xml:space="preserve">Intégrer </w:t>
      </w:r>
      <w:r w:rsidR="00044690">
        <w:rPr>
          <w:rFonts w:ascii="Times New Roman" w:hAnsi="Times New Roman"/>
          <w:sz w:val="24"/>
        </w:rPr>
        <w:t>que chacun soit traité équitablement et proportionnellement à ses droits et intérêts sur la valeur réelle de l’entreprise porte une vision différente de l’insolvabilité. Permettre la conversion ou les clauses de retour à meilleure fortune sur la valeur future, mais dans une proportion raisonnable avec l’allocation de la valeur future à ceux qui la créeront est aussi un message intéressant.</w:t>
      </w:r>
    </w:p>
    <w:p w:rsidR="00044690" w:rsidRDefault="00044690" w:rsidP="007015DF">
      <w:pPr>
        <w:pStyle w:val="Paragraphedeliste"/>
        <w:spacing w:line="240" w:lineRule="auto"/>
        <w:ind w:left="786"/>
        <w:rPr>
          <w:rFonts w:ascii="Times New Roman" w:hAnsi="Times New Roman"/>
          <w:sz w:val="24"/>
        </w:rPr>
      </w:pPr>
    </w:p>
    <w:p w:rsidR="00044690" w:rsidRDefault="00044690" w:rsidP="007015DF">
      <w:pPr>
        <w:pStyle w:val="Paragraphedeliste"/>
        <w:spacing w:line="240" w:lineRule="auto"/>
        <w:ind w:left="786"/>
        <w:rPr>
          <w:rFonts w:ascii="Times New Roman" w:hAnsi="Times New Roman"/>
          <w:sz w:val="24"/>
        </w:rPr>
      </w:pPr>
      <w:r>
        <w:rPr>
          <w:rFonts w:ascii="Times New Roman" w:hAnsi="Times New Roman"/>
          <w:sz w:val="24"/>
        </w:rPr>
        <w:t xml:space="preserve">Si l’on prend l’exemple de </w:t>
      </w:r>
      <w:r w:rsidR="00C44D7D">
        <w:rPr>
          <w:rFonts w:ascii="Times New Roman" w:hAnsi="Times New Roman"/>
          <w:sz w:val="24"/>
        </w:rPr>
        <w:t>BRA</w:t>
      </w:r>
      <w:r w:rsidR="00A51A45">
        <w:rPr>
          <w:rFonts w:ascii="Times New Roman" w:hAnsi="Times New Roman"/>
          <w:sz w:val="24"/>
        </w:rPr>
        <w:t xml:space="preserve">NTANO </w:t>
      </w:r>
      <w:r>
        <w:rPr>
          <w:rFonts w:ascii="Times New Roman" w:hAnsi="Times New Roman"/>
          <w:sz w:val="24"/>
        </w:rPr>
        <w:t xml:space="preserve">ou </w:t>
      </w:r>
      <w:r w:rsidR="00A51A45">
        <w:rPr>
          <w:rFonts w:ascii="Times New Roman" w:hAnsi="Times New Roman"/>
          <w:sz w:val="24"/>
        </w:rPr>
        <w:t xml:space="preserve">ORCHESTRA-PREMAMAN </w:t>
      </w:r>
      <w:r>
        <w:rPr>
          <w:rFonts w:ascii="Times New Roman" w:hAnsi="Times New Roman"/>
          <w:sz w:val="24"/>
        </w:rPr>
        <w:t>ou de C</w:t>
      </w:r>
      <w:r w:rsidR="00C44D7D">
        <w:rPr>
          <w:rFonts w:ascii="Times New Roman" w:hAnsi="Times New Roman"/>
          <w:sz w:val="24"/>
        </w:rPr>
        <w:t>AMAIEU</w:t>
      </w:r>
      <w:r>
        <w:rPr>
          <w:rFonts w:ascii="Times New Roman" w:hAnsi="Times New Roman"/>
          <w:sz w:val="24"/>
        </w:rPr>
        <w:t>, on peut raisonnablement conclure que ce modèle contient une approche plus efficiente et moderne du droit de l’insolvabilité, voire pour les créanciers, d’un droit de la solvabilité.</w:t>
      </w:r>
      <w:r w:rsidR="00A51A45">
        <w:rPr>
          <w:rFonts w:ascii="Times New Roman" w:hAnsi="Times New Roman"/>
          <w:sz w:val="24"/>
        </w:rPr>
        <w:t xml:space="preserve"> </w:t>
      </w:r>
    </w:p>
    <w:p w:rsidR="00044690" w:rsidRDefault="00044690" w:rsidP="007015DF">
      <w:pPr>
        <w:pStyle w:val="Paragraphedeliste"/>
        <w:spacing w:line="240" w:lineRule="auto"/>
        <w:ind w:left="786"/>
        <w:rPr>
          <w:rFonts w:ascii="Times New Roman" w:hAnsi="Times New Roman"/>
          <w:sz w:val="24"/>
        </w:rPr>
      </w:pPr>
    </w:p>
    <w:p w:rsidR="00044690" w:rsidRPr="007015DF" w:rsidRDefault="00044690" w:rsidP="007015DF">
      <w:pPr>
        <w:pStyle w:val="Paragraphedeliste"/>
        <w:spacing w:line="240" w:lineRule="auto"/>
        <w:ind w:left="786"/>
        <w:rPr>
          <w:rFonts w:ascii="Times New Roman" w:hAnsi="Times New Roman"/>
          <w:sz w:val="24"/>
        </w:rPr>
      </w:pPr>
      <w:r>
        <w:rPr>
          <w:rFonts w:ascii="Times New Roman" w:hAnsi="Times New Roman"/>
          <w:sz w:val="24"/>
        </w:rPr>
        <w:t>L’argument traditionnel pour écarter ces dispositions seraient le coût et la complexité. Le coût et la complexité – et aussi en conséquence d’aléa – sont des armes de négociations en vue d’aboutir à des accords puisque, selon que la valeur soit plus ou moins grande, les créanciers pourraient être plus ou moins payé. Le coût n’est souvent important que si l’enjeu est important. La complexité dépend de la manière dont on perçoit la question de la valeur : est-elle une valeur qui doit être arrêtée de manière précise, que le constat est exact, faut-il seulement trancher (à défaut d’accord pour simplifier la procédure) les barrières basses et hautes d’une valeur et l’argument cesse d’être e</w:t>
      </w:r>
      <w:r w:rsidR="007015DF">
        <w:rPr>
          <w:rFonts w:ascii="Times New Roman" w:hAnsi="Times New Roman"/>
          <w:sz w:val="24"/>
        </w:rPr>
        <w:t xml:space="preserve">ssentiel, voire même pertinent. </w:t>
      </w:r>
      <w:r w:rsidRPr="007015DF">
        <w:rPr>
          <w:rFonts w:ascii="Times New Roman" w:hAnsi="Times New Roman"/>
          <w:sz w:val="24"/>
        </w:rPr>
        <w:t>Cette « </w:t>
      </w:r>
      <w:r w:rsidRPr="007015DF">
        <w:rPr>
          <w:rFonts w:ascii="Times New Roman" w:hAnsi="Times New Roman"/>
          <w:i/>
          <w:sz w:val="24"/>
        </w:rPr>
        <w:t>complexité</w:t>
      </w:r>
      <w:r w:rsidRPr="007015DF">
        <w:rPr>
          <w:rFonts w:ascii="Times New Roman" w:hAnsi="Times New Roman"/>
          <w:sz w:val="24"/>
        </w:rPr>
        <w:t> » est clairement utilisée par le juge américain pour passer à des accords. Il reste à prévoir des modalités dans le droit national qui permettent d’aboutir à un résultat similaire.</w:t>
      </w:r>
    </w:p>
    <w:p w:rsidR="00044690" w:rsidRDefault="00044690" w:rsidP="00044690">
      <w:pPr>
        <w:pStyle w:val="Paragraphedeliste"/>
        <w:spacing w:line="240" w:lineRule="auto"/>
        <w:ind w:left="786"/>
        <w:rPr>
          <w:rFonts w:ascii="Times New Roman" w:hAnsi="Times New Roman"/>
          <w:sz w:val="24"/>
        </w:rPr>
      </w:pPr>
    </w:p>
    <w:p w:rsidR="008F7F6D" w:rsidRPr="007015DF" w:rsidRDefault="00AA004E" w:rsidP="0085162B">
      <w:pPr>
        <w:pStyle w:val="Paragraphedeliste"/>
        <w:numPr>
          <w:ilvl w:val="0"/>
          <w:numId w:val="2"/>
        </w:numPr>
        <w:spacing w:line="240" w:lineRule="auto"/>
        <w:ind w:hanging="567"/>
        <w:rPr>
          <w:rFonts w:ascii="Times New Roman" w:hAnsi="Times New Roman"/>
          <w:sz w:val="24"/>
          <w:u w:val="single"/>
        </w:rPr>
      </w:pPr>
      <w:r>
        <w:rPr>
          <w:rFonts w:ascii="Times New Roman" w:hAnsi="Times New Roman"/>
          <w:sz w:val="24"/>
          <w:u w:val="single"/>
        </w:rPr>
        <w:t xml:space="preserve">L’appui d monde financier </w:t>
      </w:r>
      <w:r w:rsidR="007015DF">
        <w:rPr>
          <w:rFonts w:ascii="Times New Roman" w:hAnsi="Times New Roman"/>
          <w:sz w:val="24"/>
        </w:rPr>
        <w:t xml:space="preserve">: l’argument traditionnel évoqué à chaque réforme et qui s’exprime souvent dans le lobby actif de Febelfin à chaque projet est que la modification des droits des créanciers </w:t>
      </w:r>
      <w:r w:rsidR="00AC0598">
        <w:rPr>
          <w:rFonts w:ascii="Times New Roman" w:hAnsi="Times New Roman"/>
          <w:sz w:val="24"/>
        </w:rPr>
        <w:t>rendrait</w:t>
      </w:r>
      <w:r w:rsidR="007015DF">
        <w:rPr>
          <w:rFonts w:ascii="Times New Roman" w:hAnsi="Times New Roman"/>
          <w:sz w:val="24"/>
        </w:rPr>
        <w:t xml:space="preserve"> le crédit plus difficile. Un débat doit être tenu. Différents arguments plaident pour considérer que la situation des créanciers financiers est meilleure : ils doivent obtenir au moins autant qu’en liquidation d’une entreprise viable et peuvent négocier d’avoir une part raisonnable de ce qui sépare la valeur de liquidation de la valeur </w:t>
      </w:r>
      <w:r w:rsidR="007C17D3" w:rsidRPr="007C17D3">
        <w:rPr>
          <w:rFonts w:ascii="Times New Roman" w:hAnsi="Times New Roman"/>
          <w:i/>
          <w:sz w:val="24"/>
        </w:rPr>
        <w:t>going-concern</w:t>
      </w:r>
      <w:r w:rsidR="007015DF">
        <w:rPr>
          <w:rFonts w:ascii="Times New Roman" w:hAnsi="Times New Roman"/>
          <w:sz w:val="24"/>
        </w:rPr>
        <w:t>.</w:t>
      </w:r>
    </w:p>
    <w:p w:rsidR="007015DF" w:rsidRDefault="007015DF" w:rsidP="007015DF">
      <w:pPr>
        <w:pStyle w:val="Paragraphedeliste"/>
        <w:spacing w:after="160" w:line="259" w:lineRule="auto"/>
        <w:ind w:left="786"/>
        <w:rPr>
          <w:rFonts w:ascii="Times New Roman" w:hAnsi="Times New Roman"/>
          <w:sz w:val="24"/>
          <w:u w:val="single"/>
        </w:rPr>
      </w:pPr>
    </w:p>
    <w:p w:rsidR="008F7F6D" w:rsidRDefault="007015DF" w:rsidP="007015DF">
      <w:pPr>
        <w:pStyle w:val="Paragraphedeliste"/>
        <w:spacing w:after="160" w:line="259" w:lineRule="auto"/>
        <w:ind w:left="786"/>
        <w:rPr>
          <w:rFonts w:ascii="Times New Roman" w:hAnsi="Times New Roman"/>
          <w:sz w:val="24"/>
        </w:rPr>
      </w:pPr>
      <w:r w:rsidRPr="007015DF">
        <w:rPr>
          <w:rFonts w:ascii="Times New Roman" w:hAnsi="Times New Roman"/>
          <w:sz w:val="24"/>
        </w:rPr>
        <w:t>Par contre</w:t>
      </w:r>
      <w:r>
        <w:rPr>
          <w:rFonts w:ascii="Times New Roman" w:hAnsi="Times New Roman"/>
          <w:sz w:val="24"/>
        </w:rPr>
        <w:t xml:space="preserve">, en mettant au cœur du processus de validation les créanciers </w:t>
      </w:r>
      <w:r w:rsidR="007C17D3" w:rsidRPr="007C17D3">
        <w:rPr>
          <w:rFonts w:ascii="Times New Roman" w:hAnsi="Times New Roman"/>
          <w:i/>
          <w:sz w:val="24"/>
        </w:rPr>
        <w:t>Secured</w:t>
      </w:r>
      <w:r>
        <w:rPr>
          <w:rFonts w:ascii="Times New Roman" w:hAnsi="Times New Roman"/>
          <w:sz w:val="24"/>
        </w:rPr>
        <w:t>, la directive leur laisse un droit à mon sens plus important qu’à ce jour sur la gestion de la procédure.</w:t>
      </w:r>
    </w:p>
    <w:p w:rsidR="008F7F6D" w:rsidRPr="008F7F6D" w:rsidRDefault="008F7F6D" w:rsidP="008F7F6D">
      <w:pPr>
        <w:pStyle w:val="Paragraphedeliste"/>
        <w:spacing w:line="240" w:lineRule="auto"/>
        <w:ind w:left="786"/>
        <w:rPr>
          <w:rFonts w:ascii="Times New Roman" w:hAnsi="Times New Roman"/>
          <w:sz w:val="24"/>
        </w:rPr>
      </w:pPr>
    </w:p>
    <w:p w:rsidR="00044690" w:rsidRDefault="00044690" w:rsidP="0085162B">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lastRenderedPageBreak/>
        <w:t>Le</w:t>
      </w:r>
      <w:r w:rsidR="007015DF">
        <w:rPr>
          <w:rFonts w:ascii="Times New Roman" w:hAnsi="Times New Roman"/>
          <w:sz w:val="24"/>
          <w:u w:val="single"/>
        </w:rPr>
        <w:t>s</w:t>
      </w:r>
      <w:r>
        <w:rPr>
          <w:rFonts w:ascii="Times New Roman" w:hAnsi="Times New Roman"/>
          <w:sz w:val="24"/>
          <w:u w:val="single"/>
        </w:rPr>
        <w:t xml:space="preserve"> juge </w:t>
      </w:r>
      <w:r w:rsidR="007015DF">
        <w:rPr>
          <w:rFonts w:ascii="Times New Roman" w:hAnsi="Times New Roman"/>
          <w:sz w:val="24"/>
          <w:u w:val="single"/>
        </w:rPr>
        <w:t xml:space="preserve">verraient leur </w:t>
      </w:r>
      <w:r w:rsidR="007015DF" w:rsidRPr="005B25E5">
        <w:rPr>
          <w:rFonts w:ascii="Times New Roman" w:hAnsi="Times New Roman"/>
          <w:sz w:val="24"/>
          <w:u w:val="single"/>
        </w:rPr>
        <w:t>intervention </w:t>
      </w:r>
      <w:r w:rsidR="005B25E5" w:rsidRPr="005B25E5">
        <w:rPr>
          <w:rFonts w:ascii="Times New Roman" w:hAnsi="Times New Roman"/>
          <w:sz w:val="24"/>
          <w:u w:val="single"/>
        </w:rPr>
        <w:t>considérablement renforcée</w:t>
      </w:r>
      <w:r w:rsidRPr="005B25E5">
        <w:rPr>
          <w:rFonts w:ascii="Times New Roman" w:hAnsi="Times New Roman"/>
          <w:sz w:val="24"/>
        </w:rPr>
        <w:t>.</w:t>
      </w:r>
      <w:r w:rsidR="007015DF" w:rsidRPr="005B25E5">
        <w:rPr>
          <w:rFonts w:ascii="Times New Roman" w:hAnsi="Times New Roman"/>
          <w:sz w:val="24"/>
        </w:rPr>
        <w:t xml:space="preserve"> Cela ne devrait</w:t>
      </w:r>
      <w:r w:rsidR="007015DF">
        <w:rPr>
          <w:rFonts w:ascii="Times New Roman" w:hAnsi="Times New Roman"/>
          <w:sz w:val="24"/>
        </w:rPr>
        <w:t xml:space="preserve"> pas trop les </w:t>
      </w:r>
      <w:r>
        <w:rPr>
          <w:rFonts w:ascii="Times New Roman" w:hAnsi="Times New Roman"/>
          <w:sz w:val="24"/>
        </w:rPr>
        <w:t>effrayer. Il</w:t>
      </w:r>
      <w:r w:rsidR="007015DF">
        <w:rPr>
          <w:rFonts w:ascii="Times New Roman" w:hAnsi="Times New Roman"/>
          <w:sz w:val="24"/>
        </w:rPr>
        <w:t>s</w:t>
      </w:r>
      <w:r>
        <w:rPr>
          <w:rFonts w:ascii="Times New Roman" w:hAnsi="Times New Roman"/>
          <w:sz w:val="24"/>
        </w:rPr>
        <w:t xml:space="preserve"> </w:t>
      </w:r>
      <w:r w:rsidR="00AC0598">
        <w:rPr>
          <w:rFonts w:ascii="Times New Roman" w:hAnsi="Times New Roman"/>
          <w:sz w:val="24"/>
        </w:rPr>
        <w:t>pourraient</w:t>
      </w:r>
      <w:r>
        <w:rPr>
          <w:rFonts w:ascii="Times New Roman" w:hAnsi="Times New Roman"/>
          <w:sz w:val="24"/>
        </w:rPr>
        <w:t xml:space="preserve">, selon ce que la loi de transposition prévoirait, se </w:t>
      </w:r>
      <w:r w:rsidR="00FE7188">
        <w:rPr>
          <w:rFonts w:ascii="Times New Roman" w:hAnsi="Times New Roman"/>
          <w:sz w:val="24"/>
        </w:rPr>
        <w:t>faire</w:t>
      </w:r>
      <w:r>
        <w:rPr>
          <w:rFonts w:ascii="Times New Roman" w:hAnsi="Times New Roman"/>
          <w:sz w:val="24"/>
        </w:rPr>
        <w:t xml:space="preserve"> une opinion de ce que les uns et les autres retiennent comme valeur de l’entreprise. Ce processus commencé au début de la procédure, par exemple, lors de la demande de sursis, impactera clairement la position des parties qui pourraient se rapprocher. Les créanciers sauront que le juge pourrait être tenté de retenir une valeur – tant de liquidation que </w:t>
      </w:r>
      <w:r w:rsidR="007C17D3" w:rsidRPr="007C17D3">
        <w:rPr>
          <w:rFonts w:ascii="Times New Roman" w:hAnsi="Times New Roman"/>
          <w:i/>
          <w:sz w:val="24"/>
        </w:rPr>
        <w:t>going-concern</w:t>
      </w:r>
      <w:r>
        <w:rPr>
          <w:rFonts w:ascii="Times New Roman" w:hAnsi="Times New Roman"/>
          <w:sz w:val="24"/>
        </w:rPr>
        <w:t xml:space="preserve"> – qui aurait des conséquences sur l’approche qu’il aurait de « </w:t>
      </w:r>
      <w:r>
        <w:rPr>
          <w:rFonts w:ascii="Times New Roman" w:hAnsi="Times New Roman"/>
          <w:i/>
          <w:sz w:val="24"/>
        </w:rPr>
        <w:t>l’atteinte excessive aux droits et intérêts des créanciers </w:t>
      </w:r>
      <w:r w:rsidRPr="00684E1B">
        <w:rPr>
          <w:rFonts w:ascii="Times New Roman" w:hAnsi="Times New Roman"/>
          <w:sz w:val="24"/>
        </w:rPr>
        <w:t>» et l’autoriser à accepter un traitement</w:t>
      </w:r>
      <w:r>
        <w:rPr>
          <w:rFonts w:ascii="Times New Roman" w:hAnsi="Times New Roman"/>
          <w:sz w:val="24"/>
        </w:rPr>
        <w:t xml:space="preserve"> voté par une majorité de classe</w:t>
      </w:r>
      <w:r w:rsidR="00FE7188">
        <w:rPr>
          <w:rFonts w:ascii="Times New Roman" w:hAnsi="Times New Roman"/>
          <w:sz w:val="24"/>
        </w:rPr>
        <w:t>s</w:t>
      </w:r>
      <w:r>
        <w:rPr>
          <w:rFonts w:ascii="Times New Roman" w:hAnsi="Times New Roman"/>
          <w:sz w:val="24"/>
        </w:rPr>
        <w:t>, fusse</w:t>
      </w:r>
      <w:r w:rsidR="00FE7188">
        <w:rPr>
          <w:rFonts w:ascii="Times New Roman" w:hAnsi="Times New Roman"/>
          <w:sz w:val="24"/>
        </w:rPr>
        <w:t>nt</w:t>
      </w:r>
      <w:r>
        <w:rPr>
          <w:rFonts w:ascii="Times New Roman" w:hAnsi="Times New Roman"/>
          <w:sz w:val="24"/>
        </w:rPr>
        <w:t>-t-elle</w:t>
      </w:r>
      <w:r w:rsidR="00FE7188">
        <w:rPr>
          <w:rFonts w:ascii="Times New Roman" w:hAnsi="Times New Roman"/>
          <w:sz w:val="24"/>
        </w:rPr>
        <w:t>s</w:t>
      </w:r>
      <w:r>
        <w:rPr>
          <w:rFonts w:ascii="Times New Roman" w:hAnsi="Times New Roman"/>
          <w:sz w:val="24"/>
        </w:rPr>
        <w:t xml:space="preserve"> dans ce cas de créanciers « </w:t>
      </w:r>
      <w:r>
        <w:rPr>
          <w:rFonts w:ascii="Times New Roman" w:hAnsi="Times New Roman"/>
          <w:i/>
          <w:sz w:val="24"/>
        </w:rPr>
        <w:t>ordinaires</w:t>
      </w:r>
      <w:r>
        <w:rPr>
          <w:rFonts w:ascii="Times New Roman" w:hAnsi="Times New Roman"/>
          <w:sz w:val="24"/>
        </w:rPr>
        <w:t xml:space="preserve"> » en imposant </w:t>
      </w:r>
      <w:r w:rsidRPr="00C44D7D">
        <w:rPr>
          <w:rFonts w:ascii="Times New Roman" w:hAnsi="Times New Roman"/>
          <w:i/>
          <w:sz w:val="24"/>
        </w:rPr>
        <w:t xml:space="preserve">le </w:t>
      </w:r>
      <w:r w:rsidR="007C17D3" w:rsidRPr="007C17D3">
        <w:rPr>
          <w:rFonts w:ascii="Times New Roman" w:hAnsi="Times New Roman"/>
          <w:i/>
          <w:sz w:val="24"/>
        </w:rPr>
        <w:t>Cram-down</w:t>
      </w:r>
      <w:r>
        <w:rPr>
          <w:rFonts w:ascii="Times New Roman" w:hAnsi="Times New Roman"/>
          <w:sz w:val="24"/>
        </w:rPr>
        <w:t>. Dans ce traitement, la part maintenue aux actionnaires peut être plus grande tout en limitant dès lors la part payée aux créanciers, y compris les « </w:t>
      </w:r>
      <w:r>
        <w:rPr>
          <w:rFonts w:ascii="Times New Roman" w:hAnsi="Times New Roman"/>
          <w:i/>
          <w:sz w:val="24"/>
        </w:rPr>
        <w:t>extraordinaires</w:t>
      </w:r>
      <w:r>
        <w:rPr>
          <w:rFonts w:ascii="Times New Roman" w:hAnsi="Times New Roman"/>
          <w:sz w:val="24"/>
        </w:rPr>
        <w:t xml:space="preserve"> ». </w:t>
      </w:r>
    </w:p>
    <w:p w:rsidR="00044690" w:rsidRDefault="00044690" w:rsidP="00044690">
      <w:pPr>
        <w:pStyle w:val="Paragraphedeliste"/>
        <w:spacing w:line="240" w:lineRule="auto"/>
        <w:ind w:left="786"/>
        <w:rPr>
          <w:rFonts w:ascii="Times New Roman" w:hAnsi="Times New Roman"/>
          <w:sz w:val="24"/>
          <w:u w:val="single"/>
        </w:rPr>
      </w:pPr>
    </w:p>
    <w:p w:rsidR="00044690" w:rsidRPr="007015DF" w:rsidRDefault="00044690" w:rsidP="007015DF">
      <w:pPr>
        <w:pStyle w:val="Paragraphedeliste"/>
        <w:spacing w:line="240" w:lineRule="auto"/>
        <w:ind w:left="786"/>
        <w:rPr>
          <w:rFonts w:ascii="Times New Roman" w:hAnsi="Times New Roman"/>
          <w:sz w:val="24"/>
        </w:rPr>
      </w:pPr>
      <w:r>
        <w:rPr>
          <w:rFonts w:ascii="Times New Roman" w:hAnsi="Times New Roman"/>
          <w:sz w:val="24"/>
        </w:rPr>
        <w:t>En réalité, le juge s’approprie non pas un contrôle économique d’opportunité, mais u</w:t>
      </w:r>
      <w:r w:rsidR="007015DF">
        <w:rPr>
          <w:rFonts w:ascii="Times New Roman" w:hAnsi="Times New Roman"/>
          <w:sz w:val="24"/>
        </w:rPr>
        <w:t xml:space="preserve">n contrôle de proportionnalité. </w:t>
      </w:r>
      <w:r w:rsidRPr="007015DF">
        <w:rPr>
          <w:rFonts w:ascii="Times New Roman" w:hAnsi="Times New Roman"/>
          <w:sz w:val="24"/>
        </w:rPr>
        <w:t>En approuvant les financements, les transactions et les classes, le juge suivra l’évolution de la procédure comme le font ses homologues étrangers.</w:t>
      </w:r>
    </w:p>
    <w:p w:rsidR="00044690" w:rsidRDefault="00044690" w:rsidP="00044690">
      <w:pPr>
        <w:pStyle w:val="Paragraphedeliste"/>
        <w:spacing w:line="240" w:lineRule="auto"/>
        <w:ind w:left="786"/>
        <w:rPr>
          <w:rFonts w:ascii="Times New Roman" w:hAnsi="Times New Roman"/>
          <w:sz w:val="24"/>
        </w:rPr>
      </w:pPr>
    </w:p>
    <w:p w:rsidR="00AA004E" w:rsidRDefault="00AA004E" w:rsidP="00FE7188">
      <w:pPr>
        <w:pStyle w:val="Paragraphedeliste"/>
        <w:numPr>
          <w:ilvl w:val="0"/>
          <w:numId w:val="2"/>
        </w:numPr>
        <w:spacing w:line="240" w:lineRule="auto"/>
        <w:ind w:hanging="567"/>
        <w:rPr>
          <w:rFonts w:ascii="Times New Roman" w:hAnsi="Times New Roman"/>
          <w:sz w:val="24"/>
        </w:rPr>
      </w:pPr>
      <w:r>
        <w:rPr>
          <w:rFonts w:ascii="Times New Roman" w:hAnsi="Times New Roman"/>
          <w:sz w:val="24"/>
          <w:u w:val="single"/>
        </w:rPr>
        <w:t xml:space="preserve">Les professionnels </w:t>
      </w:r>
      <w:r w:rsidR="00FE7188">
        <w:rPr>
          <w:rFonts w:ascii="Times New Roman" w:hAnsi="Times New Roman"/>
          <w:sz w:val="24"/>
          <w:u w:val="single"/>
        </w:rPr>
        <w:t>risquent</w:t>
      </w:r>
      <w:r>
        <w:rPr>
          <w:rFonts w:ascii="Times New Roman" w:hAnsi="Times New Roman"/>
          <w:sz w:val="24"/>
          <w:u w:val="single"/>
        </w:rPr>
        <w:t xml:space="preserve"> de devoir évoluer : </w:t>
      </w:r>
      <w:r w:rsidR="00044690" w:rsidRPr="00AA004E">
        <w:rPr>
          <w:rFonts w:ascii="Times New Roman" w:hAnsi="Times New Roman"/>
          <w:sz w:val="24"/>
        </w:rPr>
        <w:t>Les débats sur la valeur</w:t>
      </w:r>
      <w:r w:rsidR="00044690">
        <w:rPr>
          <w:rFonts w:ascii="Times New Roman" w:hAnsi="Times New Roman"/>
          <w:sz w:val="24"/>
        </w:rPr>
        <w:t xml:space="preserve"> auront quand même une grande importance et une grande valeur ajoutée. Cette contribution ne viserait qu’à donner quelques indications utiles sur l’exercice.</w:t>
      </w:r>
      <w:r w:rsidR="007015DF">
        <w:rPr>
          <w:rFonts w:ascii="Times New Roman" w:hAnsi="Times New Roman"/>
          <w:sz w:val="24"/>
        </w:rPr>
        <w:t xml:space="preserve"> </w:t>
      </w:r>
      <w:r>
        <w:rPr>
          <w:rFonts w:ascii="Times New Roman" w:hAnsi="Times New Roman"/>
          <w:sz w:val="24"/>
        </w:rPr>
        <w:t xml:space="preserve">Le prépack cession – </w:t>
      </w:r>
      <w:r w:rsidR="00FE7188">
        <w:rPr>
          <w:rFonts w:ascii="Times New Roman" w:hAnsi="Times New Roman"/>
          <w:sz w:val="24"/>
        </w:rPr>
        <w:t>récemment réformer au Royaume-</w:t>
      </w:r>
      <w:r>
        <w:rPr>
          <w:rFonts w:ascii="Times New Roman" w:hAnsi="Times New Roman"/>
          <w:sz w:val="24"/>
        </w:rPr>
        <w:t xml:space="preserve">Unis, apportera </w:t>
      </w:r>
      <w:r w:rsidR="00FE7188">
        <w:rPr>
          <w:rFonts w:ascii="Times New Roman" w:hAnsi="Times New Roman"/>
          <w:sz w:val="24"/>
        </w:rPr>
        <w:t>des valeurs implicites</w:t>
      </w:r>
      <w:r>
        <w:rPr>
          <w:rFonts w:ascii="Times New Roman" w:hAnsi="Times New Roman"/>
          <w:sz w:val="24"/>
        </w:rPr>
        <w:t xml:space="preserve"> de marché qui serviront de base à la procédure même si des évaluations c</w:t>
      </w:r>
      <w:r w:rsidR="00FE7188">
        <w:rPr>
          <w:rFonts w:ascii="Times New Roman" w:hAnsi="Times New Roman"/>
          <w:sz w:val="24"/>
        </w:rPr>
        <w:t>omplémentaires sont nécessaires.</w:t>
      </w:r>
    </w:p>
    <w:p w:rsidR="00AA004E" w:rsidRDefault="00AA004E" w:rsidP="00AA004E">
      <w:pPr>
        <w:pStyle w:val="Paragraphedeliste"/>
        <w:spacing w:after="160" w:line="259" w:lineRule="auto"/>
        <w:ind w:left="786"/>
        <w:rPr>
          <w:rFonts w:ascii="Times New Roman" w:hAnsi="Times New Roman"/>
          <w:sz w:val="24"/>
          <w:u w:val="single"/>
        </w:rPr>
      </w:pPr>
    </w:p>
    <w:p w:rsidR="00AA004E" w:rsidRPr="00AA004E" w:rsidRDefault="00FE7188" w:rsidP="00AA004E">
      <w:pPr>
        <w:pStyle w:val="Paragraphedeliste"/>
        <w:spacing w:after="160" w:line="259" w:lineRule="auto"/>
        <w:ind w:left="786"/>
        <w:rPr>
          <w:rFonts w:ascii="Times New Roman" w:hAnsi="Times New Roman"/>
          <w:sz w:val="24"/>
        </w:rPr>
      </w:pPr>
      <w:r>
        <w:rPr>
          <w:rFonts w:ascii="Times New Roman" w:hAnsi="Times New Roman"/>
          <w:sz w:val="24"/>
          <w:u w:val="single"/>
        </w:rPr>
        <w:t>Le dossier P</w:t>
      </w:r>
      <w:r w:rsidR="00AA004E">
        <w:rPr>
          <w:rFonts w:ascii="Times New Roman" w:hAnsi="Times New Roman"/>
          <w:sz w:val="24"/>
          <w:u w:val="single"/>
        </w:rPr>
        <w:t xml:space="preserve">ain </w:t>
      </w:r>
      <w:r>
        <w:rPr>
          <w:rFonts w:ascii="Times New Roman" w:hAnsi="Times New Roman"/>
          <w:sz w:val="24"/>
          <w:u w:val="single"/>
        </w:rPr>
        <w:t>Q</w:t>
      </w:r>
      <w:r w:rsidR="00AA004E">
        <w:rPr>
          <w:rFonts w:ascii="Times New Roman" w:hAnsi="Times New Roman"/>
          <w:sz w:val="24"/>
          <w:u w:val="single"/>
        </w:rPr>
        <w:t xml:space="preserve">uotidien reste un bon exemple en Belgique : </w:t>
      </w:r>
      <w:r w:rsidR="00AA004E">
        <w:rPr>
          <w:rFonts w:ascii="Times New Roman" w:hAnsi="Times New Roman"/>
          <w:sz w:val="24"/>
        </w:rPr>
        <w:t xml:space="preserve"> Test </w:t>
      </w:r>
      <w:r>
        <w:rPr>
          <w:rFonts w:ascii="Times New Roman" w:hAnsi="Times New Roman"/>
          <w:sz w:val="24"/>
        </w:rPr>
        <w:t>implicite</w:t>
      </w:r>
      <w:r w:rsidR="00AA004E">
        <w:rPr>
          <w:rFonts w:ascii="Times New Roman" w:hAnsi="Times New Roman"/>
          <w:sz w:val="24"/>
        </w:rPr>
        <w:t xml:space="preserve"> de valeur par le prépack</w:t>
      </w:r>
      <w:r>
        <w:rPr>
          <w:rFonts w:ascii="Times New Roman" w:hAnsi="Times New Roman"/>
          <w:sz w:val="24"/>
        </w:rPr>
        <w:t xml:space="preserve"> </w:t>
      </w:r>
      <w:r w:rsidR="00AA004E">
        <w:rPr>
          <w:rFonts w:ascii="Times New Roman" w:hAnsi="Times New Roman"/>
          <w:sz w:val="24"/>
        </w:rPr>
        <w:t>- accord du créancier extraordinaire de se limiter à la valeur going-concern</w:t>
      </w:r>
      <w:r>
        <w:rPr>
          <w:rFonts w:ascii="Times New Roman" w:hAnsi="Times New Roman"/>
          <w:sz w:val="24"/>
        </w:rPr>
        <w:t xml:space="preserve"> </w:t>
      </w:r>
      <w:r w:rsidR="00AA004E">
        <w:rPr>
          <w:rFonts w:ascii="Times New Roman" w:hAnsi="Times New Roman"/>
          <w:sz w:val="24"/>
        </w:rPr>
        <w:t xml:space="preserve">- plan de cession aux </w:t>
      </w:r>
      <w:r>
        <w:rPr>
          <w:rFonts w:ascii="Times New Roman" w:hAnsi="Times New Roman"/>
          <w:sz w:val="24"/>
        </w:rPr>
        <w:t>Etats-Unis</w:t>
      </w:r>
      <w:r w:rsidR="00AA004E">
        <w:rPr>
          <w:rFonts w:ascii="Times New Roman" w:hAnsi="Times New Roman"/>
          <w:sz w:val="24"/>
        </w:rPr>
        <w:t xml:space="preserve"> sur le même modèle, DIP financing, règle de proportionnalité </w:t>
      </w:r>
      <w:r w:rsidR="00234ABA">
        <w:rPr>
          <w:rFonts w:ascii="Times New Roman" w:hAnsi="Times New Roman"/>
          <w:sz w:val="24"/>
        </w:rPr>
        <w:t xml:space="preserve">… </w:t>
      </w:r>
    </w:p>
    <w:p w:rsidR="00AA004E" w:rsidRDefault="00AA004E" w:rsidP="00AA004E">
      <w:pPr>
        <w:pStyle w:val="Paragraphedeliste"/>
        <w:spacing w:after="160" w:line="259" w:lineRule="auto"/>
        <w:ind w:left="786"/>
        <w:rPr>
          <w:rFonts w:ascii="Times New Roman" w:hAnsi="Times New Roman"/>
          <w:sz w:val="24"/>
          <w:u w:val="single"/>
        </w:rPr>
      </w:pPr>
    </w:p>
    <w:p w:rsidR="00044690" w:rsidRDefault="007015DF" w:rsidP="00AA004E">
      <w:pPr>
        <w:pStyle w:val="Paragraphedeliste"/>
        <w:spacing w:after="160" w:line="259" w:lineRule="auto"/>
        <w:ind w:left="786"/>
        <w:rPr>
          <w:rFonts w:ascii="Times New Roman" w:hAnsi="Times New Roman"/>
          <w:sz w:val="24"/>
        </w:rPr>
      </w:pPr>
      <w:r>
        <w:rPr>
          <w:rFonts w:ascii="Times New Roman" w:hAnsi="Times New Roman"/>
          <w:sz w:val="24"/>
        </w:rPr>
        <w:t>D’autres publications viendront sûrement compléter ce premier essai.</w:t>
      </w:r>
    </w:p>
    <w:p w:rsidR="00DB4444" w:rsidRPr="00DB4444" w:rsidRDefault="00DB4444" w:rsidP="00DB4444"/>
    <w:sectPr w:rsidR="00DB4444" w:rsidRPr="00DB4444" w:rsidSect="006C7E0C">
      <w:footerReference w:type="default" r:id="rId17"/>
      <w:footerReference w:type="first" r:id="rId18"/>
      <w:type w:val="continuous"/>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5C8" w:rsidRDefault="000845C8" w:rsidP="00F450DD">
      <w:pPr>
        <w:spacing w:line="240" w:lineRule="auto"/>
      </w:pPr>
      <w:r>
        <w:separator/>
      </w:r>
    </w:p>
  </w:endnote>
  <w:endnote w:type="continuationSeparator" w:id="0">
    <w:p w:rsidR="000845C8" w:rsidRDefault="000845C8" w:rsidP="00F45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423913"/>
      <w:docPartObj>
        <w:docPartGallery w:val="Page Numbers (Bottom of Page)"/>
        <w:docPartUnique/>
      </w:docPartObj>
    </w:sdtPr>
    <w:sdtEndPr/>
    <w:sdtContent>
      <w:p w:rsidR="009D49E2" w:rsidRDefault="009D49E2">
        <w:pPr>
          <w:pStyle w:val="Pieddepage"/>
        </w:pPr>
        <w:r>
          <w:rPr>
            <w:noProof/>
            <w:lang w:eastAsia="fr-BE"/>
          </w:rPr>
          <mc:AlternateContent>
            <mc:Choice Requires="wps">
              <w:drawing>
                <wp:anchor distT="0" distB="0" distL="114300" distR="114300" simplePos="0" relativeHeight="251659264" behindDoc="0" locked="0" layoutInCell="0" allowOverlap="1" wp14:anchorId="4A087A08" wp14:editId="423E7393">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D49E2" w:rsidRDefault="009D49E2">
                              <w:pPr>
                                <w:jc w:val="center"/>
                              </w:pPr>
                              <w:r>
                                <w:rPr>
                                  <w:szCs w:val="22"/>
                                </w:rPr>
                                <w:fldChar w:fldCharType="begin"/>
                              </w:r>
                              <w:r>
                                <w:instrText>PAGE    \* MERGEFORMAT</w:instrText>
                              </w:r>
                              <w:r>
                                <w:rPr>
                                  <w:szCs w:val="22"/>
                                </w:rPr>
                                <w:fldChar w:fldCharType="separate"/>
                              </w:r>
                              <w:r w:rsidR="004F523B" w:rsidRPr="004F523B">
                                <w:rPr>
                                  <w:noProof/>
                                  <w:sz w:val="16"/>
                                  <w:szCs w:val="16"/>
                                  <w:lang w:val="fr-FR"/>
                                </w:rPr>
                                <w:t>118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87A0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3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9D49E2" w:rsidRDefault="009D49E2">
                        <w:pPr>
                          <w:jc w:val="center"/>
                        </w:pPr>
                        <w:r>
                          <w:rPr>
                            <w:szCs w:val="22"/>
                          </w:rPr>
                          <w:fldChar w:fldCharType="begin"/>
                        </w:r>
                        <w:r>
                          <w:instrText>PAGE    \* MERGEFORMAT</w:instrText>
                        </w:r>
                        <w:r>
                          <w:rPr>
                            <w:szCs w:val="22"/>
                          </w:rPr>
                          <w:fldChar w:fldCharType="separate"/>
                        </w:r>
                        <w:r w:rsidR="004F523B" w:rsidRPr="004F523B">
                          <w:rPr>
                            <w:noProof/>
                            <w:sz w:val="16"/>
                            <w:szCs w:val="16"/>
                            <w:lang w:val="fr-FR"/>
                          </w:rPr>
                          <w:t>118</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9E2" w:rsidRPr="00613AD7" w:rsidRDefault="009D49E2" w:rsidP="00613AD7">
    <w:pPr>
      <w:pStyle w:val="Pieddepage"/>
      <w:rPr>
        <w:rFonts w:ascii="Times New Roman" w:hAnsi="Times New Roman"/>
      </w:rPr>
    </w:pPr>
    <w:r>
      <w:rPr>
        <w:rFonts w:ascii="Times New Roman" w:hAnsi="Times New Roman"/>
      </w:rPr>
      <w:t xml:space="preserve">Le </w:t>
    </w:r>
    <w:r w:rsidRPr="00613AD7">
      <w:rPr>
        <w:rFonts w:ascii="Times New Roman" w:hAnsi="Times New Roman"/>
      </w:rPr>
      <w:t xml:space="preserve">« </w:t>
    </w:r>
    <w:r w:rsidRPr="005802E8">
      <w:rPr>
        <w:rFonts w:ascii="Times New Roman" w:hAnsi="Times New Roman"/>
        <w:i/>
      </w:rPr>
      <w:t>in the money</w:t>
    </w:r>
    <w:r w:rsidRPr="00613AD7">
      <w:rPr>
        <w:rFonts w:ascii="Times New Roman" w:hAnsi="Times New Roman"/>
      </w:rPr>
      <w:t xml:space="preserve"> » en droit belge de l’insolvabilité</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5C8" w:rsidRDefault="000845C8" w:rsidP="00F450DD">
      <w:pPr>
        <w:spacing w:line="240" w:lineRule="auto"/>
      </w:pPr>
      <w:r>
        <w:separator/>
      </w:r>
    </w:p>
  </w:footnote>
  <w:footnote w:type="continuationSeparator" w:id="0">
    <w:p w:rsidR="000845C8" w:rsidRDefault="000845C8" w:rsidP="00F450DD">
      <w:pPr>
        <w:spacing w:line="240" w:lineRule="auto"/>
      </w:pPr>
      <w:r>
        <w:continuationSeparator/>
      </w:r>
    </w:p>
  </w:footnote>
  <w:footnote w:id="1">
    <w:p w:rsidR="009D49E2" w:rsidRPr="008064D7" w:rsidRDefault="009D49E2" w:rsidP="00E07A10">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Cette contribution a été soumise à une peer review de différents auteurs que je remercie.</w:t>
      </w:r>
      <w:r>
        <w:rPr>
          <w:rFonts w:cs="Arial"/>
          <w:color w:val="808080" w:themeColor="background1" w:themeShade="80"/>
          <w:sz w:val="18"/>
          <w:szCs w:val="18"/>
        </w:rPr>
        <w:t xml:space="preserve"> L</w:t>
      </w:r>
      <w:r w:rsidRPr="008064D7">
        <w:rPr>
          <w:rFonts w:cs="Arial"/>
          <w:color w:val="808080" w:themeColor="background1" w:themeShade="80"/>
          <w:sz w:val="18"/>
          <w:szCs w:val="18"/>
        </w:rPr>
        <w:t>a contribution reprend leurs avis et commentaire soit dans le te</w:t>
      </w:r>
      <w:r>
        <w:rPr>
          <w:rFonts w:cs="Arial"/>
          <w:color w:val="808080" w:themeColor="background1" w:themeShade="80"/>
          <w:sz w:val="18"/>
          <w:szCs w:val="18"/>
        </w:rPr>
        <w:t>xte en les citant en bas de page,</w:t>
      </w:r>
      <w:r w:rsidRPr="008064D7">
        <w:rPr>
          <w:rFonts w:cs="Arial"/>
          <w:color w:val="808080" w:themeColor="background1" w:themeShade="80"/>
          <w:sz w:val="18"/>
          <w:szCs w:val="18"/>
        </w:rPr>
        <w:t xml:space="preserve"> soit en note infrapaginal selon l’importance de leurs contribution.</w:t>
      </w:r>
      <w:r>
        <w:rPr>
          <w:rFonts w:cs="Arial"/>
          <w:color w:val="808080" w:themeColor="background1" w:themeShade="80"/>
          <w:sz w:val="18"/>
          <w:szCs w:val="18"/>
        </w:rPr>
        <w:t xml:space="preserve"> Merci à eux.</w:t>
      </w:r>
    </w:p>
  </w:footnote>
  <w:footnote w:id="2">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Spécialiste en droit de l’insolvabilité et chargé d</w:t>
      </w:r>
      <w:r>
        <w:rPr>
          <w:rFonts w:cs="Arial"/>
          <w:color w:val="808080" w:themeColor="background1" w:themeShade="80"/>
          <w:sz w:val="18"/>
          <w:szCs w:val="18"/>
        </w:rPr>
        <w:t>’enseignement au sein du certifi</w:t>
      </w:r>
      <w:r w:rsidRPr="008064D7">
        <w:rPr>
          <w:rFonts w:cs="Arial"/>
          <w:color w:val="808080" w:themeColor="background1" w:themeShade="80"/>
          <w:sz w:val="18"/>
          <w:szCs w:val="18"/>
        </w:rPr>
        <w:t xml:space="preserve">cat universitaire des mandataires de crises </w:t>
      </w:r>
      <w:r>
        <w:rPr>
          <w:rFonts w:cs="Arial"/>
          <w:color w:val="808080" w:themeColor="background1" w:themeShade="80"/>
          <w:sz w:val="18"/>
          <w:szCs w:val="18"/>
        </w:rPr>
        <w:t>FUCAM.</w:t>
      </w:r>
      <w:r w:rsidRPr="008064D7">
        <w:rPr>
          <w:rFonts w:cs="Arial"/>
          <w:color w:val="808080" w:themeColor="background1" w:themeShade="80"/>
          <w:sz w:val="18"/>
          <w:szCs w:val="18"/>
        </w:rPr>
        <w:t xml:space="preserve"> </w:t>
      </w:r>
    </w:p>
  </w:footnote>
  <w:footnote w:id="3">
    <w:p w:rsidR="009D49E2" w:rsidRPr="008064D7" w:rsidRDefault="009D49E2" w:rsidP="00E07A10">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Directive (UE) 2019/1023 du parlement européen et du conseil du 20 juin 2019 JO L/172/18 du 26/06/2019 relative aux cadres de restructuration préventive, …</w:t>
      </w:r>
    </w:p>
  </w:footnote>
  <w:footnote w:id="4">
    <w:p w:rsidR="009D49E2" w:rsidRPr="008064D7" w:rsidRDefault="009D49E2" w:rsidP="00175943">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Le présent exposé sur ce droit ne se veut pas exhaustif et certain. Il est bâti sur mon expérience et sur des publications accessibles. Il devra surement être débattu en détail par un spécialiste América</w:t>
      </w:r>
      <w:r>
        <w:rPr>
          <w:rFonts w:cs="Arial"/>
          <w:color w:val="808080" w:themeColor="background1" w:themeShade="80"/>
          <w:sz w:val="18"/>
          <w:szCs w:val="18"/>
        </w:rPr>
        <w:t>i</w:t>
      </w:r>
      <w:r w:rsidRPr="008064D7">
        <w:rPr>
          <w:rFonts w:cs="Arial"/>
          <w:color w:val="808080" w:themeColor="background1" w:themeShade="80"/>
          <w:sz w:val="18"/>
          <w:szCs w:val="18"/>
        </w:rPr>
        <w:t xml:space="preserve">n mais ce qui est repris peut donner une bonne indication. </w:t>
      </w:r>
    </w:p>
  </w:footnote>
  <w:footnote w:id="5">
    <w:p w:rsidR="009D49E2" w:rsidRPr="008064D7" w:rsidRDefault="009D49E2" w:rsidP="00374719">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Selon moi.</w:t>
      </w:r>
    </w:p>
  </w:footnote>
  <w:footnote w:id="6">
    <w:p w:rsidR="009D49E2" w:rsidRPr="008064D7" w:rsidRDefault="009D49E2" w:rsidP="00374719">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N. WA Tollenaar: “ The European commission’s proposal for a directive on preventive restructuring procedure”, 30 Insolvency Intelligence 65066 (2017) </w:t>
      </w:r>
    </w:p>
  </w:footnote>
  <w:footnote w:id="7">
    <w:p w:rsidR="009D49E2" w:rsidRPr="008064D7" w:rsidRDefault="009D49E2" w:rsidP="00374719">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nl-BE"/>
        </w:rPr>
        <w:t xml:space="preserve"> R.J de Weijs, Al. </w:t>
      </w:r>
      <w:r w:rsidRPr="008064D7">
        <w:rPr>
          <w:rFonts w:cs="Arial"/>
          <w:color w:val="808080" w:themeColor="background1" w:themeShade="80"/>
          <w:sz w:val="18"/>
          <w:szCs w:val="18"/>
          <w:lang w:val="en-US"/>
        </w:rPr>
        <w:t xml:space="preserve">Jonkers and M. Malakotipour” The immiment distortion of European insolvency law : How the European Union erodes the basic fabric of private law by allowing a relative priority”, Amsterdam Research paper, Center of the study of European Contract law, Working paper N° 2019-05. </w:t>
      </w:r>
    </w:p>
  </w:footnote>
  <w:footnote w:id="8">
    <w:p w:rsidR="009D49E2" w:rsidRPr="008064D7" w:rsidRDefault="009D49E2" w:rsidP="00374719">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lang w:val="en-US"/>
        </w:rPr>
        <w:footnoteRef/>
      </w:r>
      <w:r w:rsidRPr="008064D7">
        <w:rPr>
          <w:rFonts w:cs="Arial"/>
          <w:color w:val="808080" w:themeColor="background1" w:themeShade="80"/>
          <w:sz w:val="18"/>
          <w:szCs w:val="18"/>
        </w:rPr>
        <w:t xml:space="preserve"> Reproduction partielle et c’est nous qui soulignons.</w:t>
      </w:r>
    </w:p>
  </w:footnote>
  <w:footnote w:id="9">
    <w:p w:rsidR="009D49E2" w:rsidRPr="008064D7" w:rsidRDefault="009D49E2" w:rsidP="00374719">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C’est ce que la présente contribution va essayer de démontrer.</w:t>
      </w:r>
    </w:p>
  </w:footnote>
  <w:footnote w:id="1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 concept sera développé ci-après.</w:t>
      </w:r>
    </w:p>
  </w:footnote>
  <w:footnote w:id="11">
    <w:p w:rsidR="009D49E2" w:rsidRPr="008064D7" w:rsidRDefault="009D49E2" w:rsidP="00F477B4">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En particulier 11 USC § 1101 à 1195 </w:t>
      </w:r>
    </w:p>
  </w:footnote>
  <w:footnote w:id="12">
    <w:p w:rsidR="009D49E2" w:rsidRPr="008064D7" w:rsidRDefault="009D49E2" w:rsidP="00F477B4">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G. MACCORMAK, Corporate restructuring law a second chance for Europe, 42 EUR, L Rev 532 (2017) </w:t>
      </w:r>
    </w:p>
  </w:footnote>
  <w:footnote w:id="13">
    <w:p w:rsidR="009D49E2" w:rsidRPr="008064D7" w:rsidRDefault="009D49E2" w:rsidP="00F477B4">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C’est le concept clé qu’il faut opposer à nos procédures où il serait interdit de négocier à lire l’article 490</w:t>
      </w:r>
      <w:r w:rsidRPr="008064D7">
        <w:rPr>
          <w:rFonts w:cs="Arial"/>
          <w:i/>
          <w:color w:val="808080" w:themeColor="background1" w:themeShade="80"/>
          <w:sz w:val="18"/>
          <w:szCs w:val="18"/>
        </w:rPr>
        <w:t xml:space="preserve">quater </w:t>
      </w:r>
      <w:r w:rsidRPr="008064D7">
        <w:rPr>
          <w:rFonts w:cs="Arial"/>
          <w:color w:val="808080" w:themeColor="background1" w:themeShade="80"/>
          <w:sz w:val="18"/>
          <w:szCs w:val="18"/>
        </w:rPr>
        <w:t>du Code pénal.</w:t>
      </w:r>
    </w:p>
  </w:footnote>
  <w:footnote w:id="1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 GILSON, E. HOTCHKISS, R. RUBACH, “Valuation of Bankruptcy Forms”, The Review of Financial studies vol. 13, N°1, Spring 2000, Oxford Journal, pg. 44.</w:t>
      </w:r>
    </w:p>
  </w:footnote>
  <w:footnote w:id="15">
    <w:p w:rsidR="009D49E2" w:rsidRPr="008064D7" w:rsidRDefault="009D49E2" w:rsidP="00F477B4">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Cette notion peut recourir à de nombreuses opérations telles que la conversion des dettes en actions, le paiement, la cession de branche d’activité ou d’actifs, …</w:t>
      </w:r>
    </w:p>
  </w:footnote>
  <w:footnote w:id="16">
    <w:p w:rsidR="009D49E2" w:rsidRPr="008064D7" w:rsidRDefault="009D49E2" w:rsidP="00F477B4">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Voir par exemple T. JACKSON, </w:t>
      </w:r>
      <w:r w:rsidRPr="008064D7">
        <w:rPr>
          <w:rFonts w:cs="Arial"/>
          <w:i/>
          <w:color w:val="808080" w:themeColor="background1" w:themeShade="80"/>
          <w:sz w:val="18"/>
          <w:szCs w:val="18"/>
          <w:lang w:val="en-US"/>
        </w:rPr>
        <w:t>The Logic and limits of Bankruptcy law</w:t>
      </w:r>
      <w:r w:rsidRPr="008064D7">
        <w:rPr>
          <w:rFonts w:cs="Arial"/>
          <w:color w:val="808080" w:themeColor="background1" w:themeShade="80"/>
          <w:sz w:val="18"/>
          <w:szCs w:val="18"/>
          <w:lang w:val="en-US"/>
        </w:rPr>
        <w:t xml:space="preserve">, 44 J Corp L 1, 7 2018  </w:t>
      </w:r>
    </w:p>
  </w:footnote>
  <w:footnote w:id="17">
    <w:p w:rsidR="009D49E2" w:rsidRPr="008064D7" w:rsidRDefault="009D49E2" w:rsidP="000A3F3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 GILSON, E. HOTCHKISS, R. RUBACH, “Valuation of Bankruptcy Forms”, The Review of Financial studies vol. 13, N°1, Spring 2000, Oxford Journal, pg. 44.</w:t>
      </w:r>
    </w:p>
  </w:footnote>
  <w:footnote w:id="18">
    <w:p w:rsidR="009D49E2" w:rsidRPr="008064D7" w:rsidRDefault="009D49E2" w:rsidP="000A3F3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1129 CHL</w:t>
      </w:r>
    </w:p>
  </w:footnote>
  <w:footnote w:id="19">
    <w:p w:rsidR="009D49E2" w:rsidRPr="008064D7" w:rsidRDefault="009D49E2" w:rsidP="000A3F3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 GILSON, E. HOTCHKISS, R. RUBACH, “Valuation of Bankruptcy Forms”, The Review of Financial studies vol. 13, N°1, Spring 2000, Oxford Journal, pg. 44. </w:t>
      </w:r>
    </w:p>
  </w:footnote>
  <w:footnote w:id="20">
    <w:p w:rsidR="009D49E2" w:rsidRPr="008064D7" w:rsidRDefault="009D49E2" w:rsidP="00F477B4">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V. SJ BUCCOLA, </w:t>
      </w:r>
      <w:r w:rsidRPr="008064D7">
        <w:rPr>
          <w:rFonts w:cs="Arial"/>
          <w:i/>
          <w:color w:val="808080" w:themeColor="background1" w:themeShade="80"/>
          <w:sz w:val="18"/>
          <w:szCs w:val="18"/>
          <w:lang w:val="en-US"/>
        </w:rPr>
        <w:t>The janus faces of reorganization law</w:t>
      </w:r>
      <w:r w:rsidRPr="008064D7">
        <w:rPr>
          <w:rFonts w:cs="Arial"/>
          <w:color w:val="808080" w:themeColor="background1" w:themeShade="80"/>
          <w:sz w:val="18"/>
          <w:szCs w:val="18"/>
          <w:lang w:val="en-US"/>
        </w:rPr>
        <w:t xml:space="preserve"> 44J Corp L 1.7 2018 </w:t>
      </w:r>
    </w:p>
  </w:footnote>
  <w:footnote w:id="21">
    <w:p w:rsidR="009D49E2" w:rsidRPr="008064D7" w:rsidRDefault="009D49E2" w:rsidP="00F477B4">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USC § 1129(b) (1) </w:t>
      </w:r>
    </w:p>
  </w:footnote>
  <w:footnote w:id="22">
    <w:p w:rsidR="009D49E2" w:rsidRPr="008064D7" w:rsidRDefault="009D49E2" w:rsidP="007E6664">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On citera ci-après des taux de réussite aux Etats-Unis et en France.</w:t>
      </w:r>
    </w:p>
  </w:footnote>
  <w:footnote w:id="2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E. WARREN et J. WESTBROOK, “</w:t>
      </w:r>
      <w:r w:rsidRPr="008064D7">
        <w:rPr>
          <w:rFonts w:cs="Arial"/>
          <w:i/>
          <w:color w:val="808080" w:themeColor="background1" w:themeShade="80"/>
          <w:sz w:val="18"/>
          <w:szCs w:val="18"/>
          <w:lang w:val="en-US"/>
        </w:rPr>
        <w:t>The success of chapter 11: a challenge to the critics”</w:t>
      </w:r>
      <w:r w:rsidRPr="008064D7">
        <w:rPr>
          <w:rFonts w:cs="Arial"/>
          <w:color w:val="808080" w:themeColor="background1" w:themeShade="80"/>
          <w:sz w:val="18"/>
          <w:szCs w:val="18"/>
          <w:lang w:val="en-US"/>
        </w:rPr>
        <w:t>, volume 107, Michigan Law Review 603 (2009), sur internet.</w:t>
      </w:r>
    </w:p>
  </w:footnote>
  <w:footnote w:id="24">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Retenu à hauteur de 1.800.000/base 2002.</w:t>
      </w:r>
    </w:p>
  </w:footnote>
  <w:footnote w:id="25">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E. ALTMAN Revisiting the recidivism of Chapter 22 in the US Bankruptcy system, en ligne.</w:t>
      </w:r>
    </w:p>
  </w:footnote>
  <w:footnote w:id="26">
    <w:p w:rsidR="009D49E2" w:rsidRPr="008064D7" w:rsidRDefault="009D49E2" w:rsidP="00F477B4">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 J BUSSEL, </w:t>
      </w:r>
      <w:r w:rsidRPr="008064D7">
        <w:rPr>
          <w:rFonts w:cs="Arial"/>
          <w:i/>
          <w:color w:val="808080" w:themeColor="background1" w:themeShade="80"/>
          <w:sz w:val="18"/>
          <w:szCs w:val="18"/>
          <w:lang w:val="en-US"/>
        </w:rPr>
        <w:t>Coalition building through bankruptcy creditors committees</w:t>
      </w:r>
      <w:r w:rsidRPr="008064D7">
        <w:rPr>
          <w:rFonts w:cs="Arial"/>
          <w:color w:val="808080" w:themeColor="background1" w:themeShade="80"/>
          <w:sz w:val="18"/>
          <w:szCs w:val="18"/>
          <w:lang w:val="en-US"/>
        </w:rPr>
        <w:t xml:space="preserve"> 43 UCLA rev. 1547, 1568, (1996)</w:t>
      </w:r>
    </w:p>
  </w:footnote>
  <w:footnote w:id="27">
    <w:p w:rsidR="009D49E2" w:rsidRPr="008064D7" w:rsidRDefault="009D49E2" w:rsidP="00F477B4">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MACCORMAK, </w:t>
      </w:r>
      <w:r w:rsidRPr="008064D7">
        <w:rPr>
          <w:rFonts w:cs="Arial"/>
          <w:i/>
          <w:color w:val="808080" w:themeColor="background1" w:themeShade="80"/>
          <w:sz w:val="18"/>
          <w:szCs w:val="18"/>
        </w:rPr>
        <w:t>o.c.,</w:t>
      </w:r>
      <w:r w:rsidRPr="008064D7">
        <w:rPr>
          <w:rFonts w:cs="Arial"/>
          <w:color w:val="808080" w:themeColor="background1" w:themeShade="80"/>
          <w:sz w:val="18"/>
          <w:szCs w:val="18"/>
        </w:rPr>
        <w:t xml:space="preserve"> N° 537 et 549; 11 USC § 1129 (a) (7)</w:t>
      </w:r>
    </w:p>
  </w:footnote>
  <w:footnote w:id="28">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USC § 1121</w:t>
      </w:r>
    </w:p>
  </w:footnote>
  <w:footnote w:id="2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USC § 1129 (b)</w:t>
      </w:r>
    </w:p>
  </w:footnote>
  <w:footnote w:id="3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À l’euro, au millier d’euros, aux centaines de milliers d’euros voire au million d’euros près, ce qui pourrait être ressenti comme une difficulté rédhibitoire. </w:t>
      </w:r>
    </w:p>
  </w:footnote>
  <w:footnote w:id="3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Voir ci-après.</w:t>
      </w:r>
    </w:p>
  </w:footnote>
  <w:footnote w:id="32">
    <w:p w:rsidR="009D49E2" w:rsidRPr="008064D7" w:rsidRDefault="009D49E2" w:rsidP="000B4DB3">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 LOURDES DICK, </w:t>
      </w:r>
      <w:r w:rsidRPr="008064D7">
        <w:rPr>
          <w:rFonts w:cs="Arial"/>
          <w:i/>
          <w:color w:val="808080" w:themeColor="background1" w:themeShade="80"/>
          <w:sz w:val="18"/>
          <w:szCs w:val="18"/>
          <w:lang w:val="en-US"/>
        </w:rPr>
        <w:t>Valuation in Chapter 11 bankruptcy: The dangers of an implicit market test</w:t>
      </w:r>
      <w:r w:rsidRPr="008064D7">
        <w:rPr>
          <w:rFonts w:cs="Arial"/>
          <w:color w:val="808080" w:themeColor="background1" w:themeShade="80"/>
          <w:sz w:val="18"/>
          <w:szCs w:val="18"/>
          <w:lang w:val="en-US"/>
        </w:rPr>
        <w:t>.</w:t>
      </w:r>
    </w:p>
  </w:footnote>
  <w:footnote w:id="3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J. KIM Kim, Bankruptcy law Dilemma Appraisal of corporate value in distribution in corporate reorganization proceedings 29 Nw J Int’l L &amp; Bus 137, N° 87 ( 2009) </w:t>
      </w:r>
    </w:p>
  </w:footnote>
  <w:footnote w:id="3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ABI Chapter 11 Commission Report 182 ( 2014)</w:t>
      </w:r>
    </w:p>
  </w:footnote>
  <w:footnote w:id="35">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J. CHRISTOPHER SONTCHI, </w:t>
      </w:r>
      <w:r w:rsidRPr="008064D7">
        <w:rPr>
          <w:rFonts w:cs="Arial"/>
          <w:i/>
          <w:color w:val="808080" w:themeColor="background1" w:themeShade="80"/>
          <w:sz w:val="18"/>
          <w:szCs w:val="18"/>
          <w:lang w:val="en-US"/>
        </w:rPr>
        <w:t>Valuations Methodologies - A judge View</w:t>
      </w:r>
      <w:r w:rsidRPr="008064D7">
        <w:rPr>
          <w:rFonts w:cs="Arial"/>
          <w:color w:val="808080" w:themeColor="background1" w:themeShade="80"/>
          <w:sz w:val="18"/>
          <w:szCs w:val="18"/>
          <w:lang w:val="en-US"/>
        </w:rPr>
        <w:t>, 20, Am Bankr. Insst.L.Rev.1,14 (2012) .</w:t>
      </w:r>
    </w:p>
  </w:footnote>
  <w:footnote w:id="36">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Exide Technologies, 303,B.R. 48( Bank.D.Del,2003) </w:t>
      </w:r>
    </w:p>
  </w:footnote>
  <w:footnote w:id="37">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K. AYOTTE &amp; E. R. MORRISON, Valuation disputes in Corporate Bankruptcy 166 U Pen L rev ; 1819, 1836-37 ( 2018)  </w:t>
      </w:r>
    </w:p>
  </w:footnote>
  <w:footnote w:id="38">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 G BAIRD et D.BERNSTEIN, </w:t>
      </w:r>
      <w:r w:rsidRPr="008064D7">
        <w:rPr>
          <w:rFonts w:cs="Arial"/>
          <w:i/>
          <w:color w:val="808080" w:themeColor="background1" w:themeShade="80"/>
          <w:sz w:val="18"/>
          <w:szCs w:val="18"/>
          <w:lang w:val="en-US"/>
        </w:rPr>
        <w:t>Absolute priority, Valuation uncertainty and the reorganization Bargain</w:t>
      </w:r>
      <w:r w:rsidRPr="008064D7">
        <w:rPr>
          <w:rFonts w:cs="Arial"/>
          <w:color w:val="808080" w:themeColor="background1" w:themeShade="80"/>
          <w:sz w:val="18"/>
          <w:szCs w:val="18"/>
          <w:lang w:val="en-US"/>
        </w:rPr>
        <w:t>, 115 Yale L.J. 1930,1951 ( 2006)</w:t>
      </w:r>
    </w:p>
  </w:footnote>
  <w:footnote w:id="39">
    <w:p w:rsidR="009D49E2" w:rsidRPr="00A70B3F"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A70B3F">
        <w:rPr>
          <w:rFonts w:cs="Arial"/>
          <w:color w:val="808080" w:themeColor="background1" w:themeShade="80"/>
          <w:sz w:val="18"/>
          <w:szCs w:val="18"/>
          <w:lang w:val="en-US"/>
        </w:rPr>
        <w:t xml:space="preserve"> BAIRD ET BERNSTEIN, </w:t>
      </w:r>
      <w:r w:rsidRPr="00A70B3F">
        <w:rPr>
          <w:rFonts w:cs="Arial"/>
          <w:i/>
          <w:color w:val="808080" w:themeColor="background1" w:themeShade="80"/>
          <w:sz w:val="18"/>
          <w:szCs w:val="18"/>
          <w:lang w:val="en-US"/>
        </w:rPr>
        <w:t xml:space="preserve">ibidem </w:t>
      </w:r>
      <w:r w:rsidRPr="00A70B3F">
        <w:rPr>
          <w:rFonts w:cs="Arial"/>
          <w:color w:val="808080" w:themeColor="background1" w:themeShade="80"/>
          <w:sz w:val="18"/>
          <w:szCs w:val="18"/>
          <w:lang w:val="en-US"/>
        </w:rPr>
        <w:t xml:space="preserve"> note 71 </w:t>
      </w:r>
    </w:p>
  </w:footnote>
  <w:footnote w:id="40">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R. F. BROUDE, </w:t>
      </w:r>
      <w:r w:rsidRPr="008064D7">
        <w:rPr>
          <w:rFonts w:cs="Arial"/>
          <w:i/>
          <w:color w:val="808080" w:themeColor="background1" w:themeShade="80"/>
          <w:sz w:val="18"/>
          <w:szCs w:val="18"/>
          <w:lang w:val="en-US"/>
        </w:rPr>
        <w:t>Cram-down and chapter 11 the bankruptcy code: The settlement imperative</w:t>
      </w:r>
      <w:r w:rsidRPr="008064D7">
        <w:rPr>
          <w:rFonts w:cs="Arial"/>
          <w:color w:val="808080" w:themeColor="background1" w:themeShade="80"/>
          <w:sz w:val="18"/>
          <w:szCs w:val="18"/>
          <w:lang w:val="en-US"/>
        </w:rPr>
        <w:t xml:space="preserve">, 39 Bus Law. (1984) </w:t>
      </w:r>
    </w:p>
  </w:footnote>
  <w:footnote w:id="4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1129 (a) (11) </w:t>
      </w:r>
    </w:p>
  </w:footnote>
  <w:footnote w:id="4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trenton ridge investors LLC 461 Br 440 SD Ohio 2011 </w:t>
      </w:r>
    </w:p>
  </w:footnote>
  <w:footnote w:id="43">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Patrician ST Joseph partners LLP 169 BR 669 674 D . Ariz 1994 </w:t>
      </w:r>
    </w:p>
  </w:footnote>
  <w:footnote w:id="44">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Made in Detroit 299 BR 170, 176 Bankr ED Mich 2003 </w:t>
      </w:r>
    </w:p>
  </w:footnote>
  <w:footnote w:id="45">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Computer task force v Brice 392 BR 274 6the circuit 2008 </w:t>
      </w:r>
    </w:p>
  </w:footnote>
  <w:footnote w:id="46">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Ambranc la Messa 115 F 3 650,653 9th circuit 1997 </w:t>
      </w:r>
    </w:p>
  </w:footnote>
  <w:footnote w:id="47">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Acequia 787 F.2d 1352 1364 (9th circuit 1986) </w:t>
      </w:r>
    </w:p>
  </w:footnote>
  <w:footnote w:id="48">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Pizza of Haw 761 F. 2d 1374 1382 ( 9th circuit 1985) </w:t>
      </w:r>
    </w:p>
  </w:footnote>
  <w:footnote w:id="49">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Danny Thomas 241 F. 3d 959 962 8the circuit 2001 </w:t>
      </w:r>
    </w:p>
  </w:footnote>
  <w:footnote w:id="50">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Hobble diamond Cattle 89 BR 858 ( Bank D. mont 1988) </w:t>
      </w:r>
    </w:p>
  </w:footnote>
  <w:footnote w:id="51">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Si cette notion est identique à la notion de la directive d’évaluation de l’entreprise en activité.</w:t>
      </w:r>
    </w:p>
  </w:footnote>
  <w:footnote w:id="52">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TE Mons, ordonnance Président, homologation accord amiable D.         </w:t>
      </w:r>
    </w:p>
  </w:footnote>
  <w:footnote w:id="53">
    <w:p w:rsidR="009D49E2" w:rsidRPr="008064D7" w:rsidRDefault="009D49E2" w:rsidP="006E7D8D">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Tribunal de l’Entreprise de Liège – section Lige, en cause Etat Belge, RG N° N/18/45 et R/18/26 du 10/09/2018 inédit.</w:t>
      </w:r>
    </w:p>
  </w:footnote>
  <w:footnote w:id="54">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TE Brabant Wallon, 05 octobre 2020, en cause de Sogepa et Nivelinvest c. Sapristic International </w:t>
      </w:r>
    </w:p>
  </w:footnote>
  <w:footnote w:id="55">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Affirmation minoritaire du juge BRANDEIS de la Cour Suprême dans Missouri ex 1el, Southwestern Bell telephone/Public Service Commission, 262 US, 276, 310, 1923.</w:t>
      </w:r>
    </w:p>
  </w:footnote>
  <w:footnote w:id="56">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les tableaux parlementaires: H.R. Rep. N°595, 95th, Cong. 1st sess 339, 356, (1977).</w:t>
      </w:r>
    </w:p>
  </w:footnote>
  <w:footnote w:id="57">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USL §101 (29)</w:t>
      </w:r>
    </w:p>
  </w:footnote>
  <w:footnote w:id="58">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USL §361 à 363</w:t>
      </w:r>
    </w:p>
  </w:footnote>
  <w:footnote w:id="5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USL §506</w:t>
      </w:r>
    </w:p>
  </w:footnote>
  <w:footnote w:id="6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USL §1129 (b)</w:t>
      </w:r>
    </w:p>
  </w:footnote>
  <w:footnote w:id="6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USL §1129 (a) (7)</w:t>
      </w:r>
    </w:p>
  </w:footnote>
  <w:footnote w:id="6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First Nat’ Bank/Perdue Hous. 437, F. sup. 36 (Wookla 1977) et In Re O’Neill Enters, 359, F, sup. 940 (wd.va.1973).</w:t>
      </w:r>
    </w:p>
  </w:footnote>
  <w:footnote w:id="6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HR. Rep. N°595, 95</w:t>
      </w:r>
      <w:r w:rsidRPr="008064D7">
        <w:rPr>
          <w:rFonts w:cs="Arial"/>
          <w:color w:val="808080" w:themeColor="background1" w:themeShade="80"/>
          <w:sz w:val="18"/>
          <w:szCs w:val="18"/>
          <w:vertAlign w:val="superscript"/>
          <w:lang w:val="en-US"/>
        </w:rPr>
        <w:t>th</w:t>
      </w:r>
      <w:r w:rsidRPr="008064D7">
        <w:rPr>
          <w:rFonts w:cs="Arial"/>
          <w:color w:val="808080" w:themeColor="background1" w:themeShade="80"/>
          <w:sz w:val="18"/>
          <w:szCs w:val="18"/>
          <w:lang w:val="en-US"/>
        </w:rPr>
        <w:t xml:space="preserve"> Cong. 1 st sess 339 (1977).</w:t>
      </w:r>
    </w:p>
  </w:footnote>
  <w:footnote w:id="6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Wright v Union central life insurance, 311, US, 273, (1940).</w:t>
      </w:r>
    </w:p>
  </w:footnote>
  <w:footnote w:id="65">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Metropolitan Life Insurance v Murel Holding, 75, F. 2d 941 (2d circ 1935).</w:t>
      </w:r>
    </w:p>
  </w:footnote>
  <w:footnote w:id="66">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Briggs Transportation. 780 F. 2d 1339C 8</w:t>
      </w:r>
      <w:r w:rsidRPr="008064D7">
        <w:rPr>
          <w:rFonts w:cs="Arial"/>
          <w:color w:val="808080" w:themeColor="background1" w:themeShade="80"/>
          <w:sz w:val="18"/>
          <w:szCs w:val="18"/>
          <w:vertAlign w:val="superscript"/>
          <w:lang w:val="en-US"/>
        </w:rPr>
        <w:t>th</w:t>
      </w:r>
      <w:r w:rsidRPr="008064D7">
        <w:rPr>
          <w:rFonts w:cs="Arial"/>
          <w:color w:val="808080" w:themeColor="background1" w:themeShade="80"/>
          <w:sz w:val="18"/>
          <w:szCs w:val="18"/>
          <w:lang w:val="en-US"/>
        </w:rPr>
        <w:t xml:space="preserve"> circ. (1985)</w:t>
      </w:r>
    </w:p>
  </w:footnote>
  <w:footnote w:id="67">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Consolided Rock Products v Dubois, 312, US, 510, 525 (1941).</w:t>
      </w:r>
    </w:p>
  </w:footnote>
  <w:footnote w:id="68">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K. THOMAS: Valuation of Assets in Bankrupty proceding Emerging issues, janvier 1990, Montana Law Review volume 51, pg. 1 et suiv. </w:t>
      </w:r>
    </w:p>
  </w:footnote>
  <w:footnote w:id="6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notamment TIMBER , 808, f 2d 363 (1987) et d’autres décisions que nous n’avons pas la place d’examiner.</w:t>
      </w:r>
    </w:p>
  </w:footnote>
  <w:footnote w:id="70">
    <w:p w:rsidR="009D49E2" w:rsidRPr="008064D7" w:rsidRDefault="009D49E2" w:rsidP="00DD2C17">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ci-après la définition.</w:t>
      </w:r>
    </w:p>
  </w:footnote>
  <w:footnote w:id="71">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Heritage High gate N0 11-1889 ,D. Ct N.J.  </w:t>
      </w:r>
      <w:r w:rsidRPr="008064D7">
        <w:rPr>
          <w:rFonts w:cs="Arial"/>
          <w:color w:val="808080" w:themeColor="background1" w:themeShade="80"/>
          <w:sz w:val="18"/>
          <w:szCs w:val="18"/>
        </w:rPr>
        <w:t xml:space="preserve">N° 09- 11198 16 mars 2011, Bankr D. N.J. 6 mai 2010 09-11198 </w:t>
      </w:r>
    </w:p>
  </w:footnote>
  <w:footnote w:id="72">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Pour mettre en œuvre une négociation sur la règle de priorité absolue comme expliqué dans la présente contribution.</w:t>
      </w:r>
    </w:p>
  </w:footnote>
  <w:footnote w:id="73">
    <w:p w:rsidR="009D49E2" w:rsidRPr="008064D7" w:rsidRDefault="009D49E2" w:rsidP="006403C9">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J.A. COHEN Intangible assets : valuation and economic benefit Hoboren, New Jersey, 2008 Willey &amp; Sons.</w:t>
      </w:r>
    </w:p>
  </w:footnote>
  <w:footnote w:id="7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Till v SCS credit corp., 1245.it.1951 (2004).</w:t>
      </w:r>
    </w:p>
  </w:footnote>
  <w:footnote w:id="75">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Associates Commercial Group v Rash, 520, US 953 (1197).</w:t>
      </w:r>
    </w:p>
  </w:footnote>
  <w:footnote w:id="76">
    <w:p w:rsidR="009D49E2" w:rsidRPr="00936DB9"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rPr>
        <w:t xml:space="preserve"> In Re donata, 253, BR, 151, 155 (MD Pa 2000).</w:t>
      </w:r>
    </w:p>
  </w:footnote>
  <w:footnote w:id="77">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In Re Lionel Corp., 722, F.2d, 1063 (2d.circ.1983) et ensuite appliqué pour les autres circuits, et Stephens Industries Inc v Mc Clung 789, F.2d.386,39 (6th circ 1986).</w:t>
      </w:r>
    </w:p>
  </w:footnote>
  <w:footnote w:id="78">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General Motors Corp., 407, BR, 463, 488 (Bankr.S.D.N.Y.2009)</w:t>
      </w:r>
    </w:p>
  </w:footnote>
  <w:footnote w:id="79">
    <w:p w:rsidR="009D49E2" w:rsidRPr="008064D7" w:rsidRDefault="009D49E2" w:rsidP="00493DDE">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Heritage Highgate, 449 BR, 451, 456 (DNJ 2011).</w:t>
      </w:r>
    </w:p>
    <w:p w:rsidR="009D49E2" w:rsidRPr="008064D7" w:rsidRDefault="009D49E2">
      <w:pPr>
        <w:pStyle w:val="Notedebasdepage"/>
        <w:rPr>
          <w:rFonts w:cs="Arial"/>
          <w:color w:val="808080" w:themeColor="background1" w:themeShade="80"/>
          <w:sz w:val="18"/>
          <w:szCs w:val="18"/>
          <w:lang w:val="en-US"/>
        </w:rPr>
      </w:pPr>
    </w:p>
  </w:footnote>
  <w:footnote w:id="8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Par exemple, ce qu’il a fait dans Pain Quotidien NY Inc. Pour des fonds de commerce par définition « </w:t>
      </w:r>
      <w:r w:rsidRPr="008064D7">
        <w:rPr>
          <w:rFonts w:cs="Arial"/>
          <w:i/>
          <w:color w:val="808080" w:themeColor="background1" w:themeShade="80"/>
          <w:sz w:val="18"/>
          <w:szCs w:val="18"/>
        </w:rPr>
        <w:t>périssables</w:t>
      </w:r>
      <w:r w:rsidRPr="008064D7">
        <w:rPr>
          <w:rFonts w:cs="Arial"/>
          <w:color w:val="808080" w:themeColor="background1" w:themeShade="80"/>
          <w:sz w:val="18"/>
          <w:szCs w:val="18"/>
        </w:rPr>
        <w:t> ».</w:t>
      </w:r>
    </w:p>
  </w:footnote>
  <w:footnote w:id="8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Integrated Ressources Inc. 147 BR, 650, (SKNY) 1992</w:t>
      </w:r>
    </w:p>
  </w:footnote>
  <w:footnote w:id="8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Braniff Airways 700, F.2d 935, 939-940 (5th circ.1983).</w:t>
      </w:r>
    </w:p>
  </w:footnote>
  <w:footnote w:id="83">
    <w:p w:rsidR="009D49E2" w:rsidRPr="004F523B" w:rsidRDefault="009D49E2">
      <w:pPr>
        <w:pStyle w:val="Notedebasdepage"/>
        <w:rPr>
          <w:rFonts w:cs="Arial"/>
          <w:color w:val="808080" w:themeColor="background1" w:themeShade="80"/>
          <w:sz w:val="18"/>
          <w:szCs w:val="18"/>
          <w:lang w:val="nl-BE"/>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Titusville Country club, 128 BR, 396, 399, Bankr. </w:t>
      </w:r>
      <w:r w:rsidRPr="004F523B">
        <w:rPr>
          <w:rFonts w:cs="Arial"/>
          <w:color w:val="808080" w:themeColor="background1" w:themeShade="80"/>
          <w:sz w:val="18"/>
          <w:szCs w:val="18"/>
          <w:lang w:val="nl-BE"/>
        </w:rPr>
        <w:t>W.D.Pa (1991).</w:t>
      </w:r>
    </w:p>
  </w:footnote>
  <w:footnote w:id="84">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4F523B">
        <w:rPr>
          <w:rFonts w:cs="Arial"/>
          <w:color w:val="808080" w:themeColor="background1" w:themeShade="80"/>
          <w:sz w:val="18"/>
          <w:szCs w:val="18"/>
          <w:lang w:val="nl-BE"/>
        </w:rPr>
        <w:t xml:space="preserve"> In Re Ames Dept. </w:t>
      </w:r>
      <w:r w:rsidRPr="00936DB9">
        <w:rPr>
          <w:rFonts w:cs="Arial"/>
          <w:color w:val="808080" w:themeColor="background1" w:themeShade="80"/>
          <w:sz w:val="18"/>
          <w:szCs w:val="18"/>
        </w:rPr>
        <w:t xml:space="preserve">Stores Inc., 136 BR, 357, 359, (Bankr. </w:t>
      </w:r>
      <w:r w:rsidRPr="008064D7">
        <w:rPr>
          <w:rFonts w:cs="Arial"/>
          <w:color w:val="808080" w:themeColor="background1" w:themeShade="80"/>
          <w:sz w:val="18"/>
          <w:szCs w:val="18"/>
        </w:rPr>
        <w:t>SDNY 1992).</w:t>
      </w:r>
    </w:p>
  </w:footnote>
  <w:footnote w:id="85">
    <w:p w:rsidR="009D49E2" w:rsidRPr="008064D7" w:rsidRDefault="009D49E2" w:rsidP="004547C3">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Cette offre sert de “</w:t>
      </w:r>
      <w:r w:rsidRPr="008064D7">
        <w:rPr>
          <w:rFonts w:cs="Arial"/>
          <w:i/>
          <w:color w:val="808080" w:themeColor="background1" w:themeShade="80"/>
          <w:sz w:val="18"/>
          <w:szCs w:val="18"/>
        </w:rPr>
        <w:t>lièvre »</w:t>
      </w:r>
      <w:r w:rsidRPr="008064D7">
        <w:rPr>
          <w:rFonts w:cs="Arial"/>
          <w:color w:val="808080" w:themeColor="background1" w:themeShade="80"/>
          <w:sz w:val="18"/>
          <w:szCs w:val="18"/>
        </w:rPr>
        <w:t xml:space="preserve"> après lequel courent tous les autres offrants potentiels.</w:t>
      </w:r>
    </w:p>
  </w:footnote>
  <w:footnote w:id="86">
    <w:p w:rsidR="009D49E2" w:rsidRPr="008064D7" w:rsidRDefault="009D49E2" w:rsidP="004547C3">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Parce que le test s’opère sur un moment détermine, sur un temps limité, avec une diligence limitée. On y reviendra avec le prépack.</w:t>
      </w:r>
    </w:p>
  </w:footnote>
  <w:footnote w:id="87">
    <w:p w:rsidR="009D49E2" w:rsidRPr="008064D7" w:rsidRDefault="009D49E2" w:rsidP="004547C3">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C’est la même technique qui a été utilisée dans Pain Quotidien par le biais de médiateurs prépack.</w:t>
      </w:r>
    </w:p>
  </w:footnote>
  <w:footnote w:id="88">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Kinga Bauer « </w:t>
      </w:r>
      <w:r w:rsidRPr="008064D7">
        <w:rPr>
          <w:rFonts w:cs="Arial"/>
          <w:i/>
          <w:color w:val="808080" w:themeColor="background1" w:themeShade="80"/>
          <w:sz w:val="18"/>
          <w:szCs w:val="18"/>
          <w:lang w:val="en-US"/>
        </w:rPr>
        <w:t>Fixed Asset valuation in the Condition of Bankruptcy : the role of estimates</w:t>
      </w:r>
      <w:r w:rsidRPr="008064D7">
        <w:rPr>
          <w:rFonts w:cs="Arial"/>
          <w:color w:val="808080" w:themeColor="background1" w:themeShade="80"/>
          <w:sz w:val="18"/>
          <w:szCs w:val="18"/>
          <w:lang w:val="en-US"/>
        </w:rPr>
        <w:t>”, Cracow university of economics juin 2014, sur internet.</w:t>
      </w:r>
    </w:p>
  </w:footnote>
  <w:footnote w:id="89">
    <w:p w:rsidR="009D49E2" w:rsidRPr="008064D7" w:rsidRDefault="009D49E2" w:rsidP="009F3D77">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E. ANDRE, </w:t>
      </w:r>
      <w:r w:rsidRPr="008064D7">
        <w:rPr>
          <w:rFonts w:cs="Arial"/>
          <w:i/>
          <w:color w:val="808080" w:themeColor="background1" w:themeShade="80"/>
          <w:sz w:val="18"/>
          <w:szCs w:val="18"/>
        </w:rPr>
        <w:t>Les actifs incorporels de l’entreprise en difficulté</w:t>
      </w:r>
      <w:r w:rsidRPr="008064D7">
        <w:rPr>
          <w:rFonts w:cs="Arial"/>
          <w:color w:val="808080" w:themeColor="background1" w:themeShade="80"/>
          <w:sz w:val="18"/>
          <w:szCs w:val="18"/>
        </w:rPr>
        <w:t>, Paris, dallez, 2020, volume 191.</w:t>
      </w:r>
    </w:p>
  </w:footnote>
  <w:footnote w:id="90">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R. REILLY et R. SCHWEIS, </w:t>
      </w:r>
      <w:r w:rsidRPr="008064D7">
        <w:rPr>
          <w:rFonts w:cs="Arial"/>
          <w:i/>
          <w:color w:val="808080" w:themeColor="background1" w:themeShade="80"/>
          <w:sz w:val="18"/>
          <w:szCs w:val="18"/>
          <w:lang w:val="en-US"/>
        </w:rPr>
        <w:t>Valuing intangible assets</w:t>
      </w:r>
      <w:r w:rsidRPr="008064D7">
        <w:rPr>
          <w:rFonts w:cs="Arial"/>
          <w:color w:val="808080" w:themeColor="background1" w:themeShade="80"/>
          <w:sz w:val="18"/>
          <w:szCs w:val="18"/>
          <w:lang w:val="en-US"/>
        </w:rPr>
        <w:t>, New-York Mac Graw Hill 1999</w:t>
      </w:r>
    </w:p>
  </w:footnote>
  <w:footnote w:id="9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A. RILEY et M. ANNIS, “Intellectual property licensing value and value issues in Bankruptcy”, </w:t>
      </w:r>
      <w:r w:rsidRPr="008064D7">
        <w:rPr>
          <w:rFonts w:cs="Arial"/>
          <w:i/>
          <w:color w:val="808080" w:themeColor="background1" w:themeShade="80"/>
          <w:sz w:val="18"/>
          <w:szCs w:val="18"/>
          <w:lang w:val="en-US"/>
        </w:rPr>
        <w:t>AIRA</w:t>
      </w:r>
      <w:r w:rsidRPr="008064D7">
        <w:rPr>
          <w:rFonts w:cs="Arial"/>
          <w:color w:val="808080" w:themeColor="background1" w:themeShade="80"/>
          <w:sz w:val="18"/>
          <w:szCs w:val="18"/>
          <w:lang w:val="en-US"/>
        </w:rPr>
        <w:t xml:space="preserve">  Volume 26 2013, en ligne.</w:t>
      </w:r>
    </w:p>
  </w:footnote>
  <w:footnote w:id="9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Voir pour une analyse intéressante : D. KUPETZ, « </w:t>
      </w:r>
      <w:r w:rsidRPr="008064D7">
        <w:rPr>
          <w:rFonts w:cs="Arial"/>
          <w:i/>
          <w:color w:val="808080" w:themeColor="background1" w:themeShade="80"/>
          <w:sz w:val="18"/>
          <w:szCs w:val="18"/>
          <w:lang w:val="en-US"/>
        </w:rPr>
        <w:t>Intellectual property issues in chapter 11 Brankruptcy reorganization</w:t>
      </w:r>
      <w:r w:rsidRPr="008064D7">
        <w:rPr>
          <w:rFonts w:cs="Arial"/>
          <w:color w:val="808080" w:themeColor="background1" w:themeShade="80"/>
          <w:sz w:val="18"/>
          <w:szCs w:val="18"/>
          <w:lang w:val="en-US"/>
        </w:rPr>
        <w:t> » PTC The Journal of Law and Technology 1995, pg 383 et ss, sur internet.</w:t>
      </w:r>
    </w:p>
  </w:footnote>
  <w:footnote w:id="9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Paar, Russel and Smith: Valuation of intellectual property and Intangible Asset, Wiley &amp; Sons 1999.</w:t>
      </w:r>
    </w:p>
  </w:footnote>
  <w:footnote w:id="9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Anson &amp; Weston “</w:t>
      </w:r>
      <w:r w:rsidRPr="008064D7">
        <w:rPr>
          <w:rFonts w:cs="Arial"/>
          <w:i/>
          <w:color w:val="808080" w:themeColor="background1" w:themeShade="80"/>
          <w:sz w:val="18"/>
          <w:szCs w:val="18"/>
          <w:lang w:val="en-US"/>
        </w:rPr>
        <w:t>Establishing Market value for Brands</w:t>
      </w:r>
      <w:r w:rsidRPr="008064D7">
        <w:rPr>
          <w:rFonts w:cs="Arial"/>
          <w:color w:val="808080" w:themeColor="background1" w:themeShade="80"/>
          <w:sz w:val="18"/>
          <w:szCs w:val="18"/>
          <w:lang w:val="en-US"/>
        </w:rPr>
        <w:t> », Business valuation Review, juin 1996.</w:t>
      </w:r>
    </w:p>
  </w:footnote>
  <w:footnote w:id="95">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L’étude examine les cas très positifs de Marvel, Polaroïd, Boston Market et constate que le DIP financing a pu valoriser in fine ces droits indépendants de la suite de la procédure.</w:t>
      </w:r>
    </w:p>
  </w:footnote>
  <w:footnote w:id="96">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sa note aux actionnaires disponible en ligne. </w:t>
      </w:r>
    </w:p>
  </w:footnote>
  <w:footnote w:id="97">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Pour un exposé de détail de cette restructuration, voir mon article sur la restructuration des grandes entreprises à paraitre. </w:t>
      </w:r>
    </w:p>
  </w:footnote>
  <w:footnote w:id="98">
    <w:p w:rsidR="009D49E2" w:rsidRPr="008064D7" w:rsidRDefault="009D49E2" w:rsidP="007C17D3">
      <w:pPr>
        <w:pStyle w:val="Notedebasdepage"/>
        <w:jc w:val="left"/>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https://www.fr24news.com/fr/a/2020/06/hertz-recherche-une-vente-inhabituelle-dactions-de-1-milliard-de-dollars-alors-quil-est-en-faillite.html</w:t>
      </w:r>
    </w:p>
  </w:footnote>
  <w:footnote w:id="9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 </w:t>
      </w:r>
      <w:r w:rsidRPr="008064D7">
        <w:rPr>
          <w:rFonts w:cs="Arial"/>
          <w:i/>
          <w:color w:val="808080" w:themeColor="background1" w:themeShade="80"/>
          <w:sz w:val="18"/>
          <w:szCs w:val="18"/>
        </w:rPr>
        <w:t>Les dessous de l’évaluation de l’entreprise high Tech</w:t>
      </w:r>
      <w:r w:rsidRPr="008064D7">
        <w:rPr>
          <w:rFonts w:cs="Arial"/>
          <w:color w:val="808080" w:themeColor="background1" w:themeShade="80"/>
          <w:sz w:val="18"/>
          <w:szCs w:val="18"/>
        </w:rPr>
        <w:t> », 2015, 18-2, in journals openedition org., Finance contrôle strategie, Une société cotée 50$ pourrait passer à 0,10 dès le départ et revenir à 50 après. Qui est recopié en partie pertinente par souci de gain de place.</w:t>
      </w:r>
    </w:p>
  </w:footnote>
  <w:footnote w:id="100">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Y. LI et Z. ZHONG “ Investing in chapter 11 Stock: trading, value and performance “ </w:t>
      </w:r>
      <w:r w:rsidRPr="008064D7">
        <w:rPr>
          <w:rFonts w:cs="Arial"/>
          <w:i/>
          <w:color w:val="808080" w:themeColor="background1" w:themeShade="80"/>
          <w:sz w:val="18"/>
          <w:szCs w:val="18"/>
          <w:lang w:val="en-US"/>
        </w:rPr>
        <w:t>Journal of Financial Markets,</w:t>
      </w:r>
      <w:r w:rsidRPr="008064D7">
        <w:rPr>
          <w:rFonts w:cs="Arial"/>
          <w:color w:val="808080" w:themeColor="background1" w:themeShade="80"/>
          <w:sz w:val="18"/>
          <w:szCs w:val="18"/>
          <w:lang w:val="en-US"/>
        </w:rPr>
        <w:t xml:space="preserve"> 2012, p. 34 et s. </w:t>
      </w:r>
    </w:p>
  </w:footnote>
  <w:footnote w:id="10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A. SHAKER, “The equity performance of US firms emerging from Chapter 11”, </w:t>
      </w:r>
      <w:r w:rsidRPr="008064D7">
        <w:rPr>
          <w:rFonts w:cs="Arial"/>
          <w:i/>
          <w:color w:val="808080" w:themeColor="background1" w:themeShade="80"/>
          <w:sz w:val="18"/>
          <w:szCs w:val="18"/>
          <w:lang w:val="en-US"/>
        </w:rPr>
        <w:t>Bankruptcy Hanken School of Economic</w:t>
      </w:r>
      <w:r w:rsidRPr="008064D7">
        <w:rPr>
          <w:rFonts w:cs="Arial"/>
          <w:color w:val="808080" w:themeColor="background1" w:themeShade="80"/>
          <w:sz w:val="18"/>
          <w:szCs w:val="18"/>
          <w:lang w:val="en-US"/>
        </w:rPr>
        <w:t>,  janvier 2014.</w:t>
      </w:r>
    </w:p>
  </w:footnote>
  <w:footnote w:id="10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M. XU, “Three essays in Chapter 11 bankruptcy, post-bankruptcy performance, bankruptcy stock performance and relationship with hedge funds and others vulture investors”, Septembre 2010, </w:t>
      </w:r>
      <w:r w:rsidRPr="008064D7">
        <w:rPr>
          <w:rFonts w:cs="Arial"/>
          <w:i/>
          <w:color w:val="808080" w:themeColor="background1" w:themeShade="80"/>
          <w:sz w:val="18"/>
          <w:szCs w:val="18"/>
          <w:lang w:val="en-US"/>
        </w:rPr>
        <w:t>Isenberg School of Management</w:t>
      </w:r>
      <w:r w:rsidRPr="008064D7">
        <w:rPr>
          <w:rFonts w:cs="Arial"/>
          <w:color w:val="808080" w:themeColor="background1" w:themeShade="80"/>
          <w:sz w:val="18"/>
          <w:szCs w:val="18"/>
          <w:lang w:val="en-US"/>
        </w:rPr>
        <w:t>.</w:t>
      </w:r>
    </w:p>
  </w:footnote>
  <w:footnote w:id="103">
    <w:p w:rsidR="009D49E2" w:rsidRPr="008064D7" w:rsidRDefault="009D49E2" w:rsidP="00D729DC">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S. MCHAWRAB, M. ALBOURG, M. KERGOAT et S. DUBREULE</w:t>
      </w:r>
    </w:p>
  </w:footnote>
  <w:footnote w:id="104">
    <w:p w:rsidR="009D49E2" w:rsidRPr="008064D7" w:rsidRDefault="009D49E2" w:rsidP="00D729DC">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DAMODARAN, 1999, Applied Corporate Finance: a user manual, John Wiley &amp; Sons.</w:t>
      </w:r>
    </w:p>
  </w:footnote>
  <w:footnote w:id="105">
    <w:p w:rsidR="009D49E2" w:rsidRPr="008064D7" w:rsidRDefault="009D49E2" w:rsidP="00D729DC">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Mills RW, 2005, « </w:t>
      </w:r>
      <w:r w:rsidRPr="008064D7">
        <w:rPr>
          <w:rFonts w:cs="Arial"/>
          <w:i/>
          <w:color w:val="808080" w:themeColor="background1" w:themeShade="80"/>
          <w:sz w:val="18"/>
          <w:szCs w:val="18"/>
          <w:lang w:val="en-US"/>
        </w:rPr>
        <w:t>assessing growth estimate in IPO Valuation »</w:t>
      </w:r>
      <w:r w:rsidRPr="008064D7">
        <w:rPr>
          <w:rFonts w:cs="Arial"/>
          <w:color w:val="808080" w:themeColor="background1" w:themeShade="80"/>
          <w:sz w:val="18"/>
          <w:szCs w:val="18"/>
          <w:lang w:val="en-US"/>
        </w:rPr>
        <w:t xml:space="preserve">, Journal of applied Corporate finance, N°17, pg 73-78 </w:t>
      </w:r>
    </w:p>
  </w:footnote>
  <w:footnote w:id="106">
    <w:p w:rsidR="009D49E2" w:rsidRPr="008064D7" w:rsidRDefault="009D49E2" w:rsidP="00D729DC">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KUHNEMAN, 2009, “</w:t>
      </w:r>
      <w:r w:rsidRPr="008064D7">
        <w:rPr>
          <w:rFonts w:cs="Arial"/>
          <w:i/>
          <w:color w:val="808080" w:themeColor="background1" w:themeShade="80"/>
          <w:sz w:val="18"/>
          <w:szCs w:val="18"/>
          <w:lang w:val="en-US"/>
        </w:rPr>
        <w:t>Maps of Bounded Rationality: Psychology for behavior Economy</w:t>
      </w:r>
      <w:r w:rsidRPr="008064D7">
        <w:rPr>
          <w:rFonts w:cs="Arial"/>
          <w:color w:val="808080" w:themeColor="background1" w:themeShade="80"/>
          <w:sz w:val="18"/>
          <w:szCs w:val="18"/>
          <w:lang w:val="en-US"/>
        </w:rPr>
        <w:t>”, the American Economic Review, vol. 95, N°5, pg 1449-1475</w:t>
      </w:r>
    </w:p>
  </w:footnote>
  <w:footnote w:id="107">
    <w:p w:rsidR="009D49E2" w:rsidRPr="008064D7" w:rsidRDefault="009D49E2" w:rsidP="00D729DC">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F. Cancel, Q. LATHUILTE, A. CHUISSIER, de la difficulté de mesurer le coût du capital dans Revue Française de gestion, 2014/5, N°242, p. 103 à 118.</w:t>
      </w:r>
    </w:p>
  </w:footnote>
  <w:footnote w:id="108">
    <w:p w:rsidR="009D49E2" w:rsidRPr="008064D7" w:rsidRDefault="009D49E2" w:rsidP="00D729DC">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Graham &amp; Harvey, 2011 « </w:t>
      </w:r>
      <w:r w:rsidRPr="008064D7">
        <w:rPr>
          <w:rFonts w:cs="Arial"/>
          <w:i/>
          <w:color w:val="808080" w:themeColor="background1" w:themeShade="80"/>
          <w:sz w:val="18"/>
          <w:szCs w:val="18"/>
          <w:lang w:val="en-US"/>
        </w:rPr>
        <w:t>The Theory and Practice of Corporate finance: evidence from the field »</w:t>
      </w:r>
      <w:r w:rsidRPr="008064D7">
        <w:rPr>
          <w:rFonts w:cs="Arial"/>
          <w:color w:val="808080" w:themeColor="background1" w:themeShade="80"/>
          <w:sz w:val="18"/>
          <w:szCs w:val="18"/>
          <w:lang w:val="en-US"/>
        </w:rPr>
        <w:t>, Journal of financial economy, vol. 60, N°2/3, pg. 187-242</w:t>
      </w:r>
    </w:p>
    <w:p w:rsidR="009D49E2" w:rsidRPr="008064D7" w:rsidRDefault="009D49E2" w:rsidP="00D729DC">
      <w:pPr>
        <w:pStyle w:val="Notedebasdepage"/>
        <w:rPr>
          <w:rFonts w:cs="Arial"/>
          <w:color w:val="808080" w:themeColor="background1" w:themeShade="80"/>
          <w:sz w:val="18"/>
          <w:szCs w:val="18"/>
          <w:lang w:val="en-US"/>
        </w:rPr>
      </w:pPr>
      <w:r w:rsidRPr="008064D7">
        <w:rPr>
          <w:rFonts w:cs="Arial"/>
          <w:color w:val="808080" w:themeColor="background1" w:themeShade="80"/>
          <w:sz w:val="18"/>
          <w:szCs w:val="18"/>
          <w:lang w:val="en-US"/>
        </w:rPr>
        <w:t>JACOBS &amp; SHIVDASANI, 2012, “</w:t>
      </w:r>
      <w:r w:rsidRPr="008064D7">
        <w:rPr>
          <w:rFonts w:cs="Arial"/>
          <w:i/>
          <w:color w:val="808080" w:themeColor="background1" w:themeShade="80"/>
          <w:sz w:val="18"/>
          <w:szCs w:val="18"/>
          <w:lang w:val="en-US"/>
        </w:rPr>
        <w:t>Do you Know your cost of capital</w:t>
      </w:r>
      <w:r w:rsidRPr="008064D7">
        <w:rPr>
          <w:rFonts w:cs="Arial"/>
          <w:color w:val="808080" w:themeColor="background1" w:themeShade="80"/>
          <w:sz w:val="18"/>
          <w:szCs w:val="18"/>
          <w:lang w:val="en-US"/>
        </w:rPr>
        <w:t>?”, Harvard Business Review vol. 90, N°718, pg. 118-124.</w:t>
      </w:r>
    </w:p>
    <w:p w:rsidR="009D49E2" w:rsidRPr="008064D7" w:rsidRDefault="009D49E2" w:rsidP="00D729DC">
      <w:pPr>
        <w:pStyle w:val="Notedebasdepage"/>
        <w:rPr>
          <w:rFonts w:cs="Arial"/>
          <w:color w:val="808080" w:themeColor="background1" w:themeShade="80"/>
          <w:sz w:val="18"/>
          <w:szCs w:val="18"/>
          <w:lang w:val="en-US"/>
        </w:rPr>
      </w:pPr>
      <w:r w:rsidRPr="008064D7">
        <w:rPr>
          <w:rFonts w:cs="Arial"/>
          <w:color w:val="808080" w:themeColor="background1" w:themeShade="80"/>
          <w:sz w:val="18"/>
          <w:szCs w:val="18"/>
          <w:lang w:val="en-US"/>
        </w:rPr>
        <w:t>FERNANDEZ, AGUINEOMALLEO, ARENDANO, Market pish premium used in 82 countries in 2012: a survey with 7192 Answer, sur le net.</w:t>
      </w:r>
    </w:p>
    <w:p w:rsidR="009D49E2" w:rsidRPr="008064D7" w:rsidRDefault="009D49E2" w:rsidP="00D729DC">
      <w:pPr>
        <w:pStyle w:val="Notedebasdepage"/>
        <w:rPr>
          <w:rFonts w:cs="Arial"/>
          <w:color w:val="808080" w:themeColor="background1" w:themeShade="80"/>
          <w:sz w:val="18"/>
          <w:szCs w:val="18"/>
        </w:rPr>
      </w:pPr>
      <w:r w:rsidRPr="008064D7">
        <w:rPr>
          <w:rFonts w:cs="Arial"/>
          <w:color w:val="808080" w:themeColor="background1" w:themeShade="80"/>
          <w:sz w:val="18"/>
          <w:szCs w:val="18"/>
        </w:rPr>
        <w:t>BARRIEL et MITTOO, 2013, « </w:t>
      </w:r>
      <w:r w:rsidRPr="008064D7">
        <w:rPr>
          <w:rFonts w:cs="Arial"/>
          <w:i/>
          <w:color w:val="808080" w:themeColor="background1" w:themeShade="80"/>
          <w:sz w:val="18"/>
          <w:szCs w:val="18"/>
        </w:rPr>
        <w:t>Théorie et pratique de l’évaluation de l’entreprise</w:t>
      </w:r>
      <w:r w:rsidRPr="008064D7">
        <w:rPr>
          <w:rFonts w:cs="Arial"/>
          <w:color w:val="808080" w:themeColor="background1" w:themeShade="80"/>
          <w:sz w:val="18"/>
          <w:szCs w:val="18"/>
        </w:rPr>
        <w:t>”, Analyse financière vol. 48, septembre, pg. 80-83</w:t>
      </w:r>
    </w:p>
  </w:footnote>
  <w:footnote w:id="109">
    <w:p w:rsidR="009D49E2" w:rsidRPr="008064D7" w:rsidRDefault="009D49E2" w:rsidP="00062CBC">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par exemple : C. HARMEL, « </w:t>
      </w:r>
      <w:r w:rsidRPr="008064D7">
        <w:rPr>
          <w:rFonts w:cs="Arial"/>
          <w:i/>
          <w:color w:val="808080" w:themeColor="background1" w:themeShade="80"/>
          <w:sz w:val="18"/>
          <w:szCs w:val="18"/>
        </w:rPr>
        <w:t>La différence de valorisation entre une entreprise cotée et une entreprise non-cotée »</w:t>
      </w:r>
      <w:r w:rsidRPr="008064D7">
        <w:rPr>
          <w:rFonts w:cs="Arial"/>
          <w:color w:val="808080" w:themeColor="background1" w:themeShade="80"/>
          <w:sz w:val="18"/>
          <w:szCs w:val="18"/>
        </w:rPr>
        <w:t xml:space="preserve">, </w:t>
      </w:r>
      <w:r w:rsidRPr="008064D7">
        <w:rPr>
          <w:rFonts w:cs="Arial"/>
          <w:i/>
          <w:color w:val="808080" w:themeColor="background1" w:themeShade="80"/>
          <w:sz w:val="18"/>
          <w:szCs w:val="18"/>
        </w:rPr>
        <w:t>Louvain Lan school</w:t>
      </w:r>
      <w:r w:rsidRPr="008064D7">
        <w:rPr>
          <w:rFonts w:cs="Arial"/>
          <w:color w:val="808080" w:themeColor="background1" w:themeShade="80"/>
          <w:sz w:val="18"/>
          <w:szCs w:val="18"/>
        </w:rPr>
        <w:t>, 2015, sur internet, avec comme promoteur B. COLONAL.</w:t>
      </w:r>
    </w:p>
  </w:footnote>
  <w:footnote w:id="11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S. PARIENTE, </w:t>
      </w:r>
      <w:r w:rsidRPr="008064D7">
        <w:rPr>
          <w:rFonts w:cs="Arial"/>
          <w:i/>
          <w:color w:val="808080" w:themeColor="background1" w:themeShade="80"/>
          <w:sz w:val="18"/>
          <w:szCs w:val="18"/>
        </w:rPr>
        <w:t>Analyse financière et évaluation des entreprises</w:t>
      </w:r>
      <w:r w:rsidRPr="008064D7">
        <w:rPr>
          <w:rFonts w:cs="Arial"/>
          <w:color w:val="808080" w:themeColor="background1" w:themeShade="80"/>
          <w:sz w:val="18"/>
          <w:szCs w:val="18"/>
        </w:rPr>
        <w:t xml:space="preserve"> 2013 Montreuil Person France p 328</w:t>
      </w:r>
    </w:p>
  </w:footnote>
  <w:footnote w:id="111">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 DISPAS et Y. BOUGDHENE Gestion de portefeuille: guide prtaique Bruxelles 2013 Larcier p 162</w:t>
      </w:r>
    </w:p>
  </w:footnote>
  <w:footnote w:id="112">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P. ALPHONSE, DESMULIERS, P. GRANDIN et M. LEVASSEUR, </w:t>
      </w:r>
      <w:r w:rsidRPr="008064D7">
        <w:rPr>
          <w:rFonts w:cs="Arial"/>
          <w:i/>
          <w:color w:val="808080" w:themeColor="background1" w:themeShade="80"/>
          <w:sz w:val="18"/>
          <w:szCs w:val="18"/>
        </w:rPr>
        <w:t>Gestion de portefeuille et marchés financiers</w:t>
      </w:r>
      <w:r w:rsidRPr="008064D7">
        <w:rPr>
          <w:rFonts w:cs="Arial"/>
          <w:color w:val="808080" w:themeColor="background1" w:themeShade="80"/>
          <w:sz w:val="18"/>
          <w:szCs w:val="18"/>
        </w:rPr>
        <w:t>, Montreuil 2013 Pearson France p 637</w:t>
      </w:r>
    </w:p>
  </w:footnote>
  <w:footnote w:id="113">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J. BERCK, P. DEMARZO, G. CAPELLE et N.COUDERCK, </w:t>
      </w:r>
      <w:r w:rsidRPr="008064D7">
        <w:rPr>
          <w:rFonts w:cs="Arial"/>
          <w:i/>
          <w:color w:val="808080" w:themeColor="background1" w:themeShade="80"/>
          <w:sz w:val="18"/>
          <w:szCs w:val="18"/>
        </w:rPr>
        <w:t>Finance d’entreprise</w:t>
      </w:r>
      <w:r w:rsidRPr="008064D7">
        <w:rPr>
          <w:rFonts w:cs="Arial"/>
          <w:color w:val="808080" w:themeColor="background1" w:themeShade="80"/>
          <w:sz w:val="18"/>
          <w:szCs w:val="18"/>
        </w:rPr>
        <w:t xml:space="preserve">, 2008 Montreuil Pearson France p 1048. </w:t>
      </w:r>
    </w:p>
  </w:footnote>
  <w:footnote w:id="114">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S. PARIENTE, </w:t>
      </w:r>
      <w:r w:rsidRPr="008064D7">
        <w:rPr>
          <w:rFonts w:cs="Arial"/>
          <w:i/>
          <w:color w:val="808080" w:themeColor="background1" w:themeShade="80"/>
          <w:sz w:val="18"/>
          <w:szCs w:val="18"/>
        </w:rPr>
        <w:t>o.c.,</w:t>
      </w:r>
      <w:r w:rsidRPr="008064D7">
        <w:rPr>
          <w:rFonts w:cs="Arial"/>
          <w:color w:val="808080" w:themeColor="background1" w:themeShade="80"/>
          <w:sz w:val="18"/>
          <w:szCs w:val="18"/>
        </w:rPr>
        <w:t xml:space="preserve"> p 328</w:t>
      </w:r>
    </w:p>
  </w:footnote>
  <w:footnote w:id="115">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 Dispas et Y. Boudghene, </w:t>
      </w:r>
      <w:r w:rsidRPr="008064D7">
        <w:rPr>
          <w:rFonts w:cs="Arial"/>
          <w:i/>
          <w:color w:val="808080" w:themeColor="background1" w:themeShade="80"/>
          <w:sz w:val="18"/>
          <w:szCs w:val="18"/>
        </w:rPr>
        <w:t xml:space="preserve">o.c., </w:t>
      </w:r>
      <w:r w:rsidRPr="008064D7">
        <w:rPr>
          <w:rFonts w:cs="Arial"/>
          <w:color w:val="808080" w:themeColor="background1" w:themeShade="80"/>
          <w:sz w:val="18"/>
          <w:szCs w:val="18"/>
        </w:rPr>
        <w:t>p 162</w:t>
      </w:r>
    </w:p>
  </w:footnote>
  <w:footnote w:id="116">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Y. KACHURINA, </w:t>
      </w:r>
      <w:r w:rsidRPr="008064D7">
        <w:rPr>
          <w:rFonts w:cs="Arial"/>
          <w:i/>
          <w:color w:val="808080" w:themeColor="background1" w:themeShade="80"/>
          <w:sz w:val="18"/>
          <w:szCs w:val="18"/>
        </w:rPr>
        <w:t>Méthodes de valorisation des entreprises en Early Stafe en Belgique,</w:t>
      </w:r>
      <w:r w:rsidRPr="008064D7">
        <w:rPr>
          <w:rFonts w:cs="Arial"/>
          <w:color w:val="808080" w:themeColor="background1" w:themeShade="80"/>
          <w:sz w:val="18"/>
          <w:szCs w:val="18"/>
        </w:rPr>
        <w:t xml:space="preserve"> Document non publié Université libre de Bruxelles 2011</w:t>
      </w:r>
    </w:p>
  </w:footnote>
  <w:footnote w:id="117">
    <w:p w:rsidR="009D49E2" w:rsidRPr="008064D7" w:rsidRDefault="009D49E2" w:rsidP="0080783A">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J. BERCK et P. DEMARZO, G. CAPELLE et N. COUDERC, </w:t>
      </w:r>
      <w:r w:rsidRPr="008064D7">
        <w:rPr>
          <w:rFonts w:cs="Arial"/>
          <w:i/>
          <w:color w:val="808080" w:themeColor="background1" w:themeShade="80"/>
          <w:sz w:val="18"/>
          <w:szCs w:val="18"/>
        </w:rPr>
        <w:t>o.c.</w:t>
      </w:r>
      <w:r w:rsidRPr="008064D7">
        <w:rPr>
          <w:rFonts w:cs="Arial"/>
          <w:color w:val="808080" w:themeColor="background1" w:themeShade="80"/>
          <w:sz w:val="18"/>
          <w:szCs w:val="18"/>
        </w:rPr>
        <w:t xml:space="preserve"> , p 1048</w:t>
      </w:r>
    </w:p>
  </w:footnote>
  <w:footnote w:id="118">
    <w:p w:rsidR="009D49E2" w:rsidRPr="00936DB9"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rPr>
        <w:t xml:space="preserve"> K. PALEPU et P. HEALEY </w:t>
      </w:r>
      <w:r w:rsidRPr="00936DB9">
        <w:rPr>
          <w:rFonts w:cs="Arial"/>
          <w:i/>
          <w:color w:val="808080" w:themeColor="background1" w:themeShade="80"/>
          <w:sz w:val="18"/>
          <w:szCs w:val="18"/>
        </w:rPr>
        <w:t>o.c.</w:t>
      </w:r>
      <w:r w:rsidRPr="00936DB9">
        <w:rPr>
          <w:rFonts w:cs="Arial"/>
          <w:color w:val="808080" w:themeColor="background1" w:themeShade="80"/>
          <w:sz w:val="18"/>
          <w:szCs w:val="18"/>
        </w:rPr>
        <w:t xml:space="preserve"> </w:t>
      </w:r>
    </w:p>
  </w:footnote>
  <w:footnote w:id="11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 HARMEL, « </w:t>
      </w:r>
      <w:r w:rsidRPr="008064D7">
        <w:rPr>
          <w:rFonts w:cs="Arial"/>
          <w:i/>
          <w:color w:val="808080" w:themeColor="background1" w:themeShade="80"/>
          <w:sz w:val="18"/>
          <w:szCs w:val="18"/>
        </w:rPr>
        <w:t>La différence de valorisation entre une entreprise cotée et une entreprise non-cotée »</w:t>
      </w:r>
      <w:r w:rsidRPr="008064D7">
        <w:rPr>
          <w:rFonts w:cs="Arial"/>
          <w:color w:val="808080" w:themeColor="background1" w:themeShade="80"/>
          <w:sz w:val="18"/>
          <w:szCs w:val="18"/>
        </w:rPr>
        <w:t xml:space="preserve">, </w:t>
      </w:r>
      <w:r w:rsidRPr="008064D7">
        <w:rPr>
          <w:rFonts w:cs="Arial"/>
          <w:i/>
          <w:color w:val="808080" w:themeColor="background1" w:themeShade="80"/>
          <w:sz w:val="18"/>
          <w:szCs w:val="18"/>
        </w:rPr>
        <w:t>Louvain Lan school</w:t>
      </w:r>
      <w:r w:rsidRPr="008064D7">
        <w:rPr>
          <w:rFonts w:cs="Arial"/>
          <w:color w:val="808080" w:themeColor="background1" w:themeShade="80"/>
          <w:sz w:val="18"/>
          <w:szCs w:val="18"/>
        </w:rPr>
        <w:t>, 2015, sur internet, avec comme promoteur Bruno Colonant page 7</w:t>
      </w:r>
    </w:p>
  </w:footnote>
  <w:footnote w:id="120">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SP PRATT &amp; V NICULITA, “Valuing a business The analysis and appraisal of Closely Held Companies” (5th ed) New York MacGraw-Hill p 1098</w:t>
      </w:r>
    </w:p>
  </w:footnote>
  <w:footnote w:id="121">
    <w:p w:rsidR="009D49E2" w:rsidRPr="008064D7" w:rsidRDefault="009D49E2">
      <w:pPr>
        <w:pStyle w:val="Notedebasdepage"/>
        <w:rPr>
          <w:rFonts w:cs="Arial"/>
          <w:color w:val="808080" w:themeColor="background1" w:themeShade="80"/>
          <w:sz w:val="18"/>
          <w:szCs w:val="18"/>
          <w:lang w:val="nl-BE"/>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nl-BE"/>
        </w:rPr>
        <w:t xml:space="preserve"> C. HARMEL, </w:t>
      </w:r>
      <w:r w:rsidRPr="008064D7">
        <w:rPr>
          <w:rFonts w:cs="Arial"/>
          <w:i/>
          <w:color w:val="808080" w:themeColor="background1" w:themeShade="80"/>
          <w:sz w:val="18"/>
          <w:szCs w:val="18"/>
          <w:lang w:val="nl-BE"/>
        </w:rPr>
        <w:t xml:space="preserve">o.c., </w:t>
      </w:r>
      <w:r w:rsidRPr="008064D7">
        <w:rPr>
          <w:rFonts w:cs="Arial"/>
          <w:color w:val="808080" w:themeColor="background1" w:themeShade="80"/>
          <w:sz w:val="18"/>
          <w:szCs w:val="18"/>
          <w:lang w:val="nl-BE"/>
        </w:rPr>
        <w:t>p. 8.</w:t>
      </w:r>
    </w:p>
  </w:footnote>
  <w:footnote w:id="122">
    <w:p w:rsidR="009D49E2" w:rsidRPr="008064D7" w:rsidRDefault="009D49E2">
      <w:pPr>
        <w:pStyle w:val="Notedebasdepage"/>
        <w:rPr>
          <w:rFonts w:cs="Arial"/>
          <w:color w:val="808080" w:themeColor="background1" w:themeShade="80"/>
          <w:sz w:val="18"/>
          <w:szCs w:val="18"/>
          <w:lang w:val="nl-BE"/>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nl-BE"/>
        </w:rPr>
        <w:t xml:space="preserve"> C. HARMEL, </w:t>
      </w:r>
      <w:r w:rsidRPr="008064D7">
        <w:rPr>
          <w:rFonts w:cs="Arial"/>
          <w:i/>
          <w:color w:val="808080" w:themeColor="background1" w:themeShade="80"/>
          <w:sz w:val="18"/>
          <w:szCs w:val="18"/>
          <w:lang w:val="nl-BE"/>
        </w:rPr>
        <w:t>o.c </w:t>
      </w:r>
      <w:r w:rsidRPr="008064D7">
        <w:rPr>
          <w:rFonts w:cs="Arial"/>
          <w:color w:val="808080" w:themeColor="background1" w:themeShade="80"/>
          <w:sz w:val="18"/>
          <w:szCs w:val="18"/>
          <w:lang w:val="nl-BE"/>
        </w:rPr>
        <w:t>, p. 9.</w:t>
      </w:r>
    </w:p>
  </w:footnote>
  <w:footnote w:id="123">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H. FRONVILLE et A. STREEL Les principales techniques d’évaluation d’entreprises sur internet financialforum.be </w:t>
      </w:r>
    </w:p>
  </w:footnote>
  <w:footnote w:id="124">
    <w:p w:rsidR="009D49E2" w:rsidRPr="008064D7" w:rsidRDefault="009D49E2" w:rsidP="00062CBC">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WATERQ  122 Bankr 298 (WD tex 1990).</w:t>
      </w:r>
    </w:p>
  </w:footnote>
  <w:footnote w:id="125">
    <w:p w:rsidR="009D49E2" w:rsidRPr="008064D7" w:rsidRDefault="009D49E2" w:rsidP="00062CBC">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 CARLSON, “Secured creditors and the eely character of Bankruptcy valuations”, </w:t>
      </w:r>
      <w:r w:rsidRPr="008064D7">
        <w:rPr>
          <w:rFonts w:cs="Arial"/>
          <w:i/>
          <w:color w:val="808080" w:themeColor="background1" w:themeShade="80"/>
          <w:sz w:val="18"/>
          <w:szCs w:val="18"/>
          <w:lang w:val="en-US"/>
        </w:rPr>
        <w:t>American university Law Review</w:t>
      </w:r>
      <w:r w:rsidRPr="008064D7">
        <w:rPr>
          <w:rFonts w:cs="Arial"/>
          <w:color w:val="808080" w:themeColor="background1" w:themeShade="80"/>
          <w:sz w:val="18"/>
          <w:szCs w:val="18"/>
          <w:lang w:val="en-US"/>
        </w:rPr>
        <w:t>, VOL 41:63 p.64.</w:t>
      </w:r>
    </w:p>
  </w:footnote>
  <w:footnote w:id="126">
    <w:p w:rsidR="009D49E2" w:rsidRPr="008064D7" w:rsidRDefault="009D49E2" w:rsidP="00062CBC">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Robbins industries Inc 78 F “D 30 (2d cir 1996).</w:t>
      </w:r>
    </w:p>
  </w:footnote>
  <w:footnote w:id="127">
    <w:p w:rsidR="009D49E2" w:rsidRPr="008064D7" w:rsidRDefault="009D49E2" w:rsidP="007565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t>
      </w:r>
      <w:hyperlink r:id="rId1" w:history="1">
        <w:r w:rsidRPr="008064D7">
          <w:rPr>
            <w:rStyle w:val="Lienhypertexte"/>
            <w:rFonts w:cs="Arial"/>
            <w:color w:val="808080" w:themeColor="background1" w:themeShade="80"/>
            <w:sz w:val="18"/>
            <w:szCs w:val="18"/>
            <w:lang w:val="en-US"/>
          </w:rPr>
          <w:t>https://www.ibr-ire.be/fr/notre-profession/secteurs-dintervention/pme/plateforme-evaluation-d-entreprises/m-thodes-d-valuation</w:t>
        </w:r>
      </w:hyperlink>
      <w:r w:rsidRPr="008064D7">
        <w:rPr>
          <w:rFonts w:cs="Arial"/>
          <w:color w:val="808080" w:themeColor="background1" w:themeShade="80"/>
          <w:sz w:val="18"/>
          <w:szCs w:val="18"/>
          <w:lang w:val="en-US"/>
        </w:rPr>
        <w:t xml:space="preserve"> </w:t>
      </w:r>
    </w:p>
  </w:footnote>
  <w:footnote w:id="128">
    <w:p w:rsidR="009D49E2" w:rsidRPr="008064D7" w:rsidRDefault="009D49E2" w:rsidP="00497A97">
      <w:pPr>
        <w:shd w:val="clear" w:color="auto" w:fill="FFFFFF"/>
        <w:spacing w:line="240" w:lineRule="auto"/>
        <w:rPr>
          <w:rFonts w:cs="Arial"/>
          <w:i/>
          <w:color w:val="808080" w:themeColor="background1" w:themeShade="80"/>
          <w:sz w:val="18"/>
          <w:szCs w:val="18"/>
          <w:lang w:eastAsia="fr-BE"/>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w:t>
      </w:r>
      <w:r w:rsidRPr="008064D7">
        <w:rPr>
          <w:rFonts w:cs="Arial"/>
          <w:i/>
          <w:color w:val="808080" w:themeColor="background1" w:themeShade="80"/>
          <w:sz w:val="18"/>
          <w:szCs w:val="18"/>
          <w:lang w:eastAsia="fr-BE"/>
        </w:rPr>
        <w:t> </w:t>
      </w:r>
      <w:r w:rsidRPr="008064D7">
        <w:rPr>
          <w:rFonts w:cs="Arial"/>
          <w:i/>
          <w:iCs/>
          <w:color w:val="808080" w:themeColor="background1" w:themeShade="80"/>
          <w:sz w:val="18"/>
          <w:szCs w:val="18"/>
          <w:u w:val="single"/>
          <w:lang w:eastAsia="fr-BE"/>
        </w:rPr>
        <w:t>Source</w:t>
      </w:r>
      <w:r w:rsidRPr="008064D7">
        <w:rPr>
          <w:rFonts w:cs="Arial"/>
          <w:i/>
          <w:iCs/>
          <w:color w:val="808080" w:themeColor="background1" w:themeShade="80"/>
          <w:sz w:val="18"/>
          <w:szCs w:val="18"/>
          <w:lang w:eastAsia="fr-BE"/>
        </w:rPr>
        <w:t> : Prof. Tom Vanacker, Université de Gand, portant sur </w:t>
      </w:r>
      <w:hyperlink r:id="rId2" w:tgtFrame="_blank" w:history="1">
        <w:r w:rsidRPr="008064D7">
          <w:rPr>
            <w:rFonts w:cs="Arial"/>
            <w:i/>
            <w:iCs/>
            <w:color w:val="808080" w:themeColor="background1" w:themeShade="80"/>
            <w:sz w:val="18"/>
            <w:szCs w:val="18"/>
            <w:lang w:eastAsia="fr-BE"/>
          </w:rPr>
          <w:t>« Les différentes méthodes d'évaluation »</w:t>
        </w:r>
      </w:hyperlink>
      <w:r w:rsidRPr="008064D7">
        <w:rPr>
          <w:rFonts w:cs="Arial"/>
          <w:i/>
          <w:iCs/>
          <w:color w:val="808080" w:themeColor="background1" w:themeShade="80"/>
          <w:sz w:val="18"/>
          <w:szCs w:val="18"/>
          <w:lang w:eastAsia="fr-BE"/>
        </w:rPr>
        <w:t>, journée d’études organisée le 23 octobre 2014 par l’IRE.</w:t>
      </w:r>
    </w:p>
    <w:p w:rsidR="009D49E2" w:rsidRPr="008064D7" w:rsidRDefault="009D49E2" w:rsidP="007565AA">
      <w:pPr>
        <w:pStyle w:val="Notedebasdepage"/>
        <w:rPr>
          <w:rFonts w:cs="Arial"/>
          <w:color w:val="808080" w:themeColor="background1" w:themeShade="80"/>
          <w:sz w:val="18"/>
          <w:szCs w:val="18"/>
        </w:rPr>
      </w:pPr>
    </w:p>
  </w:footnote>
  <w:footnote w:id="129">
    <w:p w:rsidR="009D49E2" w:rsidRPr="008064D7" w:rsidRDefault="009D49E2" w:rsidP="007565AA">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hyperlink r:id="rId3" w:history="1">
        <w:r w:rsidRPr="008064D7">
          <w:rPr>
            <w:rStyle w:val="Lienhypertexte"/>
            <w:rFonts w:cs="Arial"/>
            <w:color w:val="808080" w:themeColor="background1" w:themeShade="80"/>
            <w:sz w:val="18"/>
            <w:szCs w:val="18"/>
          </w:rPr>
          <w:t>http://ante.experts-comptables.com/csoec/content/download/992338/25831426/version/2/file/%28M%C3%89THODES+D+EVAL+RETENUES+ET+ECARTEES+-+2012+04+10%29.pdf</w:t>
        </w:r>
      </w:hyperlink>
      <w:r w:rsidRPr="008064D7">
        <w:rPr>
          <w:rFonts w:cs="Arial"/>
          <w:color w:val="808080" w:themeColor="background1" w:themeShade="80"/>
          <w:sz w:val="18"/>
          <w:szCs w:val="18"/>
        </w:rPr>
        <w:t xml:space="preserve"> </w:t>
      </w:r>
    </w:p>
  </w:footnote>
  <w:footnote w:id="130">
    <w:p w:rsidR="009D49E2" w:rsidRPr="008064D7" w:rsidRDefault="009D49E2" w:rsidP="007565AA">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Tribunal de l’Entreprise du Brabant Wallon.</w:t>
      </w:r>
    </w:p>
  </w:footnote>
  <w:footnote w:id="131">
    <w:p w:rsidR="009D49E2" w:rsidRPr="008064D7" w:rsidRDefault="009D49E2" w:rsidP="007565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Nous soulignons.</w:t>
      </w:r>
    </w:p>
  </w:footnote>
  <w:footnote w:id="132">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US Bank N.A. v Verizon Comm. Inc., N° 10-01842, (N.D. Tex. Jan. 22, 2013).</w:t>
      </w:r>
    </w:p>
  </w:footnote>
  <w:footnote w:id="133">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Mirant Corp., 334 BR 800 (Bankr. N.D. Tex. 2005).</w:t>
      </w:r>
    </w:p>
  </w:footnote>
  <w:footnote w:id="134">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Exide Techs., 303 BR 48 (Bankr. D. Del. 2003).</w:t>
      </w:r>
    </w:p>
  </w:footnote>
  <w:footnote w:id="135">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VFB LLC v. Campbell Soup Co., 482 F.3d 62 (3d Cir. 2007).</w:t>
      </w:r>
    </w:p>
  </w:footnote>
  <w:footnote w:id="136">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TOUSA, Inc., 422 BR 783 (Bankr. S.D. Fla. 2009).</w:t>
      </w:r>
    </w:p>
  </w:footnote>
  <w:footnote w:id="137">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Nellson Neutraceutical. Inc., 2007 WL 201134 (Bankr. D. Del. 2007)</w:t>
      </w:r>
    </w:p>
  </w:footnote>
  <w:footnote w:id="138">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Chemtura Corp., 439 BR 561 (Bankr. S.D.N.Y. 2010).</w:t>
      </w:r>
    </w:p>
  </w:footnote>
  <w:footnote w:id="139">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Spansion, Inc., 426 BR 114 (Bankr. D. Del. 2010).</w:t>
      </w:r>
    </w:p>
  </w:footnote>
  <w:footnote w:id="140">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ASARCO LLC v Ams. Mining Corp., 396 BR 278 (S.D. Tex. 2008).</w:t>
      </w:r>
    </w:p>
  </w:footnote>
  <w:footnote w:id="141">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DBSD n. Am. Inc., 419 BR 179 (Bankr. S.D.N.Y. 2009).</w:t>
      </w:r>
    </w:p>
  </w:footnote>
  <w:footnote w:id="142">
    <w:p w:rsidR="009D49E2" w:rsidRPr="008064D7" w:rsidRDefault="009D49E2" w:rsidP="009B6E67">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Wilmerhale “</w:t>
      </w:r>
      <w:r w:rsidRPr="008064D7">
        <w:rPr>
          <w:rFonts w:cs="Arial"/>
          <w:i/>
          <w:color w:val="808080" w:themeColor="background1" w:themeShade="80"/>
          <w:sz w:val="18"/>
          <w:szCs w:val="18"/>
          <w:lang w:val="en-US"/>
        </w:rPr>
        <w:t>Covid 19 – Rethnking chapter 11 Bankruptcy valuation issues in the crisis”</w:t>
      </w:r>
      <w:r w:rsidRPr="008064D7">
        <w:rPr>
          <w:rFonts w:cs="Arial"/>
          <w:color w:val="808080" w:themeColor="background1" w:themeShade="80"/>
          <w:sz w:val="18"/>
          <w:szCs w:val="18"/>
          <w:lang w:val="en-US"/>
        </w:rPr>
        <w:t>, avril 2020, sur internet</w:t>
      </w:r>
    </w:p>
  </w:footnote>
  <w:footnote w:id="143">
    <w:p w:rsidR="009D49E2" w:rsidRPr="008064D7" w:rsidRDefault="009D49E2">
      <w:pPr>
        <w:pStyle w:val="Notedebasdepage"/>
        <w:rPr>
          <w:rFonts w:cs="Arial"/>
          <w:i/>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 HARMEL, </w:t>
      </w:r>
      <w:r w:rsidRPr="008064D7">
        <w:rPr>
          <w:rFonts w:cs="Arial"/>
          <w:i/>
          <w:color w:val="808080" w:themeColor="background1" w:themeShade="80"/>
          <w:sz w:val="18"/>
          <w:szCs w:val="18"/>
        </w:rPr>
        <w:t>o.c.</w:t>
      </w:r>
    </w:p>
  </w:footnote>
  <w:footnote w:id="144">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Car chaque plaideur pourra proposer des faits de nature à créer des surcotes ou décotes celles-ci étant d’abord basées sur une situation factuelle </w:t>
      </w:r>
    </w:p>
  </w:footnote>
  <w:footnote w:id="145">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SJ PRATT et NICULITA, </w:t>
      </w:r>
      <w:r w:rsidRPr="008064D7">
        <w:rPr>
          <w:rFonts w:cs="Arial"/>
          <w:i/>
          <w:color w:val="808080" w:themeColor="background1" w:themeShade="80"/>
          <w:sz w:val="18"/>
          <w:szCs w:val="18"/>
        </w:rPr>
        <w:t xml:space="preserve">o.c., </w:t>
      </w:r>
      <w:r w:rsidRPr="008064D7">
        <w:rPr>
          <w:rFonts w:cs="Arial"/>
          <w:color w:val="808080" w:themeColor="background1" w:themeShade="80"/>
          <w:sz w:val="18"/>
          <w:szCs w:val="18"/>
        </w:rPr>
        <w:t>p 431</w:t>
      </w:r>
    </w:p>
  </w:footnote>
  <w:footnote w:id="146">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WL SILBER Discounts of restricted stock The impact of illiquidity on stock price Financial Analyst Journal 1991 47(4) 60-64</w:t>
      </w:r>
    </w:p>
  </w:footnote>
  <w:footnote w:id="147">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KH WRUCK, “Equity ownership concentration and firm value”, Journal of Financial Economicw23(1) 3-28 sur internet </w:t>
      </w:r>
    </w:p>
  </w:footnote>
  <w:footnote w:id="148">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M. HERTZEL et RL SMITH, “Market discount and shareholders gains for placing equity privately” </w:t>
      </w:r>
      <w:r w:rsidRPr="008064D7">
        <w:rPr>
          <w:rFonts w:cs="Arial"/>
          <w:i/>
          <w:color w:val="808080" w:themeColor="background1" w:themeShade="80"/>
          <w:sz w:val="18"/>
          <w:szCs w:val="18"/>
          <w:lang w:val="en-US"/>
        </w:rPr>
        <w:t>Journal of Finance</w:t>
      </w:r>
      <w:r w:rsidRPr="008064D7">
        <w:rPr>
          <w:rFonts w:cs="Arial"/>
          <w:color w:val="808080" w:themeColor="background1" w:themeShade="80"/>
          <w:sz w:val="18"/>
          <w:szCs w:val="18"/>
          <w:lang w:val="en-US"/>
        </w:rPr>
        <w:t xml:space="preserve"> 48 (2) 459-485</w:t>
      </w:r>
    </w:p>
  </w:footnote>
  <w:footnote w:id="149">
    <w:p w:rsidR="009D49E2" w:rsidRPr="008064D7" w:rsidRDefault="009D49E2" w:rsidP="008D4C0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M. BAJAJ, D. DENIS et A. SARIN, “Firm value and markability discounts journal of incorporation law”, 27(1) p 109, en ligne.</w:t>
      </w:r>
    </w:p>
  </w:footnote>
  <w:footnote w:id="150">
    <w:p w:rsidR="009D49E2" w:rsidRPr="008064D7" w:rsidRDefault="009D49E2" w:rsidP="001A2DFB">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 </w:t>
      </w:r>
      <w:r w:rsidRPr="008064D7">
        <w:rPr>
          <w:rFonts w:cs="Arial"/>
          <w:i/>
          <w:color w:val="808080" w:themeColor="background1" w:themeShade="80"/>
          <w:sz w:val="18"/>
          <w:szCs w:val="18"/>
        </w:rPr>
        <w:t>Josée St-Pierre, Moujib bahri »</w:t>
      </w:r>
      <w:r w:rsidRPr="008064D7">
        <w:rPr>
          <w:rFonts w:cs="Arial"/>
          <w:color w:val="808080" w:themeColor="background1" w:themeShade="80"/>
          <w:sz w:val="18"/>
          <w:szCs w:val="18"/>
        </w:rPr>
        <w:t xml:space="preserve"> - Relation entre la prime de risque bancaire des PME et les composantes de leur risque global, Hal, archives ouvertes sur internet, Id : hal-01703304, février 2018.</w:t>
      </w:r>
    </w:p>
  </w:footnote>
  <w:footnote w:id="151">
    <w:p w:rsidR="009D49E2" w:rsidRPr="008064D7" w:rsidRDefault="009D49E2" w:rsidP="001A2DFB">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 CARPENTIER et J-M. SURET,, « </w:t>
      </w:r>
      <w:r w:rsidRPr="008064D7">
        <w:rPr>
          <w:rFonts w:cs="Arial"/>
          <w:i/>
          <w:color w:val="808080" w:themeColor="background1" w:themeShade="80"/>
          <w:sz w:val="18"/>
          <w:szCs w:val="18"/>
        </w:rPr>
        <w:t>Le coût du capital entrepreneurial »</w:t>
      </w:r>
      <w:r w:rsidRPr="008064D7">
        <w:rPr>
          <w:rFonts w:cs="Arial"/>
          <w:color w:val="808080" w:themeColor="background1" w:themeShade="80"/>
          <w:sz w:val="18"/>
          <w:szCs w:val="18"/>
        </w:rPr>
        <w:t>, Revue internationale des PME volume 24 N°03-4, 2011, pg. 103-136</w:t>
      </w:r>
    </w:p>
  </w:footnote>
  <w:footnote w:id="152">
    <w:p w:rsidR="009D49E2" w:rsidRPr="008064D7" w:rsidRDefault="009D49E2" w:rsidP="001A2DFB">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Demoduran, « </w:t>
      </w:r>
      <w:r w:rsidRPr="008064D7">
        <w:rPr>
          <w:rFonts w:cs="Arial"/>
          <w:i/>
          <w:color w:val="808080" w:themeColor="background1" w:themeShade="80"/>
          <w:sz w:val="18"/>
          <w:szCs w:val="18"/>
          <w:lang w:val="en-US"/>
        </w:rPr>
        <w:t>What is the risfree rate ? a search for the basing Building block</w:t>
      </w:r>
      <w:r w:rsidRPr="008064D7">
        <w:rPr>
          <w:rFonts w:cs="Arial"/>
          <w:color w:val="808080" w:themeColor="background1" w:themeShade="80"/>
          <w:sz w:val="18"/>
          <w:szCs w:val="18"/>
          <w:lang w:val="en-US"/>
        </w:rPr>
        <w:t>” SSRN working paper.</w:t>
      </w:r>
    </w:p>
  </w:footnote>
  <w:footnote w:id="153">
    <w:p w:rsidR="009D49E2" w:rsidRPr="008064D7" w:rsidRDefault="009D49E2" w:rsidP="001A2DFB">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PRATT et GRABROWSKI : « </w:t>
      </w:r>
      <w:r w:rsidRPr="008064D7">
        <w:rPr>
          <w:rFonts w:cs="Arial"/>
          <w:i/>
          <w:color w:val="808080" w:themeColor="background1" w:themeShade="80"/>
          <w:sz w:val="18"/>
          <w:szCs w:val="18"/>
          <w:lang w:val="en-US"/>
        </w:rPr>
        <w:t>Cost of capital : application and examples Hoboken »</w:t>
      </w:r>
      <w:r w:rsidRPr="008064D7">
        <w:rPr>
          <w:rFonts w:cs="Arial"/>
          <w:color w:val="808080" w:themeColor="background1" w:themeShade="80"/>
          <w:sz w:val="18"/>
          <w:szCs w:val="18"/>
          <w:lang w:val="en-US"/>
        </w:rPr>
        <w:t>, New-Jersey, John Willy &amp; Sons.</w:t>
      </w:r>
    </w:p>
  </w:footnote>
  <w:footnote w:id="154">
    <w:p w:rsidR="009D49E2" w:rsidRPr="008064D7" w:rsidRDefault="009D49E2" w:rsidP="001A2DFB">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Riding AL, « </w:t>
      </w:r>
      <w:r w:rsidRPr="008064D7">
        <w:rPr>
          <w:rFonts w:cs="Arial"/>
          <w:i/>
          <w:color w:val="808080" w:themeColor="background1" w:themeShade="80"/>
          <w:sz w:val="18"/>
          <w:szCs w:val="18"/>
          <w:lang w:val="en-US"/>
        </w:rPr>
        <w:t>Business angels and Love money mentors »</w:t>
      </w:r>
      <w:r w:rsidRPr="008064D7">
        <w:rPr>
          <w:rFonts w:cs="Arial"/>
          <w:color w:val="808080" w:themeColor="background1" w:themeShade="80"/>
          <w:sz w:val="18"/>
          <w:szCs w:val="18"/>
          <w:lang w:val="en-US"/>
        </w:rPr>
        <w:t>, An international Journal of Entrepreneurial finance vol. 10, N°4, pg. 355-369</w:t>
      </w:r>
    </w:p>
  </w:footnote>
  <w:footnote w:id="155">
    <w:p w:rsidR="009D49E2" w:rsidRPr="008064D7" w:rsidRDefault="009D49E2" w:rsidP="001A2DFB">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PRATT et GRABROWSKI : « </w:t>
      </w:r>
      <w:r w:rsidRPr="008064D7">
        <w:rPr>
          <w:rFonts w:cs="Arial"/>
          <w:i/>
          <w:color w:val="808080" w:themeColor="background1" w:themeShade="80"/>
          <w:sz w:val="18"/>
          <w:szCs w:val="18"/>
          <w:lang w:val="en-US"/>
        </w:rPr>
        <w:t>Cost of capital : application and examples Hoboken »</w:t>
      </w:r>
      <w:r w:rsidRPr="008064D7">
        <w:rPr>
          <w:rFonts w:cs="Arial"/>
          <w:color w:val="808080" w:themeColor="background1" w:themeShade="80"/>
          <w:sz w:val="18"/>
          <w:szCs w:val="18"/>
          <w:lang w:val="en-US"/>
        </w:rPr>
        <w:t>, New-Jersey, John Willy &amp; Sons.</w:t>
      </w:r>
    </w:p>
  </w:footnote>
  <w:footnote w:id="156">
    <w:p w:rsidR="009D49E2" w:rsidRPr="008064D7" w:rsidRDefault="009D49E2" w:rsidP="001A2DFB">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Grabrowski (2010), Risk premium Report, Duff &amp; Phep</w:t>
      </w:r>
    </w:p>
  </w:footnote>
  <w:footnote w:id="157">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Cass. 28 avril 2014, C.13.0007F/18, Pas. 2014/4, pg 997-1007</w:t>
      </w:r>
    </w:p>
  </w:footnote>
  <w:footnote w:id="158">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Cass. 15 décembre 2017, Pas. 2017/12, pg 2470</w:t>
      </w:r>
    </w:p>
  </w:footnote>
  <w:footnote w:id="15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Cass. 30 novembre 2017, C.060563F/18</w:t>
      </w:r>
    </w:p>
  </w:footnote>
  <w:footnote w:id="16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Cour d’appel de Bruxelles, arrêt N° F-20120628-18 (2011/RG/166)</w:t>
      </w:r>
    </w:p>
  </w:footnote>
  <w:footnote w:id="16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Watero, 122 bankruptcy 298 (WD Texas 1990).</w:t>
      </w:r>
    </w:p>
  </w:footnote>
  <w:footnote w:id="16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 BUSSELS, </w:t>
      </w:r>
      <w:r w:rsidRPr="008064D7">
        <w:rPr>
          <w:rFonts w:cs="Arial"/>
          <w:i/>
          <w:color w:val="808080" w:themeColor="background1" w:themeShade="80"/>
          <w:sz w:val="18"/>
          <w:szCs w:val="18"/>
          <w:lang w:val="en-US"/>
        </w:rPr>
        <w:t>A third way : Examiners as inquisitors</w:t>
      </w:r>
      <w:r w:rsidRPr="008064D7">
        <w:rPr>
          <w:rFonts w:cs="Arial"/>
          <w:color w:val="808080" w:themeColor="background1" w:themeShade="80"/>
          <w:sz w:val="18"/>
          <w:szCs w:val="18"/>
          <w:lang w:val="en-US"/>
        </w:rPr>
        <w:t>, 90 AM Bankruptcy L.J.29 52016°.</w:t>
      </w:r>
    </w:p>
  </w:footnote>
  <w:footnote w:id="163">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11 USL §1185 (a) (1).</w:t>
      </w:r>
    </w:p>
  </w:footnote>
  <w:footnote w:id="164">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Christopher Sontchi, « </w:t>
      </w:r>
      <w:r w:rsidRPr="00936DB9">
        <w:rPr>
          <w:rFonts w:cs="Arial"/>
          <w:i/>
          <w:color w:val="808080" w:themeColor="background1" w:themeShade="80"/>
          <w:sz w:val="18"/>
          <w:szCs w:val="18"/>
          <w:lang w:val="en-US"/>
        </w:rPr>
        <w:t>Valuation méthodologies : a judge’s vieuw, AB car review, vol 2, 1 pg 48</w:t>
      </w:r>
    </w:p>
  </w:footnote>
  <w:footnote w:id="165">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Christopher Sontchi, « </w:t>
      </w:r>
      <w:r w:rsidRPr="00936DB9">
        <w:rPr>
          <w:rFonts w:cs="Arial"/>
          <w:i/>
          <w:color w:val="808080" w:themeColor="background1" w:themeShade="80"/>
          <w:sz w:val="18"/>
          <w:szCs w:val="18"/>
          <w:lang w:val="en-US"/>
        </w:rPr>
        <w:t>Valuation méthodologies : a judge’s vieuw, AB car review, vol 2, 1 pg 1.</w:t>
      </w:r>
      <w:r w:rsidRPr="00936DB9">
        <w:rPr>
          <w:rFonts w:cs="Arial"/>
          <w:color w:val="808080" w:themeColor="background1" w:themeShade="80"/>
          <w:sz w:val="18"/>
          <w:szCs w:val="18"/>
          <w:lang w:val="en-US"/>
        </w:rPr>
        <w:t xml:space="preserve"> pg 52</w:t>
      </w:r>
    </w:p>
  </w:footnote>
  <w:footnote w:id="166">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Christopher Sontchi, « </w:t>
      </w:r>
      <w:r w:rsidRPr="008064D7">
        <w:rPr>
          <w:rFonts w:cs="Arial"/>
          <w:i/>
          <w:color w:val="808080" w:themeColor="background1" w:themeShade="80"/>
          <w:sz w:val="18"/>
          <w:szCs w:val="18"/>
        </w:rPr>
        <w:t>Valuation méthodologies : a judge’s vieuw, AB car review, vol 2, 1 pg 1.</w:t>
      </w:r>
      <w:r w:rsidRPr="008064D7">
        <w:rPr>
          <w:rFonts w:cs="Arial"/>
          <w:color w:val="808080" w:themeColor="background1" w:themeShade="80"/>
          <w:sz w:val="18"/>
          <w:szCs w:val="18"/>
        </w:rPr>
        <w:t xml:space="preserve"> pg 54</w:t>
      </w:r>
    </w:p>
  </w:footnote>
  <w:footnote w:id="167">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Valuation : pg 71, par exemple : E-II holding : valeur proposée par le plan 824 millions $, valeur proposée par les créanciers 1,345 millions $. Le juge a retenu 940 millions. Dans National Bigprun cité : plan proposé 200 millions, créancier 1 milliard, juge 464 millions.</w:t>
      </w:r>
    </w:p>
  </w:footnote>
  <w:footnote w:id="168">
    <w:p w:rsidR="009D49E2" w:rsidRPr="008064D7" w:rsidRDefault="009D49E2">
      <w:pPr>
        <w:pStyle w:val="Notedebasdepage"/>
        <w:rPr>
          <w:rFonts w:cs="Arial"/>
          <w:i/>
          <w:color w:val="808080" w:themeColor="background1" w:themeShade="80"/>
          <w:sz w:val="18"/>
          <w:szCs w:val="18"/>
          <w:u w:val="single"/>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Christopher Sontchi, « </w:t>
      </w:r>
      <w:r w:rsidRPr="008064D7">
        <w:rPr>
          <w:rFonts w:cs="Arial"/>
          <w:i/>
          <w:color w:val="808080" w:themeColor="background1" w:themeShade="80"/>
          <w:sz w:val="18"/>
          <w:szCs w:val="18"/>
        </w:rPr>
        <w:t>Valuation méthodologies : a judge’s vieuw, AB car review, vol 2, 1 pg 1.</w:t>
      </w:r>
    </w:p>
  </w:footnote>
  <w:footnote w:id="16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Christopher Sontchi, « </w:t>
      </w:r>
      <w:r w:rsidRPr="008064D7">
        <w:rPr>
          <w:rFonts w:cs="Arial"/>
          <w:i/>
          <w:color w:val="808080" w:themeColor="background1" w:themeShade="80"/>
          <w:sz w:val="18"/>
          <w:szCs w:val="18"/>
        </w:rPr>
        <w:t xml:space="preserve">Valuation méthodologies : a judge’s view, AB car review, vol 2, 1 pg 1. </w:t>
      </w:r>
    </w:p>
  </w:footnote>
  <w:footnote w:id="17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Recopier référence Ayotte p. 98</w:t>
      </w:r>
    </w:p>
  </w:footnote>
  <w:footnote w:id="171">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Sur laquelle nous revenons ci-après.</w:t>
      </w:r>
    </w:p>
  </w:footnote>
  <w:footnote w:id="17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Exide Technologies, 303 BR, 48 (D. Del. 2003).</w:t>
      </w:r>
    </w:p>
  </w:footnote>
  <w:footnote w:id="17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Mirant, 334 BR 800 (Bankr. N.D. Texas 2005).</w:t>
      </w:r>
    </w:p>
  </w:footnote>
  <w:footnote w:id="17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 GILSON, E. HOTCHKISS et R. RABACH, « Valuation of Bankruptcy firms », </w:t>
      </w:r>
      <w:r w:rsidRPr="008064D7">
        <w:rPr>
          <w:rFonts w:cs="Arial"/>
          <w:i/>
          <w:color w:val="808080" w:themeColor="background1" w:themeShade="80"/>
          <w:sz w:val="18"/>
          <w:szCs w:val="18"/>
          <w:lang w:val="en-US"/>
        </w:rPr>
        <w:t>Oxford Journal</w:t>
      </w:r>
      <w:r w:rsidRPr="008064D7">
        <w:rPr>
          <w:rFonts w:cs="Arial"/>
          <w:color w:val="808080" w:themeColor="background1" w:themeShade="80"/>
          <w:sz w:val="18"/>
          <w:szCs w:val="18"/>
          <w:lang w:val="en-US"/>
        </w:rPr>
        <w:t>, review of financial studies, vol. 13, N°1, été 2000, pg 43-74</w:t>
      </w:r>
    </w:p>
  </w:footnote>
  <w:footnote w:id="175">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1129 (b) (2)</w:t>
      </w:r>
    </w:p>
  </w:footnote>
  <w:footnote w:id="176">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 GILSON, E. HOTCHKISS et R. RABACH, « Valuation of Bankruptcy firms », </w:t>
      </w:r>
      <w:r w:rsidRPr="008064D7">
        <w:rPr>
          <w:rFonts w:cs="Arial"/>
          <w:i/>
          <w:color w:val="808080" w:themeColor="background1" w:themeShade="80"/>
          <w:sz w:val="18"/>
          <w:szCs w:val="18"/>
          <w:lang w:val="en-US"/>
        </w:rPr>
        <w:t>Oxford Journal</w:t>
      </w:r>
      <w:r w:rsidRPr="008064D7">
        <w:rPr>
          <w:rFonts w:cs="Arial"/>
          <w:color w:val="808080" w:themeColor="background1" w:themeShade="80"/>
          <w:sz w:val="18"/>
          <w:szCs w:val="18"/>
          <w:lang w:val="en-US"/>
        </w:rPr>
        <w:t>, review of financial studies, vol. 13, N°1, été 2000, pg 43-74</w:t>
      </w:r>
    </w:p>
  </w:footnote>
  <w:footnote w:id="177">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Dans l’affaire National Gypsum, les créanciers séniors évaluaient l’entreprise à 182 millions et les juniors à 1 milliard.</w:t>
      </w:r>
    </w:p>
  </w:footnote>
  <w:footnote w:id="178">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D. LOURDER DICH, “Valuation in Chapter 11 Bankruptcy : the charger of an implicit market test”, Seattle university, 2017, L. Rev.1487 (2017), pg 1487 et suivantes.</w:t>
      </w:r>
    </w:p>
  </w:footnote>
  <w:footnote w:id="17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C’est ce test qui a été mis en œuvre dans le prépack Pain Quotidien.</w:t>
      </w:r>
    </w:p>
  </w:footnote>
  <w:footnote w:id="180">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A S. TRAST, “Bankrupty as a Fish Bowl of Disclosure”, </w:t>
      </w:r>
      <w:r w:rsidRPr="008064D7">
        <w:rPr>
          <w:rFonts w:cs="Arial"/>
          <w:i/>
          <w:color w:val="808080" w:themeColor="background1" w:themeShade="80"/>
          <w:sz w:val="18"/>
          <w:szCs w:val="18"/>
          <w:lang w:val="en-US"/>
        </w:rPr>
        <w:t>A Bankruptcy inst</w:t>
      </w:r>
      <w:r w:rsidRPr="008064D7">
        <w:rPr>
          <w:rFonts w:cs="Arial"/>
          <w:color w:val="808080" w:themeColor="background1" w:themeShade="80"/>
          <w:sz w:val="18"/>
          <w:szCs w:val="18"/>
          <w:lang w:val="en-US"/>
        </w:rPr>
        <w:t>. Mar 2010, 48</w:t>
      </w:r>
    </w:p>
  </w:footnote>
  <w:footnote w:id="18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K. SHURFMAN, </w:t>
      </w:r>
      <w:r w:rsidRPr="008064D7">
        <w:rPr>
          <w:rFonts w:cs="Arial"/>
          <w:i/>
          <w:color w:val="808080" w:themeColor="background1" w:themeShade="80"/>
          <w:sz w:val="18"/>
          <w:szCs w:val="18"/>
          <w:lang w:val="en-US"/>
        </w:rPr>
        <w:t>Judicial Valuation Behaviour : some evidence from Bankruptcy</w:t>
      </w:r>
      <w:r w:rsidRPr="008064D7">
        <w:rPr>
          <w:rFonts w:cs="Arial"/>
          <w:color w:val="808080" w:themeColor="background1" w:themeShade="80"/>
          <w:sz w:val="18"/>
          <w:szCs w:val="18"/>
          <w:lang w:val="en-US"/>
        </w:rPr>
        <w:t xml:space="preserve"> 32 FLA, L. Rew 387 (2005).</w:t>
      </w:r>
    </w:p>
  </w:footnote>
  <w:footnote w:id="18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Allied Newda Gold Corp., N°15.10503, B. D.Bu mars 10 (2015)</w:t>
      </w:r>
    </w:p>
  </w:footnote>
  <w:footnote w:id="18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Boyer V Crown Stock Distribution, 587 F.3d.787.794. 7th cir 2009</w:t>
      </w:r>
    </w:p>
  </w:footnote>
  <w:footnote w:id="18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Mellon Bank V Metro Communication, 945 F.2d.635, 647 (3</w:t>
      </w:r>
      <w:r w:rsidRPr="008064D7">
        <w:rPr>
          <w:rFonts w:cs="Arial"/>
          <w:color w:val="808080" w:themeColor="background1" w:themeShade="80"/>
          <w:sz w:val="18"/>
          <w:szCs w:val="18"/>
          <w:vertAlign w:val="superscript"/>
          <w:lang w:val="en-US"/>
        </w:rPr>
        <w:t>ème</w:t>
      </w:r>
      <w:r w:rsidRPr="008064D7">
        <w:rPr>
          <w:rFonts w:cs="Arial"/>
          <w:color w:val="808080" w:themeColor="background1" w:themeShade="80"/>
          <w:sz w:val="18"/>
          <w:szCs w:val="18"/>
          <w:lang w:val="en-US"/>
        </w:rPr>
        <w:t xml:space="preserve">  circ 1991).</w:t>
      </w:r>
    </w:p>
  </w:footnote>
  <w:footnote w:id="185">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USL </w:t>
      </w:r>
    </w:p>
  </w:footnote>
  <w:footnote w:id="186">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usc § 1129 (a) (7)</w:t>
      </w:r>
    </w:p>
  </w:footnote>
  <w:footnote w:id="187">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Dans l’affaire Revco le juge avait évalué la valeur sur base d’une vente à 9 mois.</w:t>
      </w:r>
    </w:p>
  </w:footnote>
  <w:footnote w:id="188">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 ZENNER : « </w:t>
      </w:r>
      <w:r w:rsidRPr="008064D7">
        <w:rPr>
          <w:rFonts w:cs="Arial"/>
          <w:i/>
          <w:color w:val="808080" w:themeColor="background1" w:themeShade="80"/>
          <w:sz w:val="18"/>
          <w:szCs w:val="18"/>
        </w:rPr>
        <w:t>Traité du droit de l’insolvabilité »</w:t>
      </w:r>
      <w:r w:rsidRPr="008064D7">
        <w:rPr>
          <w:rFonts w:cs="Arial"/>
          <w:color w:val="808080" w:themeColor="background1" w:themeShade="80"/>
          <w:sz w:val="18"/>
          <w:szCs w:val="18"/>
        </w:rPr>
        <w:t>, Anthemis, 2020, p 793.</w:t>
      </w:r>
    </w:p>
  </w:footnote>
  <w:footnote w:id="189">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CA Mons </w:t>
      </w:r>
    </w:p>
  </w:footnote>
  <w:footnote w:id="190">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 qui a permis dans le cas de l’affaire WOW d’obtenir en quelques jours et dans le cadre d’une faillite un prix très intéressant d’une entreprise qui vendue en faillite n’aurait plus eu de valeur en raison du départ de ces travailleurs.</w:t>
      </w:r>
    </w:p>
  </w:footnote>
  <w:footnote w:id="191">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Gand, 31 janvier 2005, RW 2006/9 – 2007, pg 408</w:t>
      </w:r>
    </w:p>
  </w:footnote>
  <w:footnote w:id="192">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Rapport Doc parl ch Sess 1995-1996, N°329/17, pg 95</w:t>
      </w:r>
    </w:p>
  </w:footnote>
  <w:footnote w:id="193">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Mons, 20 novembre 2007 cité par ZENNER, pg 793</w:t>
      </w:r>
    </w:p>
  </w:footnote>
  <w:footnote w:id="194">
    <w:p w:rsidR="009D49E2" w:rsidRPr="00A70B3F" w:rsidRDefault="009D49E2" w:rsidP="004F5442">
      <w:pPr>
        <w:pStyle w:val="Notedebasdepage"/>
        <w:rPr>
          <w:rFonts w:cs="Arial"/>
          <w:color w:val="808080" w:themeColor="background1" w:themeShade="80"/>
          <w:sz w:val="18"/>
          <w:szCs w:val="18"/>
          <w:lang w:val="nl-BE"/>
        </w:rPr>
      </w:pPr>
      <w:r w:rsidRPr="008064D7">
        <w:rPr>
          <w:rStyle w:val="Appelnotedebasdep"/>
          <w:rFonts w:cs="Arial"/>
          <w:color w:val="808080" w:themeColor="background1" w:themeShade="80"/>
          <w:sz w:val="18"/>
          <w:szCs w:val="18"/>
        </w:rPr>
        <w:footnoteRef/>
      </w:r>
      <w:r w:rsidRPr="00A70B3F">
        <w:rPr>
          <w:rFonts w:cs="Arial"/>
          <w:color w:val="808080" w:themeColor="background1" w:themeShade="80"/>
          <w:sz w:val="18"/>
          <w:szCs w:val="18"/>
          <w:lang w:val="nl-BE"/>
        </w:rPr>
        <w:t xml:space="preserve"> TE Namur, en cause de WOW.</w:t>
      </w:r>
    </w:p>
  </w:footnote>
  <w:footnote w:id="195">
    <w:p w:rsidR="009D49E2" w:rsidRPr="008064D7" w:rsidRDefault="009D49E2" w:rsidP="004F5442">
      <w:pPr>
        <w:pStyle w:val="Notedebasdepage"/>
        <w:rPr>
          <w:rFonts w:cs="Arial"/>
          <w:color w:val="808080" w:themeColor="background1" w:themeShade="80"/>
          <w:sz w:val="18"/>
          <w:szCs w:val="18"/>
          <w:lang w:val="nl-BE"/>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nl-BE"/>
        </w:rPr>
        <w:t xml:space="preserve"> A. ZENNER, op cit., pg 804</w:t>
      </w:r>
    </w:p>
  </w:footnote>
  <w:footnote w:id="196">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Com. Brux., 22 octobre 2014, inédit, RG N°A/14/10163 (PRJ Mer du Nord)</w:t>
      </w:r>
    </w:p>
    <w:p w:rsidR="009D49E2" w:rsidRPr="008064D7" w:rsidRDefault="009D49E2" w:rsidP="004F5442">
      <w:pPr>
        <w:pStyle w:val="Notedebasdepage"/>
        <w:rPr>
          <w:rFonts w:cs="Arial"/>
          <w:color w:val="808080" w:themeColor="background1" w:themeShade="80"/>
          <w:sz w:val="18"/>
          <w:szCs w:val="18"/>
        </w:rPr>
      </w:pPr>
      <w:r w:rsidRPr="008064D7">
        <w:rPr>
          <w:rFonts w:cs="Arial"/>
          <w:color w:val="808080" w:themeColor="background1" w:themeShade="80"/>
          <w:sz w:val="18"/>
          <w:szCs w:val="18"/>
        </w:rPr>
        <w:t xml:space="preserve">    Com. Tournai., 23 juin 2014, inédit, RG N°A/14/00432</w:t>
      </w:r>
    </w:p>
    <w:p w:rsidR="009D49E2" w:rsidRPr="008064D7" w:rsidRDefault="009D49E2" w:rsidP="004F5442">
      <w:pPr>
        <w:pStyle w:val="Notedebasdepage"/>
        <w:rPr>
          <w:rFonts w:cs="Arial"/>
          <w:color w:val="808080" w:themeColor="background1" w:themeShade="80"/>
          <w:sz w:val="18"/>
          <w:szCs w:val="18"/>
        </w:rPr>
      </w:pPr>
      <w:r w:rsidRPr="008064D7">
        <w:rPr>
          <w:rFonts w:cs="Arial"/>
          <w:color w:val="808080" w:themeColor="background1" w:themeShade="80"/>
          <w:sz w:val="18"/>
          <w:szCs w:val="18"/>
        </w:rPr>
        <w:t xml:space="preserve">    Com. Liège, 2 mai 2014, inédit, RG N° B/14/20, PRJ canal Duchatelet</w:t>
      </w:r>
    </w:p>
  </w:footnote>
  <w:footnote w:id="197">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 ZENNER, Ph. LEBEAU et C. ALTER, la loi relative à la continuité des entreprises à l’épreuve de sa première pratique, pg 195, N°134</w:t>
      </w:r>
    </w:p>
  </w:footnote>
  <w:footnote w:id="198">
    <w:p w:rsidR="009D49E2" w:rsidRPr="008064D7" w:rsidRDefault="009D49E2" w:rsidP="004F544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Doc. Parl, Ch. Repr., sess 2012-2013, N°53-2692/001, p 30</w:t>
      </w:r>
    </w:p>
  </w:footnote>
  <w:footnote w:id="199">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Com. Bruges, 22 mars 2010, RW 2010-2011, p 680</w:t>
      </w:r>
    </w:p>
  </w:footnote>
  <w:footnote w:id="200">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Com. Anvers, 30 décembre 2011, RDC 2012, p 514</w:t>
      </w:r>
    </w:p>
  </w:footnote>
  <w:footnote w:id="201">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Considérant 52.</w:t>
      </w:r>
    </w:p>
  </w:footnote>
  <w:footnote w:id="202">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Article 10.3.</w:t>
      </w:r>
    </w:p>
  </w:footnote>
  <w:footnote w:id="203">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Du test américain de la « </w:t>
      </w:r>
      <w:r w:rsidRPr="008064D7">
        <w:rPr>
          <w:rFonts w:cs="Arial"/>
          <w:i/>
          <w:color w:val="808080" w:themeColor="background1" w:themeShade="80"/>
          <w:sz w:val="18"/>
          <w:szCs w:val="18"/>
        </w:rPr>
        <w:t>faisabilité »</w:t>
      </w:r>
      <w:r w:rsidRPr="008064D7">
        <w:rPr>
          <w:rFonts w:cs="Arial"/>
          <w:color w:val="808080" w:themeColor="background1" w:themeShade="80"/>
          <w:sz w:val="18"/>
          <w:szCs w:val="18"/>
        </w:rPr>
        <w:t xml:space="preserve"> visée par l’USBL.</w:t>
      </w:r>
    </w:p>
  </w:footnote>
  <w:footnote w:id="204">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 </w:t>
      </w:r>
      <w:r w:rsidRPr="008064D7">
        <w:rPr>
          <w:rFonts w:cs="Arial"/>
          <w:smallCaps/>
          <w:color w:val="808080" w:themeColor="background1" w:themeShade="80"/>
          <w:sz w:val="18"/>
          <w:szCs w:val="18"/>
        </w:rPr>
        <w:t>A. Lienhard</w:t>
      </w:r>
      <w:r w:rsidRPr="008064D7">
        <w:rPr>
          <w:rFonts w:cs="Arial"/>
          <w:color w:val="808080" w:themeColor="background1" w:themeShade="80"/>
          <w:sz w:val="18"/>
          <w:szCs w:val="18"/>
        </w:rPr>
        <w:t xml:space="preserve">, « Code des procédures collectives », </w:t>
      </w:r>
      <w:r w:rsidRPr="008064D7">
        <w:rPr>
          <w:rFonts w:cs="Arial"/>
          <w:i/>
          <w:color w:val="808080" w:themeColor="background1" w:themeShade="80"/>
          <w:sz w:val="18"/>
          <w:szCs w:val="18"/>
        </w:rPr>
        <w:t>Dalloz</w:t>
      </w:r>
      <w:r w:rsidRPr="008064D7">
        <w:rPr>
          <w:rFonts w:cs="Arial"/>
          <w:color w:val="808080" w:themeColor="background1" w:themeShade="80"/>
          <w:sz w:val="18"/>
          <w:szCs w:val="18"/>
        </w:rPr>
        <w:t>, 16</w:t>
      </w:r>
      <w:r w:rsidRPr="008064D7">
        <w:rPr>
          <w:rFonts w:cs="Arial"/>
          <w:color w:val="808080" w:themeColor="background1" w:themeShade="80"/>
          <w:sz w:val="18"/>
          <w:szCs w:val="18"/>
          <w:vertAlign w:val="superscript"/>
        </w:rPr>
        <w:t>ème</w:t>
      </w:r>
      <w:r w:rsidRPr="008064D7">
        <w:rPr>
          <w:rFonts w:cs="Arial"/>
          <w:color w:val="808080" w:themeColor="background1" w:themeShade="80"/>
          <w:sz w:val="18"/>
          <w:szCs w:val="18"/>
        </w:rPr>
        <w:t xml:space="preserve"> éd., 2018, p. 447.</w:t>
      </w:r>
    </w:p>
  </w:footnote>
  <w:footnote w:id="205">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 </w:t>
      </w:r>
      <w:r w:rsidRPr="008064D7">
        <w:rPr>
          <w:rFonts w:cs="Arial"/>
          <w:smallCaps/>
          <w:color w:val="808080" w:themeColor="background1" w:themeShade="80"/>
          <w:sz w:val="18"/>
          <w:szCs w:val="18"/>
        </w:rPr>
        <w:t>R. Dammann</w:t>
      </w:r>
      <w:r w:rsidRPr="008064D7">
        <w:rPr>
          <w:rFonts w:cs="Arial"/>
          <w:color w:val="808080" w:themeColor="background1" w:themeShade="80"/>
          <w:sz w:val="18"/>
          <w:szCs w:val="18"/>
        </w:rPr>
        <w:t xml:space="preserve">, L’introduction des classes de créanciers dans l’optique d’une harmonisation franco-allemande des procédures d’insolvabilité, </w:t>
      </w:r>
      <w:r w:rsidRPr="008064D7">
        <w:rPr>
          <w:rFonts w:cs="Arial"/>
          <w:i/>
          <w:color w:val="808080" w:themeColor="background1" w:themeShade="80"/>
          <w:sz w:val="18"/>
          <w:szCs w:val="18"/>
        </w:rPr>
        <w:t>op. cit</w:t>
      </w:r>
      <w:r w:rsidRPr="008064D7">
        <w:rPr>
          <w:rFonts w:cs="Arial"/>
          <w:color w:val="808080" w:themeColor="background1" w:themeShade="80"/>
          <w:sz w:val="18"/>
          <w:szCs w:val="18"/>
        </w:rPr>
        <w:t xml:space="preserve">, p. 226, offrant l’exemple de la procédure de sauvegarde du groupe franco-américain CGG, où les titulaires d ’obligations convertibles en actions n’ont pas bénéficié d’un traitement qui valent à celui des porteurs d’obligations de droit new-yorkais </w:t>
      </w:r>
      <w:r w:rsidRPr="008064D7">
        <w:rPr>
          <w:rFonts w:cs="Arial"/>
          <w:i/>
          <w:color w:val="808080" w:themeColor="background1" w:themeShade="80"/>
          <w:sz w:val="18"/>
          <w:szCs w:val="18"/>
        </w:rPr>
        <w:t>high yield,</w:t>
      </w:r>
      <w:r w:rsidRPr="008064D7">
        <w:rPr>
          <w:rFonts w:cs="Arial"/>
          <w:color w:val="808080" w:themeColor="background1" w:themeShade="80"/>
          <w:sz w:val="18"/>
          <w:szCs w:val="18"/>
        </w:rPr>
        <w:t xml:space="preserve"> majoritaire au sein du comité d’obligataires. Voy. sur la même affaire, R. D</w:t>
      </w:r>
      <w:r w:rsidRPr="008064D7">
        <w:rPr>
          <w:rFonts w:cs="Arial"/>
          <w:smallCaps/>
          <w:color w:val="808080" w:themeColor="background1" w:themeShade="80"/>
          <w:sz w:val="18"/>
          <w:szCs w:val="18"/>
        </w:rPr>
        <w:t>ammann</w:t>
      </w:r>
      <w:r w:rsidRPr="008064D7">
        <w:rPr>
          <w:rFonts w:cs="Arial"/>
          <w:color w:val="808080" w:themeColor="background1" w:themeShade="80"/>
          <w:sz w:val="18"/>
          <w:szCs w:val="18"/>
        </w:rPr>
        <w:t xml:space="preserve"> et M. G</w:t>
      </w:r>
      <w:r w:rsidRPr="008064D7">
        <w:rPr>
          <w:rFonts w:cs="Arial"/>
          <w:smallCaps/>
          <w:color w:val="808080" w:themeColor="background1" w:themeShade="80"/>
          <w:sz w:val="18"/>
          <w:szCs w:val="18"/>
        </w:rPr>
        <w:t>uermonprezs</w:t>
      </w:r>
      <w:r w:rsidRPr="008064D7">
        <w:rPr>
          <w:rFonts w:cs="Arial"/>
          <w:color w:val="808080" w:themeColor="background1" w:themeShade="80"/>
          <w:sz w:val="18"/>
          <w:szCs w:val="18"/>
        </w:rPr>
        <w:t xml:space="preserve">, « Les recours contre l’organisation et les décisions des comités et assemblées de créanciers en France», </w:t>
      </w:r>
      <w:r w:rsidRPr="008064D7">
        <w:rPr>
          <w:rFonts w:cs="Arial"/>
          <w:i/>
          <w:color w:val="808080" w:themeColor="background1" w:themeShade="80"/>
          <w:sz w:val="18"/>
          <w:szCs w:val="18"/>
        </w:rPr>
        <w:t>B.J.S.</w:t>
      </w:r>
      <w:r w:rsidRPr="008064D7">
        <w:rPr>
          <w:rFonts w:cs="Arial"/>
          <w:color w:val="808080" w:themeColor="background1" w:themeShade="80"/>
          <w:sz w:val="18"/>
          <w:szCs w:val="18"/>
        </w:rPr>
        <w:t>, 2018, p.300.</w:t>
      </w:r>
    </w:p>
  </w:footnote>
  <w:footnote w:id="206">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Article 2.1. 6.</w:t>
      </w:r>
    </w:p>
  </w:footnote>
  <w:footnote w:id="207">
    <w:p w:rsidR="009D49E2" w:rsidRPr="008064D7" w:rsidRDefault="009D49E2" w:rsidP="004F544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 que la France envisage de faire par la loi pacte. Un groupe de travail a été constitué à cet effet par la Chancellerie.</w:t>
      </w:r>
    </w:p>
  </w:footnote>
  <w:footnote w:id="208">
    <w:p w:rsidR="009D49E2" w:rsidRPr="008064D7" w:rsidRDefault="009D49E2" w:rsidP="004F5442">
      <w:pPr>
        <w:pStyle w:val="Notedebasdepage"/>
        <w:rPr>
          <w:rFonts w:cs="Arial"/>
          <w:color w:val="808080" w:themeColor="background1" w:themeShade="80"/>
          <w:sz w:val="18"/>
          <w:szCs w:val="18"/>
          <w:lang w:val="en-GB"/>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Voy. .R. </w:t>
      </w:r>
      <w:r w:rsidRPr="008064D7">
        <w:rPr>
          <w:rFonts w:cs="Arial"/>
          <w:smallCaps/>
          <w:color w:val="808080" w:themeColor="background1" w:themeShade="80"/>
          <w:sz w:val="18"/>
          <w:szCs w:val="18"/>
        </w:rPr>
        <w:t xml:space="preserve">Dammann </w:t>
      </w:r>
      <w:r w:rsidRPr="008064D7">
        <w:rPr>
          <w:rFonts w:cs="Arial"/>
          <w:color w:val="808080" w:themeColor="background1" w:themeShade="80"/>
          <w:sz w:val="18"/>
          <w:szCs w:val="18"/>
        </w:rPr>
        <w:t>et</w:t>
      </w:r>
      <w:r w:rsidRPr="008064D7">
        <w:rPr>
          <w:rFonts w:cs="Arial"/>
          <w:smallCaps/>
          <w:color w:val="808080" w:themeColor="background1" w:themeShade="80"/>
          <w:sz w:val="18"/>
          <w:szCs w:val="18"/>
        </w:rPr>
        <w:t xml:space="preserve"> M. Guermonprez</w:t>
      </w:r>
      <w:r w:rsidRPr="008064D7">
        <w:rPr>
          <w:rFonts w:cs="Arial"/>
          <w:color w:val="808080" w:themeColor="background1" w:themeShade="80"/>
          <w:sz w:val="18"/>
          <w:szCs w:val="18"/>
        </w:rPr>
        <w:t xml:space="preserve">. « Pour une réforme du droit des sûretés en adéquation avec le droit des entreprises en difficulté, d’harmonisation franco-allemande », </w:t>
      </w:r>
      <w:r w:rsidRPr="008064D7">
        <w:rPr>
          <w:rFonts w:cs="Arial"/>
          <w:i/>
          <w:color w:val="808080" w:themeColor="background1" w:themeShade="80"/>
          <w:sz w:val="18"/>
          <w:szCs w:val="18"/>
        </w:rPr>
        <w:t xml:space="preserve">Rev. Proc. </w:t>
      </w:r>
      <w:r w:rsidRPr="008064D7">
        <w:rPr>
          <w:rFonts w:cs="Arial"/>
          <w:i/>
          <w:color w:val="808080" w:themeColor="background1" w:themeShade="80"/>
          <w:sz w:val="18"/>
          <w:szCs w:val="18"/>
          <w:lang w:val="en-GB"/>
        </w:rPr>
        <w:t>Coil. Juill</w:t>
      </w:r>
      <w:r w:rsidRPr="008064D7">
        <w:rPr>
          <w:rFonts w:cs="Arial"/>
          <w:color w:val="808080" w:themeColor="background1" w:themeShade="80"/>
          <w:sz w:val="18"/>
          <w:szCs w:val="18"/>
          <w:lang w:val="en-GB"/>
        </w:rPr>
        <w:t>. 2018. Dossier 23.</w:t>
      </w:r>
    </w:p>
  </w:footnote>
  <w:footnote w:id="209">
    <w:p w:rsidR="009D49E2" w:rsidRPr="008064D7" w:rsidRDefault="009D49E2" w:rsidP="004F5442">
      <w:pPr>
        <w:pStyle w:val="Notedebasdepage"/>
        <w:rPr>
          <w:rFonts w:cs="Arial"/>
          <w:i/>
          <w:color w:val="808080" w:themeColor="background1" w:themeShade="80"/>
          <w:sz w:val="18"/>
          <w:szCs w:val="18"/>
          <w:lang w:val="en-GB"/>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GB"/>
        </w:rPr>
        <w:t xml:space="preserve"> V. D. G. E</w:t>
      </w:r>
      <w:r w:rsidRPr="008064D7">
        <w:rPr>
          <w:rFonts w:cs="Arial"/>
          <w:smallCaps/>
          <w:color w:val="808080" w:themeColor="background1" w:themeShade="80"/>
          <w:sz w:val="18"/>
          <w:szCs w:val="18"/>
          <w:lang w:val="en-GB"/>
        </w:rPr>
        <w:t>pstein</w:t>
      </w:r>
      <w:r w:rsidRPr="008064D7">
        <w:rPr>
          <w:rFonts w:cs="Arial"/>
          <w:color w:val="808080" w:themeColor="background1" w:themeShade="80"/>
          <w:sz w:val="18"/>
          <w:szCs w:val="18"/>
          <w:lang w:val="en-GB"/>
        </w:rPr>
        <w:t xml:space="preserve"> et al., </w:t>
      </w:r>
      <w:r w:rsidRPr="008064D7">
        <w:rPr>
          <w:rFonts w:cs="Arial"/>
          <w:i/>
          <w:color w:val="808080" w:themeColor="background1" w:themeShade="80"/>
          <w:sz w:val="18"/>
          <w:szCs w:val="18"/>
          <w:lang w:val="en-GB"/>
        </w:rPr>
        <w:t>Bankruptcy</w:t>
      </w:r>
      <w:r w:rsidRPr="008064D7">
        <w:rPr>
          <w:rFonts w:cs="Arial"/>
          <w:color w:val="808080" w:themeColor="background1" w:themeShade="80"/>
          <w:sz w:val="18"/>
          <w:szCs w:val="18"/>
          <w:lang w:val="en-GB"/>
        </w:rPr>
        <w:t>, West Publishing Company, 1992, para. 10: « </w:t>
      </w:r>
      <w:r w:rsidRPr="008064D7">
        <w:rPr>
          <w:rFonts w:cs="Arial"/>
          <w:i/>
          <w:color w:val="808080" w:themeColor="background1" w:themeShade="80"/>
          <w:sz w:val="18"/>
          <w:szCs w:val="18"/>
          <w:lang w:val="en-GB"/>
        </w:rPr>
        <w:t>The effectiveness of the  best interest test as a mechanism to protect creditors depends in large part upon the accuracy of a debtor ‘s disclosure statement, wich estimates creditor recovery in a hypothetical liquidation ».</w:t>
      </w:r>
    </w:p>
  </w:footnote>
  <w:footnote w:id="210">
    <w:p w:rsidR="009D49E2" w:rsidRPr="008064D7" w:rsidRDefault="009D49E2" w:rsidP="004F5442">
      <w:pPr>
        <w:pStyle w:val="Notedebasdepage"/>
        <w:rPr>
          <w:rFonts w:cs="Arial"/>
          <w:color w:val="808080" w:themeColor="background1" w:themeShade="80"/>
          <w:sz w:val="18"/>
          <w:szCs w:val="18"/>
          <w:lang w:val="en-GB"/>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GB"/>
        </w:rPr>
        <w:t xml:space="preserve"> Voy. N.T</w:t>
      </w:r>
      <w:r w:rsidRPr="008064D7">
        <w:rPr>
          <w:rFonts w:cs="Arial"/>
          <w:smallCaps/>
          <w:color w:val="808080" w:themeColor="background1" w:themeShade="80"/>
          <w:sz w:val="18"/>
          <w:szCs w:val="18"/>
          <w:lang w:val="en-GB"/>
        </w:rPr>
        <w:t xml:space="preserve">ollenaars, </w:t>
      </w:r>
      <w:r w:rsidRPr="008064D7">
        <w:rPr>
          <w:rFonts w:cs="Arial"/>
          <w:color w:val="808080" w:themeColor="background1" w:themeShade="80"/>
          <w:sz w:val="18"/>
          <w:szCs w:val="18"/>
          <w:lang w:val="en-GB"/>
        </w:rPr>
        <w:t xml:space="preserve">« The European commission’s proposal for a directive on preventive restructuring proceedings. » </w:t>
      </w:r>
      <w:r w:rsidRPr="008064D7">
        <w:rPr>
          <w:rFonts w:cs="Arial"/>
          <w:i/>
          <w:color w:val="808080" w:themeColor="background1" w:themeShade="80"/>
          <w:sz w:val="18"/>
          <w:szCs w:val="18"/>
          <w:lang w:val="en-GB"/>
        </w:rPr>
        <w:t>in Insolvency Intelligence</w:t>
      </w:r>
      <w:r w:rsidRPr="008064D7">
        <w:rPr>
          <w:rFonts w:cs="Arial"/>
          <w:color w:val="808080" w:themeColor="background1" w:themeShade="80"/>
          <w:sz w:val="18"/>
          <w:szCs w:val="18"/>
          <w:lang w:val="en-GB"/>
        </w:rPr>
        <w:t>, Volume 30, n° 5.</w:t>
      </w:r>
    </w:p>
  </w:footnote>
  <w:footnote w:id="211">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Northern Pacific railway v Boyd 228 us 482 ( 1913) par exemple </w:t>
      </w:r>
    </w:p>
  </w:footnote>
  <w:footnote w:id="212">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le raport de la commission au sénat US Bakr Comm report HR doc N° 93-137  point 247 </w:t>
      </w:r>
    </w:p>
  </w:footnote>
  <w:footnote w:id="213">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t>
      </w:r>
      <w:r w:rsidRPr="00936DB9">
        <w:rPr>
          <w:rFonts w:cs="Arial"/>
          <w:color w:val="808080" w:themeColor="background1" w:themeShade="80"/>
          <w:sz w:val="18"/>
          <w:szCs w:val="18"/>
          <w:lang w:val="en-US"/>
        </w:rPr>
        <w:t>N. LASALLE St P Ship 526 US 434 1999</w:t>
      </w:r>
    </w:p>
  </w:footnote>
  <w:footnote w:id="214">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t>
      </w:r>
      <w:r w:rsidRPr="00936DB9">
        <w:rPr>
          <w:rFonts w:cs="Arial"/>
          <w:color w:val="808080" w:themeColor="background1" w:themeShade="80"/>
          <w:sz w:val="18"/>
          <w:szCs w:val="18"/>
          <w:lang w:val="en-US"/>
        </w:rPr>
        <w:t>11 usc 1129(a)(7)</w:t>
      </w:r>
    </w:p>
  </w:footnote>
  <w:footnote w:id="215">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t>
      </w:r>
      <w:r w:rsidRPr="00936DB9">
        <w:rPr>
          <w:rFonts w:cs="Arial"/>
          <w:color w:val="808080" w:themeColor="background1" w:themeShade="80"/>
          <w:sz w:val="18"/>
          <w:szCs w:val="18"/>
          <w:lang w:val="en-US"/>
        </w:rPr>
        <w:t>COLLIER on Bankruptcy 15th edit 1996 New york note 142 § 1129.03</w:t>
      </w:r>
    </w:p>
  </w:footnote>
  <w:footnote w:id="216">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t>
      </w:r>
      <w:r w:rsidRPr="00936DB9">
        <w:rPr>
          <w:rFonts w:cs="Arial"/>
          <w:color w:val="808080" w:themeColor="background1" w:themeShade="80"/>
          <w:sz w:val="18"/>
          <w:szCs w:val="18"/>
          <w:lang w:val="en-US"/>
        </w:rPr>
        <w:t xml:space="preserve">J. Hicks “ Foses gurading the Henhouse the modern best interest of creditors test in chapter 11” Nevada Law Review vol 5 p 820 </w:t>
      </w:r>
    </w:p>
  </w:footnote>
  <w:footnote w:id="217">
    <w:p w:rsidR="009D49E2" w:rsidRDefault="009D49E2">
      <w:pPr>
        <w:pStyle w:val="Notedebasdepage"/>
      </w:pPr>
      <w:r>
        <w:rPr>
          <w:rStyle w:val="Appelnotedebasdep"/>
        </w:rPr>
        <w:footnoteRef/>
      </w:r>
      <w:r>
        <w:t xml:space="preserve"> CA Liège, 22 mai 2012, inédit, 2011/RFG/517</w:t>
      </w:r>
    </w:p>
    <w:p w:rsidR="009D49E2" w:rsidRDefault="009D49E2">
      <w:pPr>
        <w:pStyle w:val="Notedebasdepage"/>
      </w:pPr>
      <w:r>
        <w:t xml:space="preserve">     CA Bruxelles, 14 novembre 2012, JT 2013, pg 121</w:t>
      </w:r>
    </w:p>
    <w:p w:rsidR="009D49E2" w:rsidRDefault="009D49E2">
      <w:pPr>
        <w:pStyle w:val="Notedebasdepage"/>
      </w:pPr>
      <w:r>
        <w:t xml:space="preserve">     Cass., 27 mars 2015, JLHB 2016, pg 1081.</w:t>
      </w:r>
    </w:p>
    <w:p w:rsidR="009D49E2" w:rsidRDefault="009D49E2">
      <w:pPr>
        <w:pStyle w:val="Notedebasdepage"/>
      </w:pPr>
      <w:r>
        <w:t xml:space="preserve">     CC, 27 avril 2017, N°47/2017 sur le site de la Cour.</w:t>
      </w:r>
    </w:p>
  </w:footnote>
  <w:footnote w:id="218">
    <w:p w:rsidR="009D49E2" w:rsidRPr="00F305FA" w:rsidRDefault="009D49E2">
      <w:pPr>
        <w:pStyle w:val="Notedebasdepage"/>
      </w:pPr>
      <w:r>
        <w:rPr>
          <w:rStyle w:val="Appelnotedebasdep"/>
        </w:rPr>
        <w:footnoteRef/>
      </w:r>
      <w:r>
        <w:t xml:space="preserve"> C. ALTER : « </w:t>
      </w:r>
      <w:r>
        <w:rPr>
          <w:i/>
        </w:rPr>
        <w:t>Le nouveau droit de l’insolvabilité »</w:t>
      </w:r>
      <w:r>
        <w:t>, Bruxelles, Larcier 2017, pg 8.</w:t>
      </w:r>
    </w:p>
  </w:footnote>
  <w:footnote w:id="219">
    <w:p w:rsidR="009D49E2" w:rsidRDefault="009D49E2">
      <w:pPr>
        <w:pStyle w:val="Notedebasdepage"/>
      </w:pPr>
      <w:r>
        <w:rPr>
          <w:rStyle w:val="Appelnotedebasdep"/>
        </w:rPr>
        <w:footnoteRef/>
      </w:r>
      <w:r>
        <w:t xml:space="preserve"> Cass., 26 février 2014, JLMB 2014/16, pg 776.</w:t>
      </w:r>
    </w:p>
  </w:footnote>
  <w:footnote w:id="220">
    <w:p w:rsidR="009D49E2" w:rsidRPr="008064D7" w:rsidRDefault="009D49E2" w:rsidP="00AB6DD0">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Ordonnance du Président du Tribunal de l’Entreprise de Mons – en cause DUROBOR.</w:t>
      </w:r>
    </w:p>
  </w:footnote>
  <w:footnote w:id="22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§1107(a) </w:t>
      </w:r>
    </w:p>
  </w:footnote>
  <w:footnote w:id="22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“Ellen Pollock Judge in campeau Units chapter 11 case says she expects to clear 2.4 billions”, Wall St J A 12 février 1990 </w:t>
      </w:r>
    </w:p>
  </w:footnote>
  <w:footnote w:id="22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G. TRIANTIS, A theory of the regulation of debtor in possession financing” Vanderbitt Law Review mai 1993 vol 46 sur internet </w:t>
      </w:r>
    </w:p>
  </w:footnote>
  <w:footnote w:id="224">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t>
      </w:r>
      <w:r w:rsidRPr="00936DB9">
        <w:rPr>
          <w:rFonts w:cs="Arial"/>
          <w:color w:val="808080" w:themeColor="background1" w:themeShade="80"/>
          <w:sz w:val="18"/>
          <w:szCs w:val="18"/>
          <w:lang w:val="en-US"/>
        </w:rPr>
        <w:t xml:space="preserve">Voir aussi B. Hanley, ” Preserving the secured creditor’s bargain in chapter 11 cramdown scenarios’,  </w:t>
      </w:r>
      <w:r w:rsidRPr="00936DB9">
        <w:rPr>
          <w:rFonts w:cs="Arial"/>
          <w:i/>
          <w:color w:val="808080" w:themeColor="background1" w:themeShade="80"/>
          <w:sz w:val="18"/>
          <w:szCs w:val="18"/>
          <w:lang w:val="en-US"/>
        </w:rPr>
        <w:t xml:space="preserve">Brooklyn journal of corporate financial &amp; commercial law </w:t>
      </w:r>
      <w:r w:rsidRPr="00936DB9">
        <w:rPr>
          <w:rFonts w:cs="Arial"/>
          <w:color w:val="808080" w:themeColor="background1" w:themeShade="80"/>
          <w:sz w:val="18"/>
          <w:szCs w:val="18"/>
          <w:lang w:val="en-US"/>
        </w:rPr>
        <w:t xml:space="preserve">2014 p 494 et ss, en ligne. </w:t>
      </w:r>
    </w:p>
  </w:footnote>
  <w:footnote w:id="225">
    <w:p w:rsidR="009D49E2" w:rsidRPr="00936DB9" w:rsidRDefault="009D49E2" w:rsidP="00093F28">
      <w:pPr>
        <w:pStyle w:val="Notedebasdepage"/>
        <w:rPr>
          <w:rFonts w:cs="Arial"/>
          <w:i/>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t>
      </w:r>
      <w:r w:rsidRPr="00936DB9">
        <w:rPr>
          <w:rFonts w:cs="Arial"/>
          <w:color w:val="808080" w:themeColor="background1" w:themeShade="80"/>
          <w:sz w:val="18"/>
          <w:szCs w:val="18"/>
          <w:lang w:val="en-US"/>
        </w:rPr>
        <w:t xml:space="preserve">Radlax Gateway hotel 132 s ct 2065 2069-70 (2012) et differents arrêts cités dans B. Hanley, </w:t>
      </w:r>
      <w:r w:rsidRPr="00936DB9">
        <w:rPr>
          <w:rFonts w:cs="Arial"/>
          <w:i/>
          <w:color w:val="808080" w:themeColor="background1" w:themeShade="80"/>
          <w:sz w:val="18"/>
          <w:szCs w:val="18"/>
          <w:lang w:val="en-US"/>
        </w:rPr>
        <w:t>o.c.</w:t>
      </w:r>
    </w:p>
  </w:footnote>
  <w:footnote w:id="226">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t>
      </w:r>
      <w:r w:rsidRPr="00936DB9">
        <w:rPr>
          <w:rFonts w:cs="Arial"/>
          <w:color w:val="808080" w:themeColor="background1" w:themeShade="80"/>
          <w:sz w:val="18"/>
          <w:szCs w:val="18"/>
          <w:lang w:val="en-US"/>
        </w:rPr>
        <w:t xml:space="preserve">E. WARREN, Banckruptcy policy 54 U chi L rev 775-781 (1987) </w:t>
      </w:r>
    </w:p>
  </w:footnote>
  <w:footnote w:id="227">
    <w:p w:rsidR="009D49E2" w:rsidRPr="008064D7" w:rsidRDefault="009D49E2" w:rsidP="00336D26">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 DASHIYA, J. KOSE, P. MANJU et G. RAMIREZ, “ Debtor in possession financing and bankruptcy resolution: empirical evidence “ in </w:t>
      </w:r>
      <w:r w:rsidRPr="008064D7">
        <w:rPr>
          <w:rFonts w:cs="Arial"/>
          <w:i/>
          <w:color w:val="808080" w:themeColor="background1" w:themeShade="80"/>
          <w:sz w:val="18"/>
          <w:szCs w:val="18"/>
          <w:lang w:val="en-US"/>
        </w:rPr>
        <w:t>Journal of financial economic</w:t>
      </w:r>
      <w:r w:rsidRPr="008064D7">
        <w:rPr>
          <w:rFonts w:cs="Arial"/>
          <w:color w:val="808080" w:themeColor="background1" w:themeShade="80"/>
          <w:sz w:val="18"/>
          <w:szCs w:val="18"/>
          <w:lang w:val="en-US"/>
        </w:rPr>
        <w:t xml:space="preserve"> 2003 p. 259-280. </w:t>
      </w:r>
    </w:p>
  </w:footnote>
  <w:footnote w:id="228">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USC § 502 (b) et 506 (b) </w:t>
      </w:r>
    </w:p>
  </w:footnote>
  <w:footnote w:id="22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11 § 363</w:t>
      </w:r>
    </w:p>
  </w:footnote>
  <w:footnote w:id="23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La notion a été étudiée par les travaux parlementaires en 1978 S REP N° 989 95 Th sess Cong 2d sess 1978 </w:t>
      </w:r>
    </w:p>
  </w:footnote>
  <w:footnote w:id="23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United sav assoc of Texas v Timbers 484, us 365,372 ( 1988) </w:t>
      </w:r>
    </w:p>
  </w:footnote>
  <w:footnote w:id="23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E. JANGER The logic and the limits of liens 2015 illinois law Review 589 </w:t>
      </w:r>
    </w:p>
  </w:footnote>
  <w:footnote w:id="233">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Winthrop old farms nurseries 50 F;3d 72 74 ( 1er circ)1995 </w:t>
      </w:r>
    </w:p>
    <w:p w:rsidR="009D49E2" w:rsidRPr="00936DB9" w:rsidRDefault="009D49E2">
      <w:pPr>
        <w:pStyle w:val="Notedebasdepage"/>
        <w:rPr>
          <w:rFonts w:cs="Arial"/>
          <w:color w:val="808080" w:themeColor="background1" w:themeShade="80"/>
          <w:sz w:val="18"/>
          <w:szCs w:val="18"/>
          <w:lang w:val="en-US"/>
        </w:rPr>
      </w:pPr>
    </w:p>
  </w:footnote>
  <w:footnote w:id="234">
    <w:p w:rsidR="009D49E2" w:rsidRPr="008064D7" w:rsidRDefault="009D49E2" w:rsidP="00F81758">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SK FOOD LP, 2011, US Dist., Lexis 76467, 29-30.</w:t>
      </w:r>
    </w:p>
  </w:footnote>
  <w:footnote w:id="235">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La Jolla Mortg Fund v rancho El Cajon Ass 18 BR 283, 289 Banckr SD Cal 1982 </w:t>
      </w:r>
    </w:p>
  </w:footnote>
  <w:footnote w:id="236">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Official com of unsecured creditors v UMB bank 501 BR 549, 592 Bankr SDNY 2013 </w:t>
      </w:r>
    </w:p>
  </w:footnote>
  <w:footnote w:id="237">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Comme l’a jugé la Cour d’appel dans l’affaire Heritage déjà citée ou dans l’arrêt de la Cour suprême RASH ( Assoc Commercial Coorp v Rash 520 US 953 ( 1997) </w:t>
      </w:r>
    </w:p>
  </w:footnote>
  <w:footnote w:id="238">
    <w:p w:rsidR="009D49E2" w:rsidRPr="008064D7" w:rsidRDefault="009D49E2" w:rsidP="00AB6DD0">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Nice 355 BR, 554, 563 (Bankr. </w:t>
      </w:r>
      <w:r w:rsidRPr="008064D7">
        <w:rPr>
          <w:rFonts w:cs="Arial"/>
          <w:color w:val="808080" w:themeColor="background1" w:themeShade="80"/>
          <w:sz w:val="18"/>
          <w:szCs w:val="18"/>
        </w:rPr>
        <w:t>N° W.va.2006)</w:t>
      </w:r>
    </w:p>
  </w:footnote>
  <w:footnote w:id="239">
    <w:p w:rsidR="009D49E2" w:rsidRPr="008064D7" w:rsidRDefault="009D49E2" w:rsidP="00AB6DD0">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In Re Delta Ressources, 54 F.3d.722-729-730 (11 cir. 1995).</w:t>
      </w:r>
    </w:p>
  </w:footnote>
  <w:footnote w:id="24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Crée en 1893  elle comptait 700 magasins et 68.000 employés </w:t>
      </w:r>
    </w:p>
  </w:footnote>
  <w:footnote w:id="241">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Sears Holding Corps case N° 18-23538 Bankr SDNY 2019 </w:t>
      </w:r>
    </w:p>
  </w:footnote>
  <w:footnote w:id="242">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In re masseti 95 Banck 360,363( ED Pa.1989 et nombreux autres référence</w:t>
      </w:r>
    </w:p>
  </w:footnote>
  <w:footnote w:id="24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 364(b) </w:t>
      </w:r>
    </w:p>
  </w:footnote>
  <w:footnote w:id="24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A. CASEY et J. MACEY, “ The hertz maneuver ( and the limits of bankruptcy law) in Blog 2020, </w:t>
      </w:r>
      <w:r w:rsidRPr="008064D7">
        <w:rPr>
          <w:rFonts w:cs="Arial"/>
          <w:i/>
          <w:color w:val="808080" w:themeColor="background1" w:themeShade="80"/>
          <w:sz w:val="18"/>
          <w:szCs w:val="18"/>
          <w:lang w:val="en-US"/>
        </w:rPr>
        <w:t>The university of chicago law review online.</w:t>
      </w:r>
    </w:p>
  </w:footnote>
  <w:footnote w:id="245">
    <w:p w:rsidR="009D49E2" w:rsidRPr="00936DB9"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rPr>
        <w:t xml:space="preserve"> 11 usc  § 364 (d) </w:t>
      </w:r>
    </w:p>
  </w:footnote>
  <w:footnote w:id="246">
    <w:p w:rsidR="009D49E2" w:rsidRPr="00936DB9"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rPr>
        <w:t xml:space="preserve"> 11 usc § 364(c ) 1</w:t>
      </w:r>
    </w:p>
  </w:footnote>
  <w:footnote w:id="247">
    <w:p w:rsidR="009D49E2" w:rsidRPr="00936DB9"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rPr>
        <w:t xml:space="preserve"> In re Vanguard diversified 31 Bank 364 366 (EDNY 1983) et de multiples références. </w:t>
      </w:r>
    </w:p>
  </w:footnote>
  <w:footnote w:id="248">
    <w:p w:rsidR="009D49E2" w:rsidRPr="008064D7" w:rsidRDefault="009D49E2" w:rsidP="00AB6DD0">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Lewitt &amp; Sons LLC, 384 BR, 630, 643-44, Bankr. S.D. Fla 2008.</w:t>
      </w:r>
    </w:p>
  </w:footnote>
  <w:footnote w:id="249">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Gallegos Research Group 193 BR 577 585 Bankr D. Colo 1995 sur base de 11 USC §361(3)</w:t>
      </w:r>
    </w:p>
  </w:footnote>
  <w:footnote w:id="250">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Saybrook mfg co 963 F 2d 1490, 1494-95 11th circuit 1992</w:t>
      </w:r>
    </w:p>
  </w:footnote>
  <w:footnote w:id="251">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Ames dep stores 115 Bank 34 ,39-40 (SDNY 1990) </w:t>
      </w:r>
    </w:p>
  </w:footnote>
  <w:footnote w:id="252">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chicago missouri and western ry 90 bankr 344 374 ND III 1988</w:t>
      </w:r>
    </w:p>
  </w:footnote>
  <w:footnote w:id="253">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Brayv Shenandoah fed Sav &amp; Loan 780 F. 2d 1085 1088 ( ‘th circuit 1986) </w:t>
      </w:r>
    </w:p>
  </w:footnote>
  <w:footnote w:id="25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Tenney village 104 br 562 Bankr D NH 1989 </w:t>
      </w:r>
    </w:p>
  </w:footnote>
  <w:footnote w:id="255">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Yellowstone Moutain club case N° 8-61570 1120008 Bakr Lexis 4062 </w:t>
      </w:r>
    </w:p>
  </w:footnote>
  <w:footnote w:id="256">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Lyondelle Chemical case 09-10023 Back SDNY 11 janvier 2009 </w:t>
      </w:r>
    </w:p>
  </w:footnote>
  <w:footnote w:id="257">
    <w:p w:rsidR="009D49E2" w:rsidRPr="008064D7" w:rsidRDefault="009D49E2" w:rsidP="00C76229">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S. DAHIYA, J. KOSE, P. MANJU et G. RAMIREZ, </w:t>
      </w:r>
      <w:r w:rsidRPr="008064D7">
        <w:rPr>
          <w:rFonts w:cs="Arial"/>
          <w:i/>
          <w:color w:val="808080" w:themeColor="background1" w:themeShade="80"/>
          <w:sz w:val="18"/>
          <w:szCs w:val="18"/>
        </w:rPr>
        <w:t xml:space="preserve">o.c., </w:t>
      </w:r>
      <w:r w:rsidRPr="008064D7">
        <w:rPr>
          <w:rFonts w:cs="Arial"/>
          <w:color w:val="808080" w:themeColor="background1" w:themeShade="80"/>
          <w:sz w:val="18"/>
          <w:szCs w:val="18"/>
        </w:rPr>
        <w:t xml:space="preserve">p. 259-280. </w:t>
      </w:r>
    </w:p>
    <w:p w:rsidR="009D49E2" w:rsidRPr="008064D7" w:rsidRDefault="009D49E2">
      <w:pPr>
        <w:pStyle w:val="Notedebasdepage"/>
        <w:rPr>
          <w:rFonts w:cs="Arial"/>
          <w:color w:val="808080" w:themeColor="background1" w:themeShade="80"/>
          <w:sz w:val="18"/>
          <w:szCs w:val="18"/>
        </w:rPr>
      </w:pPr>
    </w:p>
  </w:footnote>
  <w:footnote w:id="258">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L. BEBCHUCK et J. FRIED, “The uneasy case fort the priority of secured claims” </w:t>
      </w:r>
      <w:r w:rsidRPr="008064D7">
        <w:rPr>
          <w:rFonts w:cs="Arial"/>
          <w:i/>
          <w:color w:val="808080" w:themeColor="background1" w:themeShade="80"/>
          <w:sz w:val="18"/>
          <w:szCs w:val="18"/>
          <w:lang w:val="en-US"/>
        </w:rPr>
        <w:t>in Bankruptcy Yale law journa</w:t>
      </w:r>
      <w:r w:rsidRPr="008064D7">
        <w:rPr>
          <w:rFonts w:cs="Arial"/>
          <w:color w:val="808080" w:themeColor="background1" w:themeShade="80"/>
          <w:sz w:val="18"/>
          <w:szCs w:val="18"/>
          <w:lang w:val="en-US"/>
        </w:rPr>
        <w:t>l 1996 105, 857 891.</w:t>
      </w:r>
    </w:p>
  </w:footnote>
  <w:footnote w:id="259">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 SCHWARTZ, “The easy case for priority of secured claims in Bankruptcy”, </w:t>
      </w:r>
      <w:r w:rsidRPr="008064D7">
        <w:rPr>
          <w:rFonts w:cs="Arial"/>
          <w:i/>
          <w:color w:val="808080" w:themeColor="background1" w:themeShade="80"/>
          <w:sz w:val="18"/>
          <w:szCs w:val="18"/>
          <w:lang w:val="en-US"/>
        </w:rPr>
        <w:t>Duke law Journal</w:t>
      </w:r>
      <w:r w:rsidRPr="008064D7">
        <w:rPr>
          <w:rFonts w:cs="Arial"/>
          <w:color w:val="808080" w:themeColor="background1" w:themeShade="80"/>
          <w:sz w:val="18"/>
          <w:szCs w:val="18"/>
          <w:lang w:val="en-US"/>
        </w:rPr>
        <w:t xml:space="preserve"> 47428-489 </w:t>
      </w:r>
    </w:p>
  </w:footnote>
  <w:footnote w:id="260">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R. STULZ et J. JOHNSON, “An analysis of secured debt”, </w:t>
      </w:r>
      <w:r w:rsidRPr="008064D7">
        <w:rPr>
          <w:rFonts w:cs="Arial"/>
          <w:i/>
          <w:color w:val="808080" w:themeColor="background1" w:themeShade="80"/>
          <w:sz w:val="18"/>
          <w:szCs w:val="18"/>
          <w:lang w:val="en-US"/>
        </w:rPr>
        <w:t>Journal of financial</w:t>
      </w:r>
      <w:r w:rsidRPr="008064D7">
        <w:rPr>
          <w:rFonts w:cs="Arial"/>
          <w:color w:val="808080" w:themeColor="background1" w:themeShade="80"/>
          <w:sz w:val="18"/>
          <w:szCs w:val="18"/>
          <w:lang w:val="en-US"/>
        </w:rPr>
        <w:t xml:space="preserve"> economics 14 501-521 </w:t>
      </w:r>
    </w:p>
  </w:footnote>
  <w:footnote w:id="261">
    <w:p w:rsidR="009D49E2" w:rsidRPr="008064D7" w:rsidRDefault="009D49E2" w:rsidP="00A529D9">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Il semble que des procédures sont ouvertes à Liège notamment et viserait d’ailleurs aussi un avocat </w:t>
      </w:r>
    </w:p>
  </w:footnote>
  <w:footnote w:id="262">
    <w:p w:rsidR="009D49E2" w:rsidRPr="004F523B" w:rsidRDefault="009D49E2" w:rsidP="00A529D9">
      <w:pPr>
        <w:pStyle w:val="Notedebasdepage"/>
        <w:rPr>
          <w:rFonts w:cs="Arial"/>
          <w:color w:val="808080" w:themeColor="background1" w:themeShade="80"/>
          <w:sz w:val="18"/>
          <w:szCs w:val="18"/>
          <w:lang w:val="nl-BE"/>
        </w:rPr>
      </w:pPr>
      <w:r w:rsidRPr="008064D7">
        <w:rPr>
          <w:rStyle w:val="Appelnotedebasdep"/>
          <w:rFonts w:cs="Arial"/>
          <w:color w:val="808080" w:themeColor="background1" w:themeShade="80"/>
          <w:sz w:val="18"/>
          <w:szCs w:val="18"/>
        </w:rPr>
        <w:footnoteRef/>
      </w:r>
      <w:r w:rsidRPr="004F523B">
        <w:rPr>
          <w:rFonts w:cs="Arial"/>
          <w:color w:val="808080" w:themeColor="background1" w:themeShade="80"/>
          <w:sz w:val="18"/>
          <w:szCs w:val="18"/>
          <w:lang w:val="nl-BE"/>
        </w:rPr>
        <w:t xml:space="preserve"> I. VEROUGSTRAETE, </w:t>
      </w:r>
      <w:r w:rsidRPr="004F523B">
        <w:rPr>
          <w:rFonts w:cs="Arial"/>
          <w:i/>
          <w:color w:val="808080" w:themeColor="background1" w:themeShade="80"/>
          <w:sz w:val="18"/>
          <w:szCs w:val="18"/>
          <w:lang w:val="nl-BE"/>
        </w:rPr>
        <w:t>Manuel de l’insolvabilité de l’entreprise</w:t>
      </w:r>
      <w:r w:rsidRPr="004F523B">
        <w:rPr>
          <w:rFonts w:cs="Arial"/>
          <w:color w:val="808080" w:themeColor="background1" w:themeShade="80"/>
          <w:sz w:val="18"/>
          <w:szCs w:val="18"/>
          <w:lang w:val="nl-BE"/>
        </w:rPr>
        <w:t xml:space="preserve">, Wolters Kluwer 2020 p 1536 </w:t>
      </w:r>
    </w:p>
  </w:footnote>
  <w:footnote w:id="263">
    <w:p w:rsidR="009D49E2" w:rsidRPr="008064D7" w:rsidRDefault="009D49E2" w:rsidP="00A529D9">
      <w:pPr>
        <w:pStyle w:val="Notedebasdepage"/>
        <w:rPr>
          <w:rFonts w:cs="Arial"/>
          <w:color w:val="808080" w:themeColor="background1" w:themeShade="80"/>
          <w:sz w:val="18"/>
          <w:szCs w:val="18"/>
          <w:lang w:val="nl-BE"/>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nl-BE"/>
        </w:rPr>
        <w:t xml:space="preserve"> C VAN BUGGENHOUT “ Wet betreffende de continuïteit van de ondernemingen” </w:t>
      </w:r>
      <w:r w:rsidRPr="008064D7">
        <w:rPr>
          <w:rFonts w:cs="Arial"/>
          <w:i/>
          <w:color w:val="808080" w:themeColor="background1" w:themeShade="80"/>
          <w:sz w:val="18"/>
          <w:szCs w:val="18"/>
          <w:lang w:val="nl-BE"/>
        </w:rPr>
        <w:t>Ad Rem</w:t>
      </w:r>
      <w:r w:rsidRPr="008064D7">
        <w:rPr>
          <w:rFonts w:cs="Arial"/>
          <w:color w:val="808080" w:themeColor="background1" w:themeShade="80"/>
          <w:sz w:val="18"/>
          <w:szCs w:val="18"/>
          <w:lang w:val="nl-BE"/>
        </w:rPr>
        <w:t xml:space="preserve"> 2011/1 p 60 </w:t>
      </w:r>
    </w:p>
  </w:footnote>
  <w:footnote w:id="264">
    <w:p w:rsidR="009D49E2" w:rsidRPr="008064D7" w:rsidRDefault="009D49E2" w:rsidP="00A529D9">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F KEFFER </w:t>
      </w:r>
      <w:r w:rsidRPr="008064D7">
        <w:rPr>
          <w:rFonts w:cs="Arial"/>
          <w:i/>
          <w:color w:val="808080" w:themeColor="background1" w:themeShade="80"/>
          <w:sz w:val="18"/>
          <w:szCs w:val="18"/>
        </w:rPr>
        <w:t>Précis de droit pénal</w:t>
      </w:r>
      <w:r w:rsidRPr="008064D7">
        <w:rPr>
          <w:rFonts w:cs="Arial"/>
          <w:color w:val="808080" w:themeColor="background1" w:themeShade="80"/>
          <w:sz w:val="18"/>
          <w:szCs w:val="18"/>
        </w:rPr>
        <w:t xml:space="preserve"> Anthemis 2008 p 56 </w:t>
      </w:r>
    </w:p>
  </w:footnote>
  <w:footnote w:id="265">
    <w:p w:rsidR="009D49E2" w:rsidRPr="008064D7" w:rsidRDefault="009D49E2" w:rsidP="00A529D9">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Cela pourrait être le cas en présence d’une créance gagée sur un actif externe, sur des créances spécifiquement gagée, d’un gage sur actions ou propriété intellectuelle sans registre où la valeur </w:t>
      </w:r>
      <w:r w:rsidRPr="008064D7">
        <w:rPr>
          <w:rFonts w:cs="Arial"/>
          <w:i/>
          <w:color w:val="808080" w:themeColor="background1" w:themeShade="80"/>
          <w:sz w:val="18"/>
          <w:szCs w:val="18"/>
        </w:rPr>
        <w:t>going concern</w:t>
      </w:r>
      <w:r w:rsidRPr="008064D7">
        <w:rPr>
          <w:rFonts w:cs="Arial"/>
          <w:color w:val="808080" w:themeColor="background1" w:themeShade="80"/>
          <w:sz w:val="18"/>
          <w:szCs w:val="18"/>
        </w:rPr>
        <w:t xml:space="preserve"> serait à établir.</w:t>
      </w:r>
    </w:p>
  </w:footnote>
  <w:footnote w:id="266">
    <w:p w:rsidR="009D49E2" w:rsidRPr="008064D7" w:rsidRDefault="009D49E2" w:rsidP="00A529D9">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Par exemple, en traitant les privilégiés au même niveau d’abattement que certains subordonnés, on accorde aux subordonnés un avantage particulier qu’ils n’auraient pas dans la faillite. </w:t>
      </w:r>
    </w:p>
  </w:footnote>
  <w:footnote w:id="267">
    <w:p w:rsidR="009D49E2" w:rsidRDefault="009D49E2">
      <w:pPr>
        <w:pStyle w:val="Notedebasdepage"/>
      </w:pPr>
      <w:r>
        <w:rPr>
          <w:rStyle w:val="Appelnotedebasdep"/>
        </w:rPr>
        <w:footnoteRef/>
      </w:r>
      <w:r>
        <w:t xml:space="preserve"> Article 16, 4°, dernier alinéa.</w:t>
      </w:r>
    </w:p>
  </w:footnote>
  <w:footnote w:id="268">
    <w:p w:rsidR="009D49E2" w:rsidRPr="008064D7" w:rsidRDefault="009D49E2" w:rsidP="00CA1CFE">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Cass., 12 mai 1985, pas, p. 1078</w:t>
      </w:r>
    </w:p>
  </w:footnote>
  <w:footnote w:id="269">
    <w:p w:rsidR="009D49E2" w:rsidRPr="008064D7" w:rsidRDefault="009D49E2" w:rsidP="00CA1CFE">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Cass., 20 octobre 2005, NJW, 2006, p. 365</w:t>
      </w:r>
    </w:p>
  </w:footnote>
  <w:footnote w:id="270">
    <w:p w:rsidR="009D49E2" w:rsidRPr="008064D7" w:rsidRDefault="009D49E2" w:rsidP="00CA1CFE">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CC, 12 février 2009, N°17/2009, considérant B9.</w:t>
      </w:r>
    </w:p>
  </w:footnote>
  <w:footnote w:id="271">
    <w:p w:rsidR="009D49E2" w:rsidRPr="008064D7" w:rsidRDefault="009D49E2" w:rsidP="00CA1CFE">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CC, 18 février 2012, N°8/2012, JT 2012/7.</w:t>
      </w:r>
    </w:p>
  </w:footnote>
  <w:footnote w:id="272">
    <w:p w:rsidR="009D49E2" w:rsidRPr="008064D7" w:rsidRDefault="009D49E2" w:rsidP="00CA1CFE">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Cass., 7 février 2013, C12.0165F pas. 2013/2</w:t>
      </w:r>
    </w:p>
  </w:footnote>
  <w:footnote w:id="273">
    <w:p w:rsidR="009D49E2" w:rsidRPr="008064D7" w:rsidRDefault="009D49E2" w:rsidP="00CA1CFE">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Cass. 13 mars 2014, C13.0468N, pas. 2014/3, p. 713</w:t>
      </w:r>
    </w:p>
  </w:footnote>
  <w:footnote w:id="274">
    <w:p w:rsidR="009D49E2" w:rsidRPr="004F523B" w:rsidRDefault="009D49E2" w:rsidP="00CA1CFE">
      <w:pPr>
        <w:pStyle w:val="Notedebasdepage"/>
        <w:rPr>
          <w:rFonts w:cs="Arial"/>
          <w:color w:val="808080" w:themeColor="background1" w:themeShade="80"/>
          <w:sz w:val="18"/>
          <w:szCs w:val="18"/>
        </w:rPr>
      </w:pPr>
      <w:r w:rsidRPr="004F523B">
        <w:rPr>
          <w:rFonts w:cs="Arial"/>
          <w:color w:val="808080" w:themeColor="background1" w:themeShade="80"/>
          <w:sz w:val="18"/>
          <w:szCs w:val="18"/>
        </w:rPr>
        <w:footnoteRef/>
      </w:r>
      <w:r w:rsidRPr="004F523B">
        <w:rPr>
          <w:rFonts w:cs="Arial"/>
          <w:color w:val="808080" w:themeColor="background1" w:themeShade="80"/>
          <w:sz w:val="18"/>
          <w:szCs w:val="18"/>
        </w:rPr>
        <w:t xml:space="preserve"> Confirmé par l’arrêt de la Cour Constitutionnelle du 6 octobre 2016.</w:t>
      </w:r>
    </w:p>
  </w:footnote>
  <w:footnote w:id="275">
    <w:p w:rsidR="009D49E2" w:rsidRPr="004F523B" w:rsidRDefault="009D49E2">
      <w:pPr>
        <w:pStyle w:val="Notedebasdepage"/>
        <w:rPr>
          <w:rFonts w:cs="Arial"/>
          <w:color w:val="808080" w:themeColor="background1" w:themeShade="80"/>
          <w:sz w:val="18"/>
          <w:szCs w:val="18"/>
        </w:rPr>
      </w:pPr>
      <w:r w:rsidRPr="004F523B">
        <w:rPr>
          <w:rFonts w:cs="Arial"/>
          <w:color w:val="808080" w:themeColor="background1" w:themeShade="80"/>
          <w:sz w:val="18"/>
          <w:szCs w:val="18"/>
        </w:rPr>
        <w:footnoteRef/>
      </w:r>
      <w:r w:rsidRPr="004F523B">
        <w:rPr>
          <w:rFonts w:cs="Arial"/>
          <w:color w:val="808080" w:themeColor="background1" w:themeShade="80"/>
          <w:sz w:val="18"/>
          <w:szCs w:val="18"/>
        </w:rPr>
        <w:t xml:space="preserve"> Mainego v Etat belge, A.232.062/AG-145, N°248.781</w:t>
      </w:r>
    </w:p>
  </w:footnote>
  <w:footnote w:id="276">
    <w:p w:rsidR="009D49E2" w:rsidRPr="008064D7" w:rsidRDefault="009D49E2" w:rsidP="00CA1CFE">
      <w:pPr>
        <w:pStyle w:val="Notedebasdepage"/>
        <w:rPr>
          <w:rFonts w:cs="Arial"/>
          <w:color w:val="808080" w:themeColor="background1" w:themeShade="80"/>
          <w:sz w:val="18"/>
          <w:szCs w:val="18"/>
        </w:rPr>
      </w:pPr>
      <w:r w:rsidRPr="004F523B">
        <w:footnoteRef/>
      </w:r>
      <w:r w:rsidRPr="008064D7">
        <w:rPr>
          <w:rFonts w:cs="Arial"/>
          <w:color w:val="808080" w:themeColor="background1" w:themeShade="80"/>
          <w:sz w:val="18"/>
          <w:szCs w:val="18"/>
        </w:rPr>
        <w:t xml:space="preserve"> X. DIEUX et J. WINDEY, « </w:t>
      </w:r>
      <w:r w:rsidRPr="008064D7">
        <w:rPr>
          <w:rFonts w:cs="Arial"/>
          <w:i/>
          <w:color w:val="808080" w:themeColor="background1" w:themeShade="80"/>
          <w:sz w:val="18"/>
          <w:szCs w:val="18"/>
        </w:rPr>
        <w:t>Nouvelles observations sur la théorie générale du concours entre créanciers à la lumière de la loi du 17 juillet 1997 sur le concordat judiciaire et de ses premières applications »</w:t>
      </w:r>
      <w:r w:rsidRPr="008064D7">
        <w:rPr>
          <w:rFonts w:cs="Arial"/>
          <w:color w:val="808080" w:themeColor="background1" w:themeShade="80"/>
          <w:sz w:val="18"/>
          <w:szCs w:val="18"/>
        </w:rPr>
        <w:t xml:space="preserve"> en hommage à P. VAN OMMESLAGHE, Bruylant 2001, p. 397</w:t>
      </w:r>
    </w:p>
  </w:footnote>
  <w:footnote w:id="277">
    <w:p w:rsidR="009D49E2" w:rsidRPr="008064D7" w:rsidRDefault="009D49E2" w:rsidP="00CA1CFE">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 ZENNER</w:t>
      </w:r>
      <w:bookmarkStart w:id="39" w:name="_GoBack"/>
      <w:bookmarkEnd w:id="39"/>
      <w:r w:rsidRPr="008064D7">
        <w:rPr>
          <w:rFonts w:cs="Arial"/>
          <w:color w:val="808080" w:themeColor="background1" w:themeShade="80"/>
          <w:sz w:val="18"/>
          <w:szCs w:val="18"/>
        </w:rPr>
        <w:t>, « </w:t>
      </w:r>
      <w:r w:rsidRPr="008064D7">
        <w:rPr>
          <w:rFonts w:cs="Arial"/>
          <w:i/>
          <w:color w:val="808080" w:themeColor="background1" w:themeShade="80"/>
          <w:sz w:val="18"/>
          <w:szCs w:val="18"/>
        </w:rPr>
        <w:t>PRJ et APC »</w:t>
      </w:r>
      <w:r w:rsidRPr="008064D7">
        <w:rPr>
          <w:rFonts w:cs="Arial"/>
          <w:color w:val="808080" w:themeColor="background1" w:themeShade="80"/>
          <w:sz w:val="18"/>
          <w:szCs w:val="18"/>
        </w:rPr>
        <w:t>, ob sous Liège, 24 mars 2011, JT 2011/23, p. 471</w:t>
      </w:r>
    </w:p>
  </w:footnote>
  <w:footnote w:id="278">
    <w:p w:rsidR="009D49E2" w:rsidRPr="008064D7" w:rsidRDefault="009D49E2" w:rsidP="009946CA">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 ZENNER, ” PRJ et QPC” Obs sous Liège 24 mars 2011 JT 2011/23 p 471/472 </w:t>
      </w:r>
    </w:p>
  </w:footnote>
  <w:footnote w:id="279">
    <w:p w:rsidR="009D49E2" w:rsidRPr="008064D7" w:rsidRDefault="009D49E2" w:rsidP="009946CA">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Anvers 6 octobre 2011 RDC p 472 </w:t>
      </w:r>
    </w:p>
  </w:footnote>
  <w:footnote w:id="280">
    <w:p w:rsidR="009D49E2" w:rsidRPr="008064D7" w:rsidRDefault="009D49E2" w:rsidP="009946CA">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 ZENNER, </w:t>
      </w:r>
      <w:r w:rsidRPr="008064D7">
        <w:rPr>
          <w:rFonts w:cs="Arial"/>
          <w:i/>
          <w:color w:val="808080" w:themeColor="background1" w:themeShade="80"/>
          <w:sz w:val="18"/>
          <w:szCs w:val="18"/>
        </w:rPr>
        <w:t>Traité du droit de l’insolvabilité</w:t>
      </w:r>
      <w:r w:rsidRPr="008064D7">
        <w:rPr>
          <w:rFonts w:cs="Arial"/>
          <w:color w:val="808080" w:themeColor="background1" w:themeShade="80"/>
          <w:sz w:val="18"/>
          <w:szCs w:val="18"/>
        </w:rPr>
        <w:t xml:space="preserve">, Anthemis 2020 page 747 </w:t>
      </w:r>
    </w:p>
  </w:footnote>
  <w:footnote w:id="281">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Worsley v Demattos 97 Eng rep 407 416 burr 467 484 </w:t>
      </w:r>
    </w:p>
  </w:footnote>
  <w:footnote w:id="282">
    <w:p w:rsidR="009D49E2" w:rsidRPr="008064D7"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Voir pour un examen en détail P Foohey” Chapter 11 reorganisation and the fair and equitable standard” Indiana University, 2012 paper 1274 sur internet et aussi D Skeel jr The empty idea of Equality of creditors” University of Pensylvannia Carrey law Scool 2018 1724 sur internet</w:t>
      </w:r>
    </w:p>
  </w:footnote>
  <w:footnote w:id="283">
    <w:p w:rsidR="009D49E2" w:rsidRPr="008064D7"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P. FOOHEY, ” Chapter 11 reorganisation and the fair and equitable standard” Indiana University, 2012 paper 1274 sur internet </w:t>
      </w:r>
    </w:p>
  </w:footnote>
  <w:footnote w:id="284">
    <w:p w:rsidR="009D49E2" w:rsidRPr="008064D7"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Par exemple In re Independance vill 52 BR 715 726 Bankr ED mitch 1985 et de nombreux autres cités par l’auteur P Foohey” Chapter 11 reorganisation and the fair and equitable standard” Indiana University, 2012 paper 1274 sur internet</w:t>
      </w:r>
    </w:p>
  </w:footnote>
  <w:footnote w:id="285">
    <w:p w:rsidR="009D49E2" w:rsidRPr="008064D7"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1129(b) (2) (A) (i)</w:t>
      </w:r>
    </w:p>
  </w:footnote>
  <w:footnote w:id="286">
    <w:p w:rsidR="009D49E2" w:rsidRPr="008064D7"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olde prairie block owner N° 10 B 22668 Bankr ND III dec 22.2011</w:t>
      </w:r>
    </w:p>
  </w:footnote>
  <w:footnote w:id="287">
    <w:p w:rsidR="009D49E2" w:rsidRPr="008064D7"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119(b) (2)(A) (ii)</w:t>
      </w:r>
    </w:p>
  </w:footnote>
  <w:footnote w:id="288">
    <w:p w:rsidR="009D49E2" w:rsidRPr="008064D7"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1129(b) (2) (A) (i) (II) et 11 usc 119(b) (2) (A) (iii)</w:t>
      </w:r>
    </w:p>
  </w:footnote>
  <w:footnote w:id="289">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Radlax Gateway Hotel 132 S ct2065 (12)</w:t>
      </w:r>
    </w:p>
  </w:footnote>
  <w:footnote w:id="290">
    <w:p w:rsidR="009D49E2" w:rsidRPr="008064D7"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miami center associates 144 br 937,940 Bankr SD fla 192 </w:t>
      </w:r>
    </w:p>
  </w:footnote>
  <w:footnote w:id="291">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VIP motor lodge 133 BR 41 45 Bankr D. del 1991 </w:t>
      </w:r>
    </w:p>
  </w:footnote>
  <w:footnote w:id="292">
    <w:p w:rsidR="009D49E2" w:rsidRPr="008064D7"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1129(b) (2) (A) (iii) </w:t>
      </w:r>
    </w:p>
  </w:footnote>
  <w:footnote w:id="293">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Spacek 112 BR 162 164 Bankr WD tex 1990</w:t>
      </w:r>
    </w:p>
  </w:footnote>
  <w:footnote w:id="294">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11 USC 1129(b) (2) (B) (i)</w:t>
      </w:r>
    </w:p>
  </w:footnote>
  <w:footnote w:id="295">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11 USC 1129(b) (2) (B) (ii) </w:t>
      </w:r>
    </w:p>
  </w:footnote>
  <w:footnote w:id="296">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B Hanley Preserving the secured creditor’s bargain in chapter 11 cramdown scenario 8 Brokk J Corp fin &amp; Com L (2014) sur internet </w:t>
      </w:r>
    </w:p>
  </w:footnote>
  <w:footnote w:id="297">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TadLAW Gateway Hotel v Amalgamated Bank 132 s ct 2065 2069-70 (2012) </w:t>
      </w:r>
    </w:p>
  </w:footnote>
  <w:footnote w:id="298">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River E Plaza LLC 669 F.3d, </w:t>
      </w:r>
    </w:p>
  </w:footnote>
  <w:footnote w:id="299">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pacific Lumber 584 F 3d </w:t>
      </w:r>
    </w:p>
  </w:footnote>
  <w:footnote w:id="300">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Pliladelphies Newspaper LLC 599 3d.298, 301 ( 3d circ 2010)</w:t>
      </w:r>
    </w:p>
  </w:footnote>
  <w:footnote w:id="301">
    <w:p w:rsidR="009D49E2" w:rsidRPr="008064D7" w:rsidRDefault="009D49E2" w:rsidP="00C600AA">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Warren, opcit note 5 § 785 </w:t>
      </w:r>
    </w:p>
  </w:footnote>
  <w:footnote w:id="302">
    <w:p w:rsidR="009D49E2" w:rsidRPr="008064D7" w:rsidRDefault="009D49E2" w:rsidP="00C600AA">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sur ce point en particulier In Re Phila Newspaper 599 F.3d </w:t>
      </w:r>
    </w:p>
  </w:footnote>
  <w:footnote w:id="303">
    <w:p w:rsidR="009D49E2" w:rsidRPr="00936DB9" w:rsidRDefault="009D49E2" w:rsidP="00C600AA">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SPM Manufacturing 984 F.2d 1305 1307 ( 1er Circuit) 1993 </w:t>
      </w:r>
    </w:p>
  </w:footnote>
  <w:footnote w:id="304">
    <w:p w:rsidR="009D49E2" w:rsidRPr="008064D7" w:rsidRDefault="009D49E2" w:rsidP="00CA1CFE">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Considérant 55 qui, à notre avis, a un effet direct que pourrait invoquer le créancier.</w:t>
      </w:r>
    </w:p>
  </w:footnote>
  <w:footnote w:id="305">
    <w:p w:rsidR="009D49E2" w:rsidRPr="008064D7" w:rsidRDefault="009D49E2" w:rsidP="00CA1CFE">
      <w:pPr>
        <w:pStyle w:val="Notedebasdepage"/>
        <w:rPr>
          <w:rFonts w:cs="Arial"/>
          <w:i/>
          <w:color w:val="808080" w:themeColor="background1" w:themeShade="80"/>
          <w:sz w:val="18"/>
          <w:szCs w:val="18"/>
        </w:rPr>
      </w:pPr>
      <w:r w:rsidRPr="008064D7">
        <w:rPr>
          <w:rStyle w:val="Appelnotedebasdep"/>
          <w:rFonts w:cs="Arial"/>
          <w:i/>
          <w:color w:val="808080" w:themeColor="background1" w:themeShade="80"/>
          <w:sz w:val="18"/>
          <w:szCs w:val="18"/>
        </w:rPr>
        <w:footnoteRef/>
      </w:r>
      <w:r w:rsidRPr="008064D7">
        <w:rPr>
          <w:rFonts w:cs="Arial"/>
          <w:i/>
          <w:color w:val="808080" w:themeColor="background1" w:themeShade="80"/>
          <w:sz w:val="18"/>
          <w:szCs w:val="18"/>
        </w:rPr>
        <w:t xml:space="preserve"> La Commission voulait que l’on ne tienne compte que du montant de la créance qui selon elle, reflète plus la participation d’un créancier dans le business du débiteur qu’un vote par tête ; voy. le considérant 26 et G O’</w:t>
      </w:r>
      <w:r w:rsidRPr="008064D7">
        <w:rPr>
          <w:rFonts w:cs="Arial"/>
          <w:i/>
          <w:smallCaps/>
          <w:color w:val="808080" w:themeColor="background1" w:themeShade="80"/>
          <w:sz w:val="18"/>
          <w:szCs w:val="18"/>
        </w:rPr>
        <w:t>Dea</w:t>
      </w:r>
      <w:r w:rsidRPr="008064D7">
        <w:rPr>
          <w:rFonts w:cs="Arial"/>
          <w:i/>
          <w:color w:val="808080" w:themeColor="background1" w:themeShade="80"/>
          <w:sz w:val="18"/>
          <w:szCs w:val="18"/>
        </w:rPr>
        <w:t>, « Schemes of arrangement », Oxford, OUP2012, p. 6 et 109 sur la justification de la règle dans les « Schemes of Arrangement ».</w:t>
      </w:r>
    </w:p>
  </w:footnote>
  <w:footnote w:id="306">
    <w:p w:rsidR="009D49E2" w:rsidRPr="00A70B3F" w:rsidRDefault="009D49E2" w:rsidP="00CA1CFE">
      <w:pPr>
        <w:pStyle w:val="Notedebasdepage"/>
        <w:rPr>
          <w:rFonts w:cs="Arial"/>
          <w:color w:val="808080" w:themeColor="background1" w:themeShade="80"/>
          <w:sz w:val="18"/>
          <w:szCs w:val="18"/>
          <w:lang w:val="en-US"/>
        </w:rPr>
      </w:pPr>
      <w:r w:rsidRPr="008064D7">
        <w:rPr>
          <w:rStyle w:val="Appelnotedebasdep"/>
          <w:rFonts w:cs="Arial"/>
          <w:i/>
          <w:color w:val="808080" w:themeColor="background1" w:themeShade="80"/>
          <w:sz w:val="18"/>
          <w:szCs w:val="18"/>
        </w:rPr>
        <w:footnoteRef/>
      </w:r>
      <w:r w:rsidRPr="00A70B3F">
        <w:rPr>
          <w:rFonts w:cs="Arial"/>
          <w:i/>
          <w:color w:val="808080" w:themeColor="background1" w:themeShade="80"/>
          <w:sz w:val="18"/>
          <w:szCs w:val="18"/>
          <w:lang w:val="en-US"/>
        </w:rPr>
        <w:t xml:space="preserve"> Article 11.2 in fine.</w:t>
      </w:r>
    </w:p>
  </w:footnote>
  <w:footnote w:id="307">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Northerm pacific Railway v Boyd 228 US 482 ( 1913)</w:t>
      </w:r>
    </w:p>
  </w:footnote>
  <w:footnote w:id="308">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Louisville trust co v Louisville Na &amp; C 174 US 674,684 (1899) </w:t>
      </w:r>
    </w:p>
  </w:footnote>
  <w:footnote w:id="30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À l’occasion de lasquelle la commision de la chambre avait demandé d’introduire la règle de priorité relatice Report of the commission on the bankruptcy law of US HR doc N° 137, 93 Cong, 1st sess 258 ( 1973) , demande rejettée comme telle même si par la règle “fair &amp; Equitable) , elle s’est réintroduite dans le raisonnement des juges</w:t>
      </w:r>
    </w:p>
  </w:footnote>
  <w:footnote w:id="310">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A. Varouij, Aivazan &amp; J Callen Corportae leveradge and Grotw 8j fin econ 379,397 (1980)</w:t>
      </w:r>
    </w:p>
  </w:footnote>
  <w:footnote w:id="311">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Dans l’affaire Case V los angeles , la cour suprême avait réformé une décision de confirmation basée sur un vote à 90 % des créanciers </w:t>
      </w:r>
    </w:p>
  </w:footnote>
  <w:footnote w:id="312">
    <w:p w:rsidR="009D49E2" w:rsidRPr="00936DB9" w:rsidRDefault="009D49E2" w:rsidP="00533AEB">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C Adams New Capital for bankruptcy reorganizations it’s the amount that counts Nortwestern university scholl of Law Northwestern uniservity law review 411 1995 sur internet  </w:t>
      </w:r>
    </w:p>
  </w:footnote>
  <w:footnote w:id="313">
    <w:p w:rsidR="009D49E2" w:rsidRPr="008064D7" w:rsidRDefault="009D49E2">
      <w:pPr>
        <w:pStyle w:val="Notedebasdepage"/>
        <w:rPr>
          <w:rFonts w:cs="Arial"/>
          <w:color w:val="808080" w:themeColor="background1" w:themeShade="80"/>
          <w:sz w:val="18"/>
          <w:szCs w:val="18"/>
          <w:lang w:val="nl-BE"/>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nl-BE"/>
        </w:rPr>
        <w:t xml:space="preserve"> In re Moni-sat 84 BR 756, 757 bankr d kan 1988</w:t>
      </w:r>
    </w:p>
  </w:footnote>
  <w:footnote w:id="314">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Justice Douglas in Case v Los Angeles Lumber product 308 US 106 (1939) </w:t>
      </w:r>
    </w:p>
  </w:footnote>
  <w:footnote w:id="315">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Bank Of america national Trust 526 US 434 437 (1999).</w:t>
      </w:r>
    </w:p>
  </w:footnote>
  <w:footnote w:id="316">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Norwest bank Worthington v Ahlers  485 us 197 ( 1988) et arrêts des cours d’appel notamment des 7ème et 10 ème circuit comme par exemple In re Woodbrook assoc 19 F.3f 312,320 th circuit 1994 </w:t>
      </w:r>
    </w:p>
  </w:footnote>
  <w:footnote w:id="317">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Greystone III joint venture 995 F;2d 1274 (5th circuit) 1991 cert denied 113 ct 72 ( 1992) </w:t>
      </w:r>
    </w:p>
  </w:footnote>
  <w:footnote w:id="318">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bonner partnerschip 2 F;3d 899 ( 9th circuit) 1993 </w:t>
      </w:r>
    </w:p>
  </w:footnote>
  <w:footnote w:id="31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Au paragrpage 908-09 mais apputé par un auteur reconnu en doctrine soit E Warren A theory of absolute priority 191 Ann Surc AM L 9.,39 “ </w:t>
      </w:r>
    </w:p>
  </w:footnote>
  <w:footnote w:id="320">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Los Angeles Lumber 308 us 106  opcit § 122 </w:t>
      </w:r>
    </w:p>
  </w:footnote>
  <w:footnote w:id="321">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Ahles  485 us 197 (1988) opcit at 201 </w:t>
      </w:r>
    </w:p>
  </w:footnote>
  <w:footnote w:id="322">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Kham &amp; Nate’s shoes N0 2 v First Banbk 908 F. 2d 1351 ( 7ème circuit) 1990</w:t>
      </w:r>
    </w:p>
  </w:footnote>
  <w:footnote w:id="323">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Stegall 865, F. 2d 140 141 (7ème circuit) 1989</w:t>
      </w:r>
    </w:p>
  </w:footnote>
  <w:footnote w:id="324">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Snyder 967 F. 2d 1126 1131 (èème circuit) 1992 </w:t>
      </w:r>
    </w:p>
  </w:footnote>
  <w:footnote w:id="325">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Snyders at 904 </w:t>
      </w:r>
    </w:p>
  </w:footnote>
  <w:footnote w:id="326">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In re syders où le juge constata que la contribution en capital était insuffisante représentant 2.7% du total des créanciers unsecured </w:t>
      </w:r>
    </w:p>
  </w:footnote>
  <w:footnote w:id="327">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Greystone III </w:t>
      </w:r>
    </w:p>
  </w:footnote>
  <w:footnote w:id="328">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11 USC § 1129(a)(11) </w:t>
      </w:r>
    </w:p>
  </w:footnote>
  <w:footnote w:id="32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In re Mobile Steel 563,F.2d 692,703 (5ème circuit) 1977</w:t>
      </w:r>
    </w:p>
  </w:footnote>
  <w:footnote w:id="330">
    <w:p w:rsidR="009D49E2" w:rsidRPr="008064D7" w:rsidRDefault="009D49E2" w:rsidP="008F5D08">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notamment l’article 11 b) ii).</w:t>
      </w:r>
    </w:p>
  </w:footnote>
  <w:footnote w:id="331">
    <w:p w:rsidR="009D49E2" w:rsidRPr="008064D7" w:rsidRDefault="009D49E2" w:rsidP="008F5D08">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Article 12.1 et 12.2.</w:t>
      </w:r>
    </w:p>
  </w:footnote>
  <w:footnote w:id="332">
    <w:p w:rsidR="009D49E2" w:rsidRPr="008064D7" w:rsidRDefault="009D49E2" w:rsidP="008F5D08">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 qui entraine une immixtion du droit de l’insolvabilité dans le droit des sociétés et ouvre de nouvelles perspectives. </w:t>
      </w:r>
    </w:p>
  </w:footnote>
  <w:footnote w:id="333">
    <w:p w:rsidR="009D49E2" w:rsidRPr="008064D7" w:rsidRDefault="009D49E2" w:rsidP="008F5D08">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Article 19.</w:t>
      </w:r>
    </w:p>
  </w:footnote>
  <w:footnote w:id="334">
    <w:p w:rsidR="009D49E2" w:rsidRPr="008064D7" w:rsidRDefault="009D49E2" w:rsidP="008F5D08">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Considérant</w:t>
      </w:r>
    </w:p>
  </w:footnote>
  <w:footnote w:id="335">
    <w:p w:rsidR="009D49E2" w:rsidRPr="008064D7" w:rsidRDefault="009D49E2" w:rsidP="008F5D08">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Considérant 57 </w:t>
      </w:r>
      <w:r w:rsidRPr="008064D7">
        <w:rPr>
          <w:rFonts w:cs="Arial"/>
          <w:i/>
          <w:color w:val="808080" w:themeColor="background1" w:themeShade="80"/>
          <w:sz w:val="18"/>
          <w:szCs w:val="18"/>
        </w:rPr>
        <w:t>in fine</w:t>
      </w:r>
      <w:r w:rsidRPr="008064D7">
        <w:rPr>
          <w:rFonts w:cs="Arial"/>
          <w:color w:val="808080" w:themeColor="background1" w:themeShade="80"/>
          <w:sz w:val="18"/>
          <w:szCs w:val="18"/>
        </w:rPr>
        <w:t>.</w:t>
      </w:r>
    </w:p>
  </w:footnote>
  <w:footnote w:id="336">
    <w:p w:rsidR="009D49E2" w:rsidRPr="008064D7" w:rsidRDefault="009D49E2" w:rsidP="008F5D08">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 que l’on dénomme dans la pratique comme un  « </w:t>
      </w:r>
      <w:r w:rsidRPr="008064D7">
        <w:rPr>
          <w:rFonts w:cs="Arial"/>
          <w:i/>
          <w:color w:val="808080" w:themeColor="background1" w:themeShade="80"/>
          <w:sz w:val="18"/>
          <w:szCs w:val="18"/>
        </w:rPr>
        <w:t>debt equity swap</w:t>
      </w:r>
      <w:r w:rsidRPr="008064D7">
        <w:rPr>
          <w:rFonts w:cs="Arial"/>
          <w:color w:val="808080" w:themeColor="background1" w:themeShade="80"/>
          <w:sz w:val="18"/>
          <w:szCs w:val="18"/>
        </w:rPr>
        <w:t> » ou en français, plus communément, le coup d’accordéon. Certains États vont jusqu’à la cession forcée de titres, comme en France.</w:t>
      </w:r>
    </w:p>
  </w:footnote>
  <w:footnote w:id="337">
    <w:p w:rsidR="009D49E2" w:rsidRPr="008064D7" w:rsidRDefault="009D49E2" w:rsidP="008F5D08">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w:t>
      </w:r>
      <w:r w:rsidRPr="008064D7">
        <w:rPr>
          <w:rFonts w:cs="Arial"/>
          <w:color w:val="808080" w:themeColor="background1" w:themeShade="80"/>
          <w:sz w:val="18"/>
          <w:szCs w:val="18"/>
          <w:lang w:val="en-GB"/>
        </w:rPr>
        <w:t xml:space="preserve">A. </w:t>
      </w:r>
      <w:r w:rsidRPr="008064D7">
        <w:rPr>
          <w:rFonts w:cs="Arial"/>
          <w:smallCaps/>
          <w:color w:val="808080" w:themeColor="background1" w:themeShade="80"/>
          <w:sz w:val="18"/>
          <w:szCs w:val="18"/>
          <w:lang w:val="en-GB"/>
        </w:rPr>
        <w:t>Bebchuk</w:t>
      </w:r>
      <w:r w:rsidRPr="008064D7">
        <w:rPr>
          <w:rFonts w:cs="Arial"/>
          <w:color w:val="808080" w:themeColor="background1" w:themeShade="80"/>
          <w:sz w:val="18"/>
          <w:szCs w:val="18"/>
          <w:lang w:val="en-GB"/>
        </w:rPr>
        <w:t xml:space="preserve">, “A new approach to corporate reorganizations”, </w:t>
      </w:r>
      <w:r w:rsidRPr="008064D7">
        <w:rPr>
          <w:rFonts w:cs="Arial"/>
          <w:i/>
          <w:color w:val="808080" w:themeColor="background1" w:themeShade="80"/>
          <w:sz w:val="18"/>
          <w:szCs w:val="18"/>
          <w:lang w:val="en-GB"/>
        </w:rPr>
        <w:t>Harvard Law Review</w:t>
      </w:r>
      <w:r w:rsidRPr="008064D7">
        <w:rPr>
          <w:rFonts w:cs="Arial"/>
          <w:color w:val="808080" w:themeColor="background1" w:themeShade="80"/>
          <w:sz w:val="18"/>
          <w:szCs w:val="18"/>
          <w:lang w:val="en-GB"/>
        </w:rPr>
        <w:t>, vol. 101, 1988, p.775.</w:t>
      </w:r>
    </w:p>
  </w:footnote>
  <w:footnote w:id="338">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Tribunal du Travail de Bruxelles 17ème Ch 08 septembre 2020 RG 18/3318/A inédit </w:t>
      </w:r>
    </w:p>
  </w:footnote>
  <w:footnote w:id="339">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D. CORBAE et P. D’ERASMO ” Reorganisation or liquidation, N-Banruptcy choice and firm dynamics” </w:t>
      </w:r>
    </w:p>
  </w:footnote>
  <w:footnote w:id="340">
    <w:p w:rsidR="009D49E2" w:rsidRDefault="009D49E2">
      <w:pPr>
        <w:pStyle w:val="Notedebasdepage"/>
      </w:pPr>
      <w:r>
        <w:rPr>
          <w:rStyle w:val="Appelnotedebasdep"/>
        </w:rPr>
        <w:footnoteRef/>
      </w:r>
      <w:r>
        <w:t xml:space="preserve"> Comme le fait Graydon en Belgique.</w:t>
      </w:r>
    </w:p>
  </w:footnote>
  <w:footnote w:id="341">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W. DRUIM et M. ALLGRUMM ” The economic impact of chapter 11 reorganisation versus chapter 7 liquidation “</w:t>
      </w:r>
    </w:p>
  </w:footnote>
  <w:footnote w:id="342">
    <w:p w:rsidR="009D49E2" w:rsidRPr="00354961" w:rsidRDefault="009D49E2">
      <w:pPr>
        <w:pStyle w:val="Notedebasdepage"/>
      </w:pPr>
      <w:r>
        <w:rPr>
          <w:rStyle w:val="Appelnotedebasdep"/>
        </w:rPr>
        <w:footnoteRef/>
      </w:r>
      <w:r>
        <w:t xml:space="preserve"> Rachel Beaujolin-Bellet et Christine Schmidt, « </w:t>
      </w:r>
      <w:r>
        <w:rPr>
          <w:i/>
        </w:rPr>
        <w:t>Les restructurations d’entreprises »</w:t>
      </w:r>
      <w:r>
        <w:t>, 2012, pg 108, La Découverte, Paris.</w:t>
      </w:r>
    </w:p>
  </w:footnote>
  <w:footnote w:id="343">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Visées ci-dessus : prime de risque, décote de taille, décote d’illiquidité, décote de holding, décote de Key-men</w:t>
      </w:r>
    </w:p>
  </w:footnote>
  <w:footnote w:id="34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Daubert V Merrel Dow Pharmaceuticals 509, US 579 (1993).</w:t>
      </w:r>
    </w:p>
  </w:footnote>
  <w:footnote w:id="345">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La Salle Street P’ship, 190 BR 567-575, Bankruptcy N°III, 1995.</w:t>
      </w:r>
    </w:p>
  </w:footnote>
  <w:footnote w:id="346">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Par exemple: In Re Med diversified Inc., 346, BR at 632 (bankruptcy E.D.N.Y. 2006)</w:t>
      </w:r>
    </w:p>
  </w:footnote>
  <w:footnote w:id="347">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dans Pain Quotidien, TE Bruxelles fr. Président 2234606</w:t>
      </w:r>
    </w:p>
  </w:footnote>
  <w:footnote w:id="348">
    <w:p w:rsidR="009D49E2" w:rsidRPr="008064D7" w:rsidRDefault="009D49E2" w:rsidP="00596B9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ci-dessus les remarques de la doctrine sur le test et VFB LLC V Campbell Soup IO 2005 WL </w:t>
      </w:r>
    </w:p>
  </w:footnote>
  <w:footnote w:id="349">
    <w:p w:rsidR="009D49E2" w:rsidRPr="004F523B" w:rsidRDefault="009D49E2">
      <w:pPr>
        <w:pStyle w:val="Notedebasdepage"/>
        <w:rPr>
          <w:rFonts w:cs="Arial"/>
          <w:color w:val="808080" w:themeColor="background1" w:themeShade="80"/>
          <w:sz w:val="18"/>
          <w:szCs w:val="18"/>
          <w:lang w:val="nl-BE"/>
        </w:rPr>
      </w:pPr>
      <w:r w:rsidRPr="008064D7">
        <w:rPr>
          <w:rStyle w:val="Appelnotedebasdep"/>
          <w:rFonts w:cs="Arial"/>
          <w:color w:val="808080" w:themeColor="background1" w:themeShade="80"/>
          <w:sz w:val="18"/>
          <w:szCs w:val="18"/>
        </w:rPr>
        <w:footnoteRef/>
      </w:r>
      <w:r w:rsidRPr="004F523B">
        <w:rPr>
          <w:rFonts w:cs="Arial"/>
          <w:color w:val="808080" w:themeColor="background1" w:themeShade="80"/>
          <w:sz w:val="18"/>
          <w:szCs w:val="18"/>
          <w:lang w:val="nl-BE"/>
        </w:rPr>
        <w:t xml:space="preserve"> In Re Cridium operating LLC, 373, BR et 349</w:t>
      </w:r>
    </w:p>
  </w:footnote>
  <w:footnote w:id="35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w:t>
      </w:r>
    </w:p>
  </w:footnote>
  <w:footnote w:id="351">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WAAC dispute = conflit sur le WAAC ou les éléments du WAAC, projection dispute : conflit sur les projections financières à la base, comparable dispute : conflit sur les comparables, multiplier les disputes : conflit sur les multiples pour le rendement, Market value : conflit sur les marchés</w:t>
      </w:r>
    </w:p>
  </w:footnote>
  <w:footnote w:id="352">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Frauduleux, car aux Etats-Unis, le fait de ne pas faire des productions correctes est déjà en soi frauduleux. Cela couvre aussi de vrais actes frauduleux au sens européen, soit susceptible d’annulation (acte préjudiciable), soit pénalement répréhensible, soit contraire à l’intérêt social.</w:t>
      </w:r>
    </w:p>
  </w:footnote>
  <w:footnote w:id="35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lang w:val="en-US"/>
        </w:rPr>
        <w:footnoteRef/>
      </w:r>
      <w:r w:rsidRPr="008064D7">
        <w:rPr>
          <w:rFonts w:cs="Arial"/>
          <w:color w:val="808080" w:themeColor="background1" w:themeShade="80"/>
          <w:sz w:val="18"/>
          <w:szCs w:val="18"/>
          <w:lang w:val="en-US"/>
        </w:rPr>
        <w:t xml:space="preserve"> E. REFERT, “Getting into the hot tub” 89, V Det. Mercy. L. rew.</w:t>
      </w:r>
    </w:p>
  </w:footnote>
  <w:footnote w:id="354">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J. SEYMOUR et S.SCHWARZ, « </w:t>
      </w:r>
      <w:r w:rsidRPr="008064D7">
        <w:rPr>
          <w:rFonts w:cs="Arial"/>
          <w:i/>
          <w:color w:val="808080" w:themeColor="background1" w:themeShade="80"/>
          <w:sz w:val="18"/>
          <w:szCs w:val="18"/>
          <w:lang w:val="en-US"/>
        </w:rPr>
        <w:t>Corporate restructuring and absolute priority default rales: a comparative assessment », Corporate Restructuring</w:t>
      </w:r>
      <w:r w:rsidRPr="008064D7">
        <w:rPr>
          <w:rFonts w:cs="Arial"/>
          <w:color w:val="808080" w:themeColor="background1" w:themeShade="80"/>
          <w:sz w:val="18"/>
          <w:szCs w:val="18"/>
          <w:lang w:val="en-US"/>
        </w:rPr>
        <w:t xml:space="preserve"> 2020</w:t>
      </w:r>
    </w:p>
  </w:footnote>
  <w:footnote w:id="355">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En tout cas, c’est l’interprétation du texte de la directive par de Weijs, opt, note 9-</w:t>
      </w:r>
    </w:p>
  </w:footnote>
  <w:footnote w:id="356">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Semble car nous prétendrons le contraire en conclusion.</w:t>
      </w:r>
    </w:p>
  </w:footnote>
  <w:footnote w:id="357">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 que nous défendons.</w:t>
      </w:r>
    </w:p>
  </w:footnote>
  <w:footnote w:id="358">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Ce qui, en droit américain, s’appelle la </w:t>
      </w:r>
      <w:r w:rsidRPr="008064D7">
        <w:rPr>
          <w:rFonts w:cs="Arial"/>
          <w:i/>
          <w:color w:val="808080" w:themeColor="background1" w:themeShade="80"/>
          <w:sz w:val="18"/>
          <w:szCs w:val="18"/>
        </w:rPr>
        <w:t>New-value</w:t>
      </w:r>
      <w:r w:rsidRPr="008064D7">
        <w:rPr>
          <w:rFonts w:cs="Arial"/>
          <w:color w:val="808080" w:themeColor="background1" w:themeShade="80"/>
          <w:sz w:val="18"/>
          <w:szCs w:val="18"/>
        </w:rPr>
        <w:t xml:space="preserve">. </w:t>
      </w:r>
      <w:r w:rsidRPr="008064D7">
        <w:rPr>
          <w:rFonts w:cs="Arial"/>
          <w:color w:val="808080" w:themeColor="background1" w:themeShade="80"/>
          <w:sz w:val="18"/>
          <w:szCs w:val="18"/>
          <w:lang w:val="en-US"/>
        </w:rPr>
        <w:t>Doctrine: Bank of America Nat huts and Sav. Pos, V203, North LaSalle street pt. 526, US 434 (1999).</w:t>
      </w:r>
    </w:p>
  </w:footnote>
  <w:footnote w:id="359">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Voir Etats-Unis, In Re Integrate Telecom Express, 384.F.31.108 (3</w:t>
      </w:r>
      <w:r w:rsidRPr="008064D7">
        <w:rPr>
          <w:rFonts w:cs="Arial"/>
          <w:color w:val="808080" w:themeColor="background1" w:themeShade="80"/>
          <w:sz w:val="18"/>
          <w:szCs w:val="18"/>
          <w:vertAlign w:val="superscript"/>
          <w:lang w:val="en-US"/>
        </w:rPr>
        <w:t>ème</w:t>
      </w:r>
      <w:r w:rsidRPr="008064D7">
        <w:rPr>
          <w:rFonts w:cs="Arial"/>
          <w:color w:val="808080" w:themeColor="background1" w:themeShade="80"/>
          <w:sz w:val="18"/>
          <w:szCs w:val="18"/>
          <w:lang w:val="en-US"/>
        </w:rPr>
        <w:t> core 2004)</w:t>
      </w:r>
    </w:p>
  </w:footnote>
  <w:footnote w:id="360">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S. MADAUS, </w:t>
      </w:r>
      <w:r w:rsidRPr="008064D7">
        <w:rPr>
          <w:rFonts w:cs="Arial"/>
          <w:i/>
          <w:color w:val="808080" w:themeColor="background1" w:themeShade="80"/>
          <w:sz w:val="18"/>
          <w:szCs w:val="18"/>
          <w:lang w:val="en-US"/>
        </w:rPr>
        <w:t>The New European Relative Priority rales Insolvency and Restructuration</w:t>
      </w:r>
      <w:r w:rsidRPr="008064D7">
        <w:rPr>
          <w:rFonts w:cs="Arial"/>
          <w:color w:val="808080" w:themeColor="background1" w:themeShade="80"/>
          <w:sz w:val="18"/>
          <w:szCs w:val="18"/>
          <w:lang w:val="en-US"/>
        </w:rPr>
        <w:t xml:space="preserve"> Law Blog, (mar.12.1029) et Bob WESSEL, Blog (mar.22.2019); V. ROTARU, The Restructuring directive a functional Law and Economics analysis From a French properties, </w:t>
      </w:r>
      <w:r w:rsidRPr="008064D7">
        <w:rPr>
          <w:rFonts w:cs="Arial"/>
          <w:i/>
          <w:color w:val="808080" w:themeColor="background1" w:themeShade="80"/>
          <w:sz w:val="18"/>
          <w:szCs w:val="18"/>
          <w:lang w:val="en-US"/>
        </w:rPr>
        <w:t xml:space="preserve"> Droit et croissance</w:t>
      </w:r>
      <w:r w:rsidRPr="008064D7">
        <w:rPr>
          <w:rFonts w:cs="Arial"/>
          <w:color w:val="808080" w:themeColor="background1" w:themeShade="80"/>
          <w:sz w:val="18"/>
          <w:szCs w:val="18"/>
          <w:lang w:val="en-US"/>
        </w:rPr>
        <w:t xml:space="preserve"> 15-16.48 (2019.</w:t>
      </w:r>
    </w:p>
  </w:footnote>
  <w:footnote w:id="361">
    <w:p w:rsidR="009D49E2" w:rsidRPr="000D6310" w:rsidRDefault="009D49E2">
      <w:pPr>
        <w:pStyle w:val="Notedebasdepage"/>
        <w:rPr>
          <w:lang w:val="en-US"/>
        </w:rPr>
      </w:pPr>
      <w:r>
        <w:rPr>
          <w:rStyle w:val="Appelnotedebasdep"/>
        </w:rPr>
        <w:footnoteRef/>
      </w:r>
      <w:r w:rsidRPr="000D6310">
        <w:rPr>
          <w:lang w:val="en-US"/>
        </w:rPr>
        <w:t xml:space="preserve"> </w:t>
      </w:r>
      <w:r>
        <w:rPr>
          <w:lang w:val="en-US"/>
        </w:rPr>
        <w:t>Stuart C. Gilson, Creating V</w:t>
      </w:r>
      <w:r w:rsidRPr="000D6310">
        <w:rPr>
          <w:lang w:val="en-US"/>
        </w:rPr>
        <w:t>alue Through Corporate Restructuring, Case Studies in Bankruptcies, Buyouts, and  Breakups (Second Edition), John Wiley &amp; Sons, 2010.</w:t>
      </w:r>
    </w:p>
  </w:footnote>
  <w:footnote w:id="362">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11 USC 1129(b) </w:t>
      </w:r>
    </w:p>
  </w:footnote>
  <w:footnote w:id="363">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LeBlanc 622 F.2d 872 879 ( (th circuit) 1980 </w:t>
      </w:r>
    </w:p>
  </w:footnote>
  <w:footnote w:id="364">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Johnston 21 F 3d 323 328 the circuit 1994</w:t>
      </w:r>
    </w:p>
  </w:footnote>
  <w:footnote w:id="365">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Kliegl Bros Universal 149, br 306 308 Bankr EDNY 1992 </w:t>
      </w:r>
    </w:p>
  </w:footnote>
  <w:footnote w:id="366">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Woodbrook Assoc 19 F. 3d 312, 321 (7th circuit) 1994 </w:t>
      </w:r>
    </w:p>
  </w:footnote>
  <w:footnote w:id="367">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Pour une trés belle étude D. Skeel, “The empty idea of Equality of creditors” University of Pennsylvania Carrey law Scool 2018 1724, en ligne.</w:t>
      </w:r>
    </w:p>
  </w:footnote>
  <w:footnote w:id="368">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In re Energy future Holdings case N° 15-1591-2016 WL 2343322 3d Circuit 4 may 2016, en ligne.</w:t>
      </w:r>
    </w:p>
  </w:footnote>
  <w:footnote w:id="369">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P Rai Third circuit adopts nuanced view of “equal treatment “ in the context of pre-plan settlement offers , Weil Blog juin 2016 sur internet </w:t>
      </w:r>
    </w:p>
  </w:footnote>
  <w:footnote w:id="370">
    <w:p w:rsidR="009D49E2" w:rsidRPr="008064D7" w:rsidRDefault="009D49E2" w:rsidP="000D6310">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Jeffrey ANAPOLSKY &amp; Jessica WOODS, “Pitfalls in Brazilian Bankruptcy law”, 8J Bus &amp; Tech. L.397.429 (2013)</w:t>
      </w:r>
    </w:p>
  </w:footnote>
  <w:footnote w:id="371">
    <w:p w:rsidR="009D49E2" w:rsidRPr="008064D7" w:rsidRDefault="009D49E2" w:rsidP="00EC0CF4">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Article 19.</w:t>
      </w:r>
    </w:p>
  </w:footnote>
  <w:footnote w:id="372">
    <w:p w:rsidR="009D49E2" w:rsidRPr="008064D7" w:rsidRDefault="009D49E2" w:rsidP="00F44831">
      <w:pPr>
        <w:pStyle w:val="Notedebasdepage"/>
        <w:jc w:val="left"/>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Dans le dossier Pain Quotidien, le prépack a permis d’objectiver une valeur sérieuse de marché qui a d’ailleurs convaincu les créanciers sécurisés.</w:t>
      </w:r>
    </w:p>
  </w:footnote>
  <w:footnote w:id="373">
    <w:p w:rsidR="009D49E2" w:rsidRPr="008064D7" w:rsidRDefault="009D49E2" w:rsidP="00F44831">
      <w:pPr>
        <w:pStyle w:val="Notedebasdepage"/>
        <w:jc w:val="left"/>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Président du TE de Bruxelles en cause de Pain Quotidien, Président Tc Nivelles, en cause de Redirack.</w:t>
      </w:r>
    </w:p>
  </w:footnote>
  <w:footnote w:id="374">
    <w:p w:rsidR="009D49E2" w:rsidRPr="00A509FC" w:rsidRDefault="009D49E2" w:rsidP="00EC0CF4">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A509FC">
        <w:rPr>
          <w:rFonts w:cs="Arial"/>
          <w:color w:val="808080" w:themeColor="background1" w:themeShade="80"/>
          <w:sz w:val="18"/>
          <w:szCs w:val="18"/>
        </w:rPr>
        <w:t xml:space="preserve"> TE Brabant Wallon, en cause B.</w:t>
      </w:r>
    </w:p>
  </w:footnote>
  <w:footnote w:id="375">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K. THOMAS, « </w:t>
      </w:r>
      <w:r w:rsidRPr="008064D7">
        <w:rPr>
          <w:rFonts w:cs="Arial"/>
          <w:i/>
          <w:color w:val="808080" w:themeColor="background1" w:themeShade="80"/>
          <w:sz w:val="18"/>
          <w:szCs w:val="18"/>
          <w:lang w:val="en-US"/>
        </w:rPr>
        <w:t>Valuation of Assets in Bankruptcy proceeding: Emerging issues</w:t>
      </w:r>
      <w:r w:rsidRPr="008064D7">
        <w:rPr>
          <w:rFonts w:cs="Arial"/>
          <w:color w:val="808080" w:themeColor="background1" w:themeShade="80"/>
          <w:sz w:val="18"/>
          <w:szCs w:val="18"/>
          <w:lang w:val="en-US"/>
        </w:rPr>
        <w:t>”, Montana Law Review volume 51, Winter 1990, pg 30.</w:t>
      </w:r>
    </w:p>
  </w:footnote>
  <w:footnote w:id="376">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In Re Damron 8 Bankr. 323, 325 (Bankr. S.D. Ohio 1980).</w:t>
      </w:r>
    </w:p>
  </w:footnote>
  <w:footnote w:id="377">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Ellis v. K-Lan, 695, F.2d 157 (5th cir. 1983).</w:t>
      </w:r>
    </w:p>
  </w:footnote>
  <w:footnote w:id="378">
    <w:p w:rsidR="009D49E2" w:rsidRPr="00936DB9"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936DB9">
        <w:rPr>
          <w:rFonts w:cs="Arial"/>
          <w:color w:val="808080" w:themeColor="background1" w:themeShade="80"/>
          <w:sz w:val="18"/>
          <w:szCs w:val="18"/>
          <w:lang w:val="en-US"/>
        </w:rPr>
        <w:t xml:space="preserve"> Timbers I, 793 F 2d. 1380 (5th cir. 1986) at 1346.</w:t>
      </w:r>
    </w:p>
    <w:p w:rsidR="009D49E2" w:rsidRPr="008064D7" w:rsidRDefault="009D49E2">
      <w:pPr>
        <w:pStyle w:val="Notedebasdepage"/>
        <w:rPr>
          <w:rFonts w:cs="Arial"/>
          <w:color w:val="808080" w:themeColor="background1" w:themeShade="80"/>
          <w:sz w:val="18"/>
          <w:szCs w:val="18"/>
          <w:lang w:val="en-US"/>
        </w:rPr>
      </w:pPr>
      <w:r w:rsidRPr="00936DB9">
        <w:rPr>
          <w:rFonts w:cs="Arial"/>
          <w:color w:val="808080" w:themeColor="background1" w:themeShade="80"/>
          <w:sz w:val="18"/>
          <w:szCs w:val="18"/>
          <w:lang w:val="en-US"/>
        </w:rPr>
        <w:t xml:space="preserve">      </w:t>
      </w:r>
      <w:r w:rsidRPr="008064D7">
        <w:rPr>
          <w:rFonts w:cs="Arial"/>
          <w:color w:val="808080" w:themeColor="background1" w:themeShade="80"/>
          <w:sz w:val="18"/>
          <w:szCs w:val="18"/>
          <w:lang w:val="en-US"/>
        </w:rPr>
        <w:t>Timbers II, 808 F 2d. 863, (1987), at 363.</w:t>
      </w:r>
    </w:p>
  </w:footnote>
  <w:footnote w:id="379">
    <w:p w:rsidR="009D49E2" w:rsidRPr="008064D7" w:rsidRDefault="009D49E2">
      <w:pPr>
        <w:pStyle w:val="Notedebasdepage"/>
        <w:rPr>
          <w:rFonts w:cs="Arial"/>
          <w:color w:val="808080" w:themeColor="background1" w:themeShade="80"/>
          <w:sz w:val="18"/>
          <w:szCs w:val="18"/>
          <w:lang w:val="en-US"/>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lang w:val="en-US"/>
        </w:rPr>
        <w:t xml:space="preserve"> United Surving Association of Texas v. Timbers, 484, US 365, 382 (1988).</w:t>
      </w:r>
    </w:p>
  </w:footnote>
  <w:footnote w:id="380">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 tableau ci-dessus N°</w:t>
      </w:r>
    </w:p>
  </w:footnote>
  <w:footnote w:id="381">
    <w:p w:rsidR="009D49E2" w:rsidRPr="008064D7" w:rsidRDefault="009D49E2">
      <w:pPr>
        <w:pStyle w:val="Notedebasdepage"/>
        <w:rPr>
          <w:rFonts w:cs="Arial"/>
          <w:color w:val="808080" w:themeColor="background1" w:themeShade="80"/>
          <w:sz w:val="18"/>
          <w:szCs w:val="18"/>
        </w:rPr>
      </w:pPr>
      <w:r w:rsidRPr="008064D7">
        <w:rPr>
          <w:rStyle w:val="Appelnotedebasdep"/>
          <w:rFonts w:cs="Arial"/>
          <w:color w:val="808080" w:themeColor="background1" w:themeShade="80"/>
          <w:sz w:val="18"/>
          <w:szCs w:val="18"/>
        </w:rPr>
        <w:footnoteRef/>
      </w:r>
      <w:r w:rsidRPr="008064D7">
        <w:rPr>
          <w:rFonts w:cs="Arial"/>
          <w:color w:val="808080" w:themeColor="background1" w:themeShade="80"/>
          <w:sz w:val="18"/>
          <w:szCs w:val="18"/>
        </w:rPr>
        <w:t xml:space="preserve"> Voire de 36 mois dans les conditions de l’article.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BBC"/>
    <w:multiLevelType w:val="hybridMultilevel"/>
    <w:tmpl w:val="3710AAAA"/>
    <w:lvl w:ilvl="0" w:tplc="F9DC174C">
      <w:start w:val="1"/>
      <w:numFmt w:val="decimal"/>
      <w:lvlText w:val="%1."/>
      <w:lvlJc w:val="left"/>
      <w:pPr>
        <w:ind w:left="1146"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 w15:restartNumberingAfterBreak="0">
    <w:nsid w:val="06E53AD0"/>
    <w:multiLevelType w:val="hybridMultilevel"/>
    <w:tmpl w:val="5CAC9034"/>
    <w:lvl w:ilvl="0" w:tplc="DB002058">
      <w:start w:val="1"/>
      <w:numFmt w:val="decimal"/>
      <w:lvlText w:val="%1."/>
      <w:lvlJc w:val="left"/>
      <w:pPr>
        <w:ind w:left="786" w:hanging="360"/>
      </w:pPr>
      <w:rPr>
        <w:b/>
        <w:sz w:val="24"/>
      </w:rPr>
    </w:lvl>
    <w:lvl w:ilvl="1" w:tplc="080C0019">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 w15:restartNumberingAfterBreak="0">
    <w:nsid w:val="073D621E"/>
    <w:multiLevelType w:val="hybridMultilevel"/>
    <w:tmpl w:val="03E48B34"/>
    <w:lvl w:ilvl="0" w:tplc="DB76F20E">
      <w:start w:val="1"/>
      <w:numFmt w:val="upperLetter"/>
      <w:lvlText w:val="%1)"/>
      <w:lvlJc w:val="left"/>
      <w:pPr>
        <w:ind w:left="1146"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 w15:restartNumberingAfterBreak="0">
    <w:nsid w:val="094F4931"/>
    <w:multiLevelType w:val="hybridMultilevel"/>
    <w:tmpl w:val="BFF822D0"/>
    <w:lvl w:ilvl="0" w:tplc="DB002058">
      <w:start w:val="1"/>
      <w:numFmt w:val="decimal"/>
      <w:lvlText w:val="%1."/>
      <w:lvlJc w:val="left"/>
      <w:pPr>
        <w:ind w:left="786" w:hanging="360"/>
      </w:pPr>
      <w:rPr>
        <w:b/>
        <w:sz w:val="24"/>
      </w:rPr>
    </w:lvl>
    <w:lvl w:ilvl="1" w:tplc="080C0019">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4" w15:restartNumberingAfterBreak="0">
    <w:nsid w:val="0B7F36D0"/>
    <w:multiLevelType w:val="hybridMultilevel"/>
    <w:tmpl w:val="4E22D7A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CBD70EC"/>
    <w:multiLevelType w:val="hybridMultilevel"/>
    <w:tmpl w:val="39584A96"/>
    <w:lvl w:ilvl="0" w:tplc="21DEB654">
      <w:numFmt w:val="bullet"/>
      <w:lvlText w:val="-"/>
      <w:lvlJc w:val="left"/>
      <w:pPr>
        <w:ind w:left="1146" w:hanging="360"/>
      </w:pPr>
      <w:rPr>
        <w:rFonts w:ascii="Times New Roman" w:eastAsia="Times New Roman" w:hAnsi="Times New Roman" w:cs="Times New Roman"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6" w15:restartNumberingAfterBreak="0">
    <w:nsid w:val="0D1471FA"/>
    <w:multiLevelType w:val="hybridMultilevel"/>
    <w:tmpl w:val="843E9FF0"/>
    <w:lvl w:ilvl="0" w:tplc="4AB436DA">
      <w:start w:val="1"/>
      <w:numFmt w:val="decimal"/>
      <w:lvlText w:val="3.2.%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267D52"/>
    <w:multiLevelType w:val="hybridMultilevel"/>
    <w:tmpl w:val="D7B02C7C"/>
    <w:lvl w:ilvl="0" w:tplc="E2CA00D2">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175FC5"/>
    <w:multiLevelType w:val="hybridMultilevel"/>
    <w:tmpl w:val="C36208F2"/>
    <w:lvl w:ilvl="0" w:tplc="FF921BF8">
      <w:start w:val="1"/>
      <w:numFmt w:val="decimal"/>
      <w:lvlText w:val="%1."/>
      <w:lvlJc w:val="left"/>
      <w:pPr>
        <w:ind w:left="360" w:hanging="360"/>
      </w:pPr>
      <w:rPr>
        <w:rFonts w:hint="default"/>
        <w:b/>
      </w:rPr>
    </w:lvl>
    <w:lvl w:ilvl="1" w:tplc="080C0019" w:tentative="1">
      <w:start w:val="1"/>
      <w:numFmt w:val="lowerLetter"/>
      <w:lvlText w:val="%2."/>
      <w:lvlJc w:val="left"/>
      <w:pPr>
        <w:ind w:left="654" w:hanging="360"/>
      </w:pPr>
    </w:lvl>
    <w:lvl w:ilvl="2" w:tplc="080C001B" w:tentative="1">
      <w:start w:val="1"/>
      <w:numFmt w:val="lowerRoman"/>
      <w:lvlText w:val="%3."/>
      <w:lvlJc w:val="right"/>
      <w:pPr>
        <w:ind w:left="1374" w:hanging="180"/>
      </w:pPr>
    </w:lvl>
    <w:lvl w:ilvl="3" w:tplc="080C000F" w:tentative="1">
      <w:start w:val="1"/>
      <w:numFmt w:val="decimal"/>
      <w:lvlText w:val="%4."/>
      <w:lvlJc w:val="left"/>
      <w:pPr>
        <w:ind w:left="2094" w:hanging="360"/>
      </w:pPr>
    </w:lvl>
    <w:lvl w:ilvl="4" w:tplc="080C0019" w:tentative="1">
      <w:start w:val="1"/>
      <w:numFmt w:val="lowerLetter"/>
      <w:lvlText w:val="%5."/>
      <w:lvlJc w:val="left"/>
      <w:pPr>
        <w:ind w:left="2814" w:hanging="360"/>
      </w:pPr>
    </w:lvl>
    <w:lvl w:ilvl="5" w:tplc="080C001B" w:tentative="1">
      <w:start w:val="1"/>
      <w:numFmt w:val="lowerRoman"/>
      <w:lvlText w:val="%6."/>
      <w:lvlJc w:val="right"/>
      <w:pPr>
        <w:ind w:left="3534" w:hanging="180"/>
      </w:pPr>
    </w:lvl>
    <w:lvl w:ilvl="6" w:tplc="080C000F" w:tentative="1">
      <w:start w:val="1"/>
      <w:numFmt w:val="decimal"/>
      <w:lvlText w:val="%7."/>
      <w:lvlJc w:val="left"/>
      <w:pPr>
        <w:ind w:left="4254" w:hanging="360"/>
      </w:pPr>
    </w:lvl>
    <w:lvl w:ilvl="7" w:tplc="080C0019" w:tentative="1">
      <w:start w:val="1"/>
      <w:numFmt w:val="lowerLetter"/>
      <w:lvlText w:val="%8."/>
      <w:lvlJc w:val="left"/>
      <w:pPr>
        <w:ind w:left="4974" w:hanging="360"/>
      </w:pPr>
    </w:lvl>
    <w:lvl w:ilvl="8" w:tplc="080C001B" w:tentative="1">
      <w:start w:val="1"/>
      <w:numFmt w:val="lowerRoman"/>
      <w:lvlText w:val="%9."/>
      <w:lvlJc w:val="right"/>
      <w:pPr>
        <w:ind w:left="5694" w:hanging="180"/>
      </w:pPr>
    </w:lvl>
  </w:abstractNum>
  <w:abstractNum w:abstractNumId="9" w15:restartNumberingAfterBreak="0">
    <w:nsid w:val="14232ADE"/>
    <w:multiLevelType w:val="hybridMultilevel"/>
    <w:tmpl w:val="664009B2"/>
    <w:lvl w:ilvl="0" w:tplc="A6A0F21C">
      <w:start w:val="1"/>
      <w:numFmt w:val="bullet"/>
      <w:lvlText w:val=""/>
      <w:lvlJc w:val="left"/>
      <w:pPr>
        <w:ind w:left="786" w:hanging="360"/>
      </w:pPr>
      <w:rPr>
        <w:rFonts w:ascii="Wingdings" w:hAnsi="Wingdings" w:hint="default"/>
        <w:b/>
      </w:rPr>
    </w:lvl>
    <w:lvl w:ilvl="1" w:tplc="A6A0F21C">
      <w:start w:val="1"/>
      <w:numFmt w:val="bullet"/>
      <w:lvlText w:val=""/>
      <w:lvlJc w:val="left"/>
      <w:pPr>
        <w:ind w:left="1506" w:hanging="360"/>
      </w:pPr>
      <w:rPr>
        <w:rFonts w:ascii="Wingdings" w:hAnsi="Wingdings" w:hint="default"/>
        <w:b/>
      </w:rPr>
    </w:lvl>
    <w:lvl w:ilvl="2" w:tplc="080C0005">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0" w15:restartNumberingAfterBreak="0">
    <w:nsid w:val="15AB77C4"/>
    <w:multiLevelType w:val="hybridMultilevel"/>
    <w:tmpl w:val="F962E812"/>
    <w:lvl w:ilvl="0" w:tplc="F9DC174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6ED4413"/>
    <w:multiLevelType w:val="hybridMultilevel"/>
    <w:tmpl w:val="E69A2D90"/>
    <w:lvl w:ilvl="0" w:tplc="2BF0FCC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15:restartNumberingAfterBreak="0">
    <w:nsid w:val="1A1F4C9A"/>
    <w:multiLevelType w:val="hybridMultilevel"/>
    <w:tmpl w:val="C9F8DBF6"/>
    <w:lvl w:ilvl="0" w:tplc="A12C9006">
      <w:start w:val="1"/>
      <w:numFmt w:val="bullet"/>
      <w:lvlText w:val="−"/>
      <w:lvlJc w:val="left"/>
      <w:pPr>
        <w:ind w:left="1932"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13" w15:restartNumberingAfterBreak="0">
    <w:nsid w:val="1BAC393F"/>
    <w:multiLevelType w:val="hybridMultilevel"/>
    <w:tmpl w:val="C736EBD6"/>
    <w:lvl w:ilvl="0" w:tplc="BD482EA2">
      <w:start w:val="1"/>
      <w:numFmt w:val="lowerLetter"/>
      <w:lvlText w:val="%1)"/>
      <w:lvlJc w:val="left"/>
      <w:pPr>
        <w:ind w:left="1776" w:hanging="360"/>
      </w:pPr>
      <w:rPr>
        <w:b/>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4" w15:restartNumberingAfterBreak="0">
    <w:nsid w:val="24905D4C"/>
    <w:multiLevelType w:val="hybridMultilevel"/>
    <w:tmpl w:val="D166DEB8"/>
    <w:lvl w:ilvl="0" w:tplc="DB76F20E">
      <w:start w:val="1"/>
      <w:numFmt w:val="upperLetter"/>
      <w:lvlText w:val="%1)"/>
      <w:lvlJc w:val="left"/>
      <w:pPr>
        <w:ind w:left="1146"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5" w15:restartNumberingAfterBreak="0">
    <w:nsid w:val="285C0A2A"/>
    <w:multiLevelType w:val="hybridMultilevel"/>
    <w:tmpl w:val="26D03EDC"/>
    <w:lvl w:ilvl="0" w:tplc="DB76F20E">
      <w:start w:val="1"/>
      <w:numFmt w:val="upperLetter"/>
      <w:lvlText w:val="%1)"/>
      <w:lvlJc w:val="left"/>
      <w:pPr>
        <w:ind w:left="1146"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6" w15:restartNumberingAfterBreak="0">
    <w:nsid w:val="2B215C2C"/>
    <w:multiLevelType w:val="hybridMultilevel"/>
    <w:tmpl w:val="E558FC00"/>
    <w:lvl w:ilvl="0" w:tplc="080C0013">
      <w:start w:val="1"/>
      <w:numFmt w:val="upperRoman"/>
      <w:lvlText w:val="%1."/>
      <w:lvlJc w:val="righ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0197594"/>
    <w:multiLevelType w:val="hybridMultilevel"/>
    <w:tmpl w:val="194E31FA"/>
    <w:lvl w:ilvl="0" w:tplc="DB76F20E">
      <w:start w:val="1"/>
      <w:numFmt w:val="upperLetter"/>
      <w:lvlText w:val="%1)"/>
      <w:lvlJc w:val="left"/>
      <w:pPr>
        <w:ind w:left="2160" w:hanging="1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2B9293D"/>
    <w:multiLevelType w:val="hybridMultilevel"/>
    <w:tmpl w:val="7A905E44"/>
    <w:lvl w:ilvl="0" w:tplc="DB76F20E">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3F911B0"/>
    <w:multiLevelType w:val="hybridMultilevel"/>
    <w:tmpl w:val="2F2CFB58"/>
    <w:lvl w:ilvl="0" w:tplc="24E827D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343756A4"/>
    <w:multiLevelType w:val="hybridMultilevel"/>
    <w:tmpl w:val="95428D8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DB76F20E">
      <w:start w:val="1"/>
      <w:numFmt w:val="upperLetter"/>
      <w:lvlText w:val="%3)"/>
      <w:lvlJc w:val="left"/>
      <w:pPr>
        <w:ind w:left="2160" w:hanging="18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7A3394F"/>
    <w:multiLevelType w:val="hybridMultilevel"/>
    <w:tmpl w:val="923481AC"/>
    <w:lvl w:ilvl="0" w:tplc="723CDA3A">
      <w:start w:val="1"/>
      <w:numFmt w:val="upperLetter"/>
      <w:lvlText w:val="%1)"/>
      <w:lvlJc w:val="left"/>
      <w:pPr>
        <w:ind w:left="1080" w:hanging="360"/>
      </w:pPr>
      <w:rPr>
        <w:rFonts w:hint="default"/>
      </w:rPr>
    </w:lvl>
    <w:lvl w:ilvl="1" w:tplc="080C0019" w:tentative="1">
      <w:start w:val="1"/>
      <w:numFmt w:val="lowerLetter"/>
      <w:lvlText w:val="%2."/>
      <w:lvlJc w:val="left"/>
      <w:pPr>
        <w:ind w:left="114" w:hanging="360"/>
      </w:pPr>
    </w:lvl>
    <w:lvl w:ilvl="2" w:tplc="080C001B" w:tentative="1">
      <w:start w:val="1"/>
      <w:numFmt w:val="lowerRoman"/>
      <w:lvlText w:val="%3."/>
      <w:lvlJc w:val="right"/>
      <w:pPr>
        <w:ind w:left="834" w:hanging="180"/>
      </w:pPr>
    </w:lvl>
    <w:lvl w:ilvl="3" w:tplc="080C000F" w:tentative="1">
      <w:start w:val="1"/>
      <w:numFmt w:val="decimal"/>
      <w:lvlText w:val="%4."/>
      <w:lvlJc w:val="left"/>
      <w:pPr>
        <w:ind w:left="1554" w:hanging="360"/>
      </w:pPr>
    </w:lvl>
    <w:lvl w:ilvl="4" w:tplc="080C0019" w:tentative="1">
      <w:start w:val="1"/>
      <w:numFmt w:val="lowerLetter"/>
      <w:lvlText w:val="%5."/>
      <w:lvlJc w:val="left"/>
      <w:pPr>
        <w:ind w:left="2274" w:hanging="360"/>
      </w:pPr>
    </w:lvl>
    <w:lvl w:ilvl="5" w:tplc="080C001B" w:tentative="1">
      <w:start w:val="1"/>
      <w:numFmt w:val="lowerRoman"/>
      <w:lvlText w:val="%6."/>
      <w:lvlJc w:val="right"/>
      <w:pPr>
        <w:ind w:left="2994" w:hanging="180"/>
      </w:pPr>
    </w:lvl>
    <w:lvl w:ilvl="6" w:tplc="080C000F" w:tentative="1">
      <w:start w:val="1"/>
      <w:numFmt w:val="decimal"/>
      <w:lvlText w:val="%7."/>
      <w:lvlJc w:val="left"/>
      <w:pPr>
        <w:ind w:left="3714" w:hanging="360"/>
      </w:pPr>
    </w:lvl>
    <w:lvl w:ilvl="7" w:tplc="080C0019" w:tentative="1">
      <w:start w:val="1"/>
      <w:numFmt w:val="lowerLetter"/>
      <w:lvlText w:val="%8."/>
      <w:lvlJc w:val="left"/>
      <w:pPr>
        <w:ind w:left="4434" w:hanging="360"/>
      </w:pPr>
    </w:lvl>
    <w:lvl w:ilvl="8" w:tplc="080C001B" w:tentative="1">
      <w:start w:val="1"/>
      <w:numFmt w:val="lowerRoman"/>
      <w:lvlText w:val="%9."/>
      <w:lvlJc w:val="right"/>
      <w:pPr>
        <w:ind w:left="5154" w:hanging="180"/>
      </w:pPr>
    </w:lvl>
  </w:abstractNum>
  <w:abstractNum w:abstractNumId="22" w15:restartNumberingAfterBreak="0">
    <w:nsid w:val="38FD7E68"/>
    <w:multiLevelType w:val="hybridMultilevel"/>
    <w:tmpl w:val="F2207926"/>
    <w:lvl w:ilvl="0" w:tplc="DB002058">
      <w:start w:val="1"/>
      <w:numFmt w:val="decimal"/>
      <w:lvlText w:val="%1."/>
      <w:lvlJc w:val="left"/>
      <w:pPr>
        <w:ind w:left="786" w:hanging="360"/>
      </w:pPr>
      <w:rPr>
        <w:b/>
        <w:sz w:val="24"/>
      </w:rPr>
    </w:lvl>
    <w:lvl w:ilvl="1" w:tplc="080C0019">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23" w15:restartNumberingAfterBreak="0">
    <w:nsid w:val="3B2773F9"/>
    <w:multiLevelType w:val="hybridMultilevel"/>
    <w:tmpl w:val="D166DEB8"/>
    <w:lvl w:ilvl="0" w:tplc="DB76F20E">
      <w:start w:val="1"/>
      <w:numFmt w:val="upperLetter"/>
      <w:lvlText w:val="%1)"/>
      <w:lvlJc w:val="left"/>
      <w:pPr>
        <w:ind w:left="1146"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4" w15:restartNumberingAfterBreak="0">
    <w:nsid w:val="42265E16"/>
    <w:multiLevelType w:val="hybridMultilevel"/>
    <w:tmpl w:val="42484600"/>
    <w:lvl w:ilvl="0" w:tplc="630406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5AC2739"/>
    <w:multiLevelType w:val="hybridMultilevel"/>
    <w:tmpl w:val="193EA1D6"/>
    <w:lvl w:ilvl="0" w:tplc="080C0001">
      <w:start w:val="1"/>
      <w:numFmt w:val="bullet"/>
      <w:lvlText w:val=""/>
      <w:lvlJc w:val="left"/>
      <w:pPr>
        <w:ind w:left="1866" w:hanging="360"/>
      </w:pPr>
      <w:rPr>
        <w:rFonts w:ascii="Symbol" w:hAnsi="Symbol" w:hint="default"/>
      </w:rPr>
    </w:lvl>
    <w:lvl w:ilvl="1" w:tplc="080C0003" w:tentative="1">
      <w:start w:val="1"/>
      <w:numFmt w:val="bullet"/>
      <w:lvlText w:val="o"/>
      <w:lvlJc w:val="left"/>
      <w:pPr>
        <w:ind w:left="2586" w:hanging="360"/>
      </w:pPr>
      <w:rPr>
        <w:rFonts w:ascii="Courier New" w:hAnsi="Courier New" w:cs="Courier New" w:hint="default"/>
      </w:rPr>
    </w:lvl>
    <w:lvl w:ilvl="2" w:tplc="080C0005" w:tentative="1">
      <w:start w:val="1"/>
      <w:numFmt w:val="bullet"/>
      <w:lvlText w:val=""/>
      <w:lvlJc w:val="left"/>
      <w:pPr>
        <w:ind w:left="3306" w:hanging="360"/>
      </w:pPr>
      <w:rPr>
        <w:rFonts w:ascii="Wingdings" w:hAnsi="Wingdings" w:hint="default"/>
      </w:rPr>
    </w:lvl>
    <w:lvl w:ilvl="3" w:tplc="080C0001" w:tentative="1">
      <w:start w:val="1"/>
      <w:numFmt w:val="bullet"/>
      <w:lvlText w:val=""/>
      <w:lvlJc w:val="left"/>
      <w:pPr>
        <w:ind w:left="4026" w:hanging="360"/>
      </w:pPr>
      <w:rPr>
        <w:rFonts w:ascii="Symbol" w:hAnsi="Symbol" w:hint="default"/>
      </w:rPr>
    </w:lvl>
    <w:lvl w:ilvl="4" w:tplc="080C0003" w:tentative="1">
      <w:start w:val="1"/>
      <w:numFmt w:val="bullet"/>
      <w:lvlText w:val="o"/>
      <w:lvlJc w:val="left"/>
      <w:pPr>
        <w:ind w:left="4746" w:hanging="360"/>
      </w:pPr>
      <w:rPr>
        <w:rFonts w:ascii="Courier New" w:hAnsi="Courier New" w:cs="Courier New" w:hint="default"/>
      </w:rPr>
    </w:lvl>
    <w:lvl w:ilvl="5" w:tplc="080C0005" w:tentative="1">
      <w:start w:val="1"/>
      <w:numFmt w:val="bullet"/>
      <w:lvlText w:val=""/>
      <w:lvlJc w:val="left"/>
      <w:pPr>
        <w:ind w:left="5466" w:hanging="360"/>
      </w:pPr>
      <w:rPr>
        <w:rFonts w:ascii="Wingdings" w:hAnsi="Wingdings" w:hint="default"/>
      </w:rPr>
    </w:lvl>
    <w:lvl w:ilvl="6" w:tplc="080C0001" w:tentative="1">
      <w:start w:val="1"/>
      <w:numFmt w:val="bullet"/>
      <w:lvlText w:val=""/>
      <w:lvlJc w:val="left"/>
      <w:pPr>
        <w:ind w:left="6186" w:hanging="360"/>
      </w:pPr>
      <w:rPr>
        <w:rFonts w:ascii="Symbol" w:hAnsi="Symbol" w:hint="default"/>
      </w:rPr>
    </w:lvl>
    <w:lvl w:ilvl="7" w:tplc="080C0003" w:tentative="1">
      <w:start w:val="1"/>
      <w:numFmt w:val="bullet"/>
      <w:lvlText w:val="o"/>
      <w:lvlJc w:val="left"/>
      <w:pPr>
        <w:ind w:left="6906" w:hanging="360"/>
      </w:pPr>
      <w:rPr>
        <w:rFonts w:ascii="Courier New" w:hAnsi="Courier New" w:cs="Courier New" w:hint="default"/>
      </w:rPr>
    </w:lvl>
    <w:lvl w:ilvl="8" w:tplc="080C0005" w:tentative="1">
      <w:start w:val="1"/>
      <w:numFmt w:val="bullet"/>
      <w:lvlText w:val=""/>
      <w:lvlJc w:val="left"/>
      <w:pPr>
        <w:ind w:left="7626" w:hanging="360"/>
      </w:pPr>
      <w:rPr>
        <w:rFonts w:ascii="Wingdings" w:hAnsi="Wingdings" w:hint="default"/>
      </w:rPr>
    </w:lvl>
  </w:abstractNum>
  <w:abstractNum w:abstractNumId="26" w15:restartNumberingAfterBreak="0">
    <w:nsid w:val="49E061D3"/>
    <w:multiLevelType w:val="hybridMultilevel"/>
    <w:tmpl w:val="3E12CBF0"/>
    <w:lvl w:ilvl="0" w:tplc="DB76F20E">
      <w:start w:val="1"/>
      <w:numFmt w:val="upperLetter"/>
      <w:lvlText w:val="%1)"/>
      <w:lvlJc w:val="left"/>
      <w:pPr>
        <w:ind w:left="1146"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7" w15:restartNumberingAfterBreak="0">
    <w:nsid w:val="4A933556"/>
    <w:multiLevelType w:val="hybridMultilevel"/>
    <w:tmpl w:val="988A5F40"/>
    <w:lvl w:ilvl="0" w:tplc="DB76F2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B75ED1"/>
    <w:multiLevelType w:val="hybridMultilevel"/>
    <w:tmpl w:val="E46A405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4D493B63"/>
    <w:multiLevelType w:val="hybridMultilevel"/>
    <w:tmpl w:val="ADFE861A"/>
    <w:lvl w:ilvl="0" w:tplc="9C02828C">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15:restartNumberingAfterBreak="0">
    <w:nsid w:val="5AB51C53"/>
    <w:multiLevelType w:val="hybridMultilevel"/>
    <w:tmpl w:val="5BF2E33C"/>
    <w:lvl w:ilvl="0" w:tplc="F69C5D8C">
      <w:start w:val="1"/>
      <w:numFmt w:val="upperLetter"/>
      <w:lvlText w:val="%1)"/>
      <w:lvlJc w:val="left"/>
      <w:pPr>
        <w:ind w:left="1146" w:hanging="360"/>
      </w:pPr>
      <w:rPr>
        <w:rFonts w:hint="default"/>
        <w:b/>
      </w:rPr>
    </w:lvl>
    <w:lvl w:ilvl="1" w:tplc="080C0019" w:tentative="1">
      <w:start w:val="1"/>
      <w:numFmt w:val="lowerLetter"/>
      <w:lvlText w:val="%2."/>
      <w:lvlJc w:val="left"/>
      <w:pPr>
        <w:ind w:left="180" w:hanging="360"/>
      </w:pPr>
    </w:lvl>
    <w:lvl w:ilvl="2" w:tplc="080C001B" w:tentative="1">
      <w:start w:val="1"/>
      <w:numFmt w:val="lowerRoman"/>
      <w:lvlText w:val="%3."/>
      <w:lvlJc w:val="right"/>
      <w:pPr>
        <w:ind w:left="900" w:hanging="180"/>
      </w:pPr>
    </w:lvl>
    <w:lvl w:ilvl="3" w:tplc="080C000F" w:tentative="1">
      <w:start w:val="1"/>
      <w:numFmt w:val="decimal"/>
      <w:lvlText w:val="%4."/>
      <w:lvlJc w:val="left"/>
      <w:pPr>
        <w:ind w:left="1620" w:hanging="360"/>
      </w:pPr>
    </w:lvl>
    <w:lvl w:ilvl="4" w:tplc="080C0019" w:tentative="1">
      <w:start w:val="1"/>
      <w:numFmt w:val="lowerLetter"/>
      <w:lvlText w:val="%5."/>
      <w:lvlJc w:val="left"/>
      <w:pPr>
        <w:ind w:left="2340" w:hanging="360"/>
      </w:pPr>
    </w:lvl>
    <w:lvl w:ilvl="5" w:tplc="080C001B" w:tentative="1">
      <w:start w:val="1"/>
      <w:numFmt w:val="lowerRoman"/>
      <w:lvlText w:val="%6."/>
      <w:lvlJc w:val="right"/>
      <w:pPr>
        <w:ind w:left="3060" w:hanging="180"/>
      </w:pPr>
    </w:lvl>
    <w:lvl w:ilvl="6" w:tplc="080C000F" w:tentative="1">
      <w:start w:val="1"/>
      <w:numFmt w:val="decimal"/>
      <w:lvlText w:val="%7."/>
      <w:lvlJc w:val="left"/>
      <w:pPr>
        <w:ind w:left="3780" w:hanging="360"/>
      </w:pPr>
    </w:lvl>
    <w:lvl w:ilvl="7" w:tplc="080C0019" w:tentative="1">
      <w:start w:val="1"/>
      <w:numFmt w:val="lowerLetter"/>
      <w:lvlText w:val="%8."/>
      <w:lvlJc w:val="left"/>
      <w:pPr>
        <w:ind w:left="4500" w:hanging="360"/>
      </w:pPr>
    </w:lvl>
    <w:lvl w:ilvl="8" w:tplc="080C001B" w:tentative="1">
      <w:start w:val="1"/>
      <w:numFmt w:val="lowerRoman"/>
      <w:lvlText w:val="%9."/>
      <w:lvlJc w:val="right"/>
      <w:pPr>
        <w:ind w:left="5220" w:hanging="180"/>
      </w:pPr>
    </w:lvl>
  </w:abstractNum>
  <w:abstractNum w:abstractNumId="31" w15:restartNumberingAfterBreak="0">
    <w:nsid w:val="5C556BD0"/>
    <w:multiLevelType w:val="hybridMultilevel"/>
    <w:tmpl w:val="976ED3EC"/>
    <w:lvl w:ilvl="0" w:tplc="080C000B">
      <w:start w:val="1"/>
      <w:numFmt w:val="bullet"/>
      <w:lvlText w:val=""/>
      <w:lvlJc w:val="left"/>
      <w:pPr>
        <w:ind w:left="2484" w:hanging="360"/>
      </w:pPr>
      <w:rPr>
        <w:rFonts w:ascii="Wingdings" w:hAnsi="Wingdings"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32" w15:restartNumberingAfterBreak="0">
    <w:nsid w:val="66772419"/>
    <w:multiLevelType w:val="hybridMultilevel"/>
    <w:tmpl w:val="35E2ADAA"/>
    <w:lvl w:ilvl="0" w:tplc="BD482EA2">
      <w:start w:val="1"/>
      <w:numFmt w:val="lowerLetter"/>
      <w:lvlText w:val="%1)"/>
      <w:lvlJc w:val="left"/>
      <w:pPr>
        <w:ind w:left="1506" w:hanging="360"/>
      </w:pPr>
      <w:rPr>
        <w:b/>
      </w:rPr>
    </w:lvl>
    <w:lvl w:ilvl="1" w:tplc="080C0019" w:tentative="1">
      <w:start w:val="1"/>
      <w:numFmt w:val="lowerLetter"/>
      <w:lvlText w:val="%2."/>
      <w:lvlJc w:val="left"/>
      <w:pPr>
        <w:ind w:left="2226" w:hanging="360"/>
      </w:pPr>
    </w:lvl>
    <w:lvl w:ilvl="2" w:tplc="080C001B" w:tentative="1">
      <w:start w:val="1"/>
      <w:numFmt w:val="lowerRoman"/>
      <w:lvlText w:val="%3."/>
      <w:lvlJc w:val="right"/>
      <w:pPr>
        <w:ind w:left="2946" w:hanging="180"/>
      </w:pPr>
    </w:lvl>
    <w:lvl w:ilvl="3" w:tplc="080C000F" w:tentative="1">
      <w:start w:val="1"/>
      <w:numFmt w:val="decimal"/>
      <w:lvlText w:val="%4."/>
      <w:lvlJc w:val="left"/>
      <w:pPr>
        <w:ind w:left="3666" w:hanging="360"/>
      </w:pPr>
    </w:lvl>
    <w:lvl w:ilvl="4" w:tplc="080C0019" w:tentative="1">
      <w:start w:val="1"/>
      <w:numFmt w:val="lowerLetter"/>
      <w:lvlText w:val="%5."/>
      <w:lvlJc w:val="left"/>
      <w:pPr>
        <w:ind w:left="4386" w:hanging="360"/>
      </w:pPr>
    </w:lvl>
    <w:lvl w:ilvl="5" w:tplc="080C001B" w:tentative="1">
      <w:start w:val="1"/>
      <w:numFmt w:val="lowerRoman"/>
      <w:lvlText w:val="%6."/>
      <w:lvlJc w:val="right"/>
      <w:pPr>
        <w:ind w:left="5106" w:hanging="180"/>
      </w:pPr>
    </w:lvl>
    <w:lvl w:ilvl="6" w:tplc="080C000F" w:tentative="1">
      <w:start w:val="1"/>
      <w:numFmt w:val="decimal"/>
      <w:lvlText w:val="%7."/>
      <w:lvlJc w:val="left"/>
      <w:pPr>
        <w:ind w:left="5826" w:hanging="360"/>
      </w:pPr>
    </w:lvl>
    <w:lvl w:ilvl="7" w:tplc="080C0019" w:tentative="1">
      <w:start w:val="1"/>
      <w:numFmt w:val="lowerLetter"/>
      <w:lvlText w:val="%8."/>
      <w:lvlJc w:val="left"/>
      <w:pPr>
        <w:ind w:left="6546" w:hanging="360"/>
      </w:pPr>
    </w:lvl>
    <w:lvl w:ilvl="8" w:tplc="080C001B" w:tentative="1">
      <w:start w:val="1"/>
      <w:numFmt w:val="lowerRoman"/>
      <w:lvlText w:val="%9."/>
      <w:lvlJc w:val="right"/>
      <w:pPr>
        <w:ind w:left="7266" w:hanging="180"/>
      </w:pPr>
    </w:lvl>
  </w:abstractNum>
  <w:abstractNum w:abstractNumId="33" w15:restartNumberingAfterBreak="0">
    <w:nsid w:val="6A896A88"/>
    <w:multiLevelType w:val="hybridMultilevel"/>
    <w:tmpl w:val="50FE87E2"/>
    <w:lvl w:ilvl="0" w:tplc="3FF8851A">
      <w:start w:val="1"/>
      <w:numFmt w:val="decimal"/>
      <w:lvlText w:val="%1."/>
      <w:lvlJc w:val="left"/>
      <w:pPr>
        <w:ind w:left="786" w:hanging="360"/>
      </w:pPr>
      <w:rPr>
        <w:b/>
      </w:rPr>
    </w:lvl>
    <w:lvl w:ilvl="1" w:tplc="080C0019">
      <w:start w:val="1"/>
      <w:numFmt w:val="lowerLetter"/>
      <w:lvlText w:val="%2."/>
      <w:lvlJc w:val="left"/>
      <w:pPr>
        <w:ind w:left="1506" w:hanging="360"/>
      </w:pPr>
    </w:lvl>
    <w:lvl w:ilvl="2" w:tplc="723CDA3A">
      <w:start w:val="1"/>
      <w:numFmt w:val="upperLetter"/>
      <w:lvlText w:val="%3)"/>
      <w:lvlJc w:val="left"/>
      <w:pPr>
        <w:ind w:left="2406" w:hanging="360"/>
      </w:pPr>
      <w:rPr>
        <w:rFonts w:hint="default"/>
      </w:r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34" w15:restartNumberingAfterBreak="0">
    <w:nsid w:val="6BD10BB6"/>
    <w:multiLevelType w:val="hybridMultilevel"/>
    <w:tmpl w:val="9E06F88A"/>
    <w:lvl w:ilvl="0" w:tplc="080C0013">
      <w:start w:val="1"/>
      <w:numFmt w:val="upperRoman"/>
      <w:lvlText w:val="%1."/>
      <w:lvlJc w:val="righ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6F445106"/>
    <w:multiLevelType w:val="hybridMultilevel"/>
    <w:tmpl w:val="40FEAE1A"/>
    <w:lvl w:ilvl="0" w:tplc="DB76F20E">
      <w:start w:val="1"/>
      <w:numFmt w:val="upperLetter"/>
      <w:lvlText w:val="%1)"/>
      <w:lvlJc w:val="left"/>
      <w:pPr>
        <w:ind w:left="1146"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6" w15:restartNumberingAfterBreak="0">
    <w:nsid w:val="709A0CA9"/>
    <w:multiLevelType w:val="hybridMultilevel"/>
    <w:tmpl w:val="8C226E04"/>
    <w:lvl w:ilvl="0" w:tplc="FF921BF8">
      <w:start w:val="1"/>
      <w:numFmt w:val="decimal"/>
      <w:lvlText w:val="%1."/>
      <w:lvlJc w:val="left"/>
      <w:pPr>
        <w:ind w:left="1146" w:hanging="360"/>
      </w:pPr>
      <w:rPr>
        <w:rFonts w:hint="default"/>
        <w:b/>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37" w15:restartNumberingAfterBreak="0">
    <w:nsid w:val="71441877"/>
    <w:multiLevelType w:val="hybridMultilevel"/>
    <w:tmpl w:val="9F783FDC"/>
    <w:lvl w:ilvl="0" w:tplc="DB76F20E">
      <w:start w:val="1"/>
      <w:numFmt w:val="upperLetter"/>
      <w:lvlText w:val="%1)"/>
      <w:lvlJc w:val="left"/>
      <w:pPr>
        <w:ind w:left="966" w:hanging="180"/>
      </w:pPr>
      <w:rPr>
        <w:rFonts w:hint="default"/>
      </w:rPr>
    </w:lvl>
    <w:lvl w:ilvl="1" w:tplc="080C0019" w:tentative="1">
      <w:start w:val="1"/>
      <w:numFmt w:val="lowerLetter"/>
      <w:lvlText w:val="%2."/>
      <w:lvlJc w:val="left"/>
      <w:pPr>
        <w:ind w:left="246" w:hanging="360"/>
      </w:pPr>
    </w:lvl>
    <w:lvl w:ilvl="2" w:tplc="080C001B" w:tentative="1">
      <w:start w:val="1"/>
      <w:numFmt w:val="lowerRoman"/>
      <w:lvlText w:val="%3."/>
      <w:lvlJc w:val="right"/>
      <w:pPr>
        <w:ind w:left="966" w:hanging="180"/>
      </w:pPr>
    </w:lvl>
    <w:lvl w:ilvl="3" w:tplc="080C000F" w:tentative="1">
      <w:start w:val="1"/>
      <w:numFmt w:val="decimal"/>
      <w:lvlText w:val="%4."/>
      <w:lvlJc w:val="left"/>
      <w:pPr>
        <w:ind w:left="1686" w:hanging="360"/>
      </w:pPr>
    </w:lvl>
    <w:lvl w:ilvl="4" w:tplc="080C0019" w:tentative="1">
      <w:start w:val="1"/>
      <w:numFmt w:val="lowerLetter"/>
      <w:lvlText w:val="%5."/>
      <w:lvlJc w:val="left"/>
      <w:pPr>
        <w:ind w:left="2406" w:hanging="360"/>
      </w:pPr>
    </w:lvl>
    <w:lvl w:ilvl="5" w:tplc="080C001B" w:tentative="1">
      <w:start w:val="1"/>
      <w:numFmt w:val="lowerRoman"/>
      <w:lvlText w:val="%6."/>
      <w:lvlJc w:val="right"/>
      <w:pPr>
        <w:ind w:left="3126" w:hanging="180"/>
      </w:pPr>
    </w:lvl>
    <w:lvl w:ilvl="6" w:tplc="080C000F" w:tentative="1">
      <w:start w:val="1"/>
      <w:numFmt w:val="decimal"/>
      <w:lvlText w:val="%7."/>
      <w:lvlJc w:val="left"/>
      <w:pPr>
        <w:ind w:left="3846" w:hanging="360"/>
      </w:pPr>
    </w:lvl>
    <w:lvl w:ilvl="7" w:tplc="080C0019" w:tentative="1">
      <w:start w:val="1"/>
      <w:numFmt w:val="lowerLetter"/>
      <w:lvlText w:val="%8."/>
      <w:lvlJc w:val="left"/>
      <w:pPr>
        <w:ind w:left="4566" w:hanging="360"/>
      </w:pPr>
    </w:lvl>
    <w:lvl w:ilvl="8" w:tplc="080C001B" w:tentative="1">
      <w:start w:val="1"/>
      <w:numFmt w:val="lowerRoman"/>
      <w:lvlText w:val="%9."/>
      <w:lvlJc w:val="right"/>
      <w:pPr>
        <w:ind w:left="5286" w:hanging="180"/>
      </w:pPr>
    </w:lvl>
  </w:abstractNum>
  <w:abstractNum w:abstractNumId="38" w15:restartNumberingAfterBreak="0">
    <w:nsid w:val="723101F1"/>
    <w:multiLevelType w:val="hybridMultilevel"/>
    <w:tmpl w:val="C63A4EF4"/>
    <w:lvl w:ilvl="0" w:tplc="3FF8851A">
      <w:start w:val="1"/>
      <w:numFmt w:val="decimal"/>
      <w:lvlText w:val="%1."/>
      <w:lvlJc w:val="left"/>
      <w:pPr>
        <w:ind w:left="786" w:hanging="360"/>
      </w:pPr>
      <w:rPr>
        <w:b/>
      </w:rPr>
    </w:lvl>
    <w:lvl w:ilvl="1" w:tplc="080C0019">
      <w:start w:val="1"/>
      <w:numFmt w:val="lowerLetter"/>
      <w:lvlText w:val="%2."/>
      <w:lvlJc w:val="left"/>
      <w:pPr>
        <w:ind w:left="1506" w:hanging="360"/>
      </w:pPr>
    </w:lvl>
    <w:lvl w:ilvl="2" w:tplc="F35A59D2">
      <w:start w:val="1"/>
      <w:numFmt w:val="upperLetter"/>
      <w:lvlText w:val="%3)"/>
      <w:lvlJc w:val="left"/>
      <w:pPr>
        <w:ind w:left="2406" w:hanging="360"/>
      </w:pPr>
      <w:rPr>
        <w:rFonts w:hint="default"/>
      </w:rPr>
    </w:lvl>
    <w:lvl w:ilvl="3" w:tplc="36BA072A">
      <w:start w:val="3"/>
      <w:numFmt w:val="lowerLetter"/>
      <w:lvlText w:val="%4)"/>
      <w:lvlJc w:val="left"/>
      <w:pPr>
        <w:ind w:left="2946" w:hanging="360"/>
      </w:pPr>
      <w:rPr>
        <w:rFonts w:hint="default"/>
      </w:r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39" w15:restartNumberingAfterBreak="0">
    <w:nsid w:val="734572D3"/>
    <w:multiLevelType w:val="hybridMultilevel"/>
    <w:tmpl w:val="B6D81A4E"/>
    <w:lvl w:ilvl="0" w:tplc="F35A59D2">
      <w:start w:val="1"/>
      <w:numFmt w:val="upperLetter"/>
      <w:lvlText w:val="%1)"/>
      <w:lvlJc w:val="left"/>
      <w:pPr>
        <w:ind w:left="2406"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37071A5"/>
    <w:multiLevelType w:val="hybridMultilevel"/>
    <w:tmpl w:val="6588A908"/>
    <w:lvl w:ilvl="0" w:tplc="BD482EA2">
      <w:start w:val="1"/>
      <w:numFmt w:val="lowerLetter"/>
      <w:lvlText w:val="%1)"/>
      <w:lvlJc w:val="left"/>
      <w:pPr>
        <w:ind w:left="1506" w:hanging="360"/>
      </w:pPr>
      <w:rPr>
        <w:rFonts w:hint="default"/>
        <w:b/>
      </w:rPr>
    </w:lvl>
    <w:lvl w:ilvl="1" w:tplc="040C0003" w:tentative="1">
      <w:start w:val="1"/>
      <w:numFmt w:val="bullet"/>
      <w:lvlText w:val="o"/>
      <w:lvlJc w:val="left"/>
      <w:pPr>
        <w:ind w:left="2226" w:hanging="360"/>
      </w:pPr>
      <w:rPr>
        <w:rFonts w:ascii="Courier New" w:hAnsi="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41" w15:restartNumberingAfterBreak="0">
    <w:nsid w:val="73F850BB"/>
    <w:multiLevelType w:val="hybridMultilevel"/>
    <w:tmpl w:val="7D1402C2"/>
    <w:lvl w:ilvl="0" w:tplc="A6A0F21C">
      <w:start w:val="1"/>
      <w:numFmt w:val="bullet"/>
      <w:lvlText w:val=""/>
      <w:lvlJc w:val="left"/>
      <w:pPr>
        <w:ind w:left="1776" w:hanging="360"/>
      </w:pPr>
      <w:rPr>
        <w:rFonts w:ascii="Wingdings" w:hAnsi="Wingdings" w:hint="default"/>
        <w:b/>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2" w15:restartNumberingAfterBreak="0">
    <w:nsid w:val="76225928"/>
    <w:multiLevelType w:val="hybridMultilevel"/>
    <w:tmpl w:val="E0A251D8"/>
    <w:lvl w:ilvl="0" w:tplc="A82071B6">
      <w:start w:val="1"/>
      <w:numFmt w:val="lowerRoman"/>
      <w:lvlText w:val="(%1)"/>
      <w:lvlJc w:val="left"/>
      <w:pPr>
        <w:ind w:left="2880" w:hanging="720"/>
      </w:pPr>
      <w:rPr>
        <w:rFonts w:hint="default"/>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abstractNum w:abstractNumId="43" w15:restartNumberingAfterBreak="0">
    <w:nsid w:val="775265AE"/>
    <w:multiLevelType w:val="hybridMultilevel"/>
    <w:tmpl w:val="03E48B34"/>
    <w:lvl w:ilvl="0" w:tplc="DB76F20E">
      <w:start w:val="1"/>
      <w:numFmt w:val="upperLetter"/>
      <w:lvlText w:val="%1)"/>
      <w:lvlJc w:val="left"/>
      <w:pPr>
        <w:ind w:left="1146" w:hanging="360"/>
      </w:pPr>
      <w:rPr>
        <w:rFonts w:hint="default"/>
      </w:r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4" w15:restartNumberingAfterBreak="0">
    <w:nsid w:val="7799747E"/>
    <w:multiLevelType w:val="hybridMultilevel"/>
    <w:tmpl w:val="19449C4A"/>
    <w:lvl w:ilvl="0" w:tplc="DB002058">
      <w:start w:val="1"/>
      <w:numFmt w:val="decimal"/>
      <w:lvlText w:val="%1."/>
      <w:lvlJc w:val="left"/>
      <w:pPr>
        <w:ind w:left="786" w:hanging="360"/>
      </w:pPr>
      <w:rPr>
        <w:b/>
        <w:sz w:val="24"/>
      </w:rPr>
    </w:lvl>
    <w:lvl w:ilvl="1" w:tplc="080C0019">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45" w15:restartNumberingAfterBreak="0">
    <w:nsid w:val="7C983792"/>
    <w:multiLevelType w:val="hybridMultilevel"/>
    <w:tmpl w:val="CB02AEB0"/>
    <w:lvl w:ilvl="0" w:tplc="DE4C921C">
      <w:start w:val="1"/>
      <w:numFmt w:val="lowerRoman"/>
      <w:lvlText w:val="(%1)"/>
      <w:lvlJc w:val="left"/>
      <w:pPr>
        <w:ind w:left="2880" w:hanging="720"/>
      </w:pPr>
      <w:rPr>
        <w:rFonts w:hint="default"/>
      </w:rPr>
    </w:lvl>
    <w:lvl w:ilvl="1" w:tplc="080C0019" w:tentative="1">
      <w:start w:val="1"/>
      <w:numFmt w:val="lowerLetter"/>
      <w:lvlText w:val="%2."/>
      <w:lvlJc w:val="left"/>
      <w:pPr>
        <w:ind w:left="3240" w:hanging="360"/>
      </w:pPr>
    </w:lvl>
    <w:lvl w:ilvl="2" w:tplc="080C001B" w:tentative="1">
      <w:start w:val="1"/>
      <w:numFmt w:val="lowerRoman"/>
      <w:lvlText w:val="%3."/>
      <w:lvlJc w:val="right"/>
      <w:pPr>
        <w:ind w:left="3960" w:hanging="180"/>
      </w:pPr>
    </w:lvl>
    <w:lvl w:ilvl="3" w:tplc="080C000F" w:tentative="1">
      <w:start w:val="1"/>
      <w:numFmt w:val="decimal"/>
      <w:lvlText w:val="%4."/>
      <w:lvlJc w:val="left"/>
      <w:pPr>
        <w:ind w:left="4680" w:hanging="360"/>
      </w:pPr>
    </w:lvl>
    <w:lvl w:ilvl="4" w:tplc="080C0019" w:tentative="1">
      <w:start w:val="1"/>
      <w:numFmt w:val="lowerLetter"/>
      <w:lvlText w:val="%5."/>
      <w:lvlJc w:val="left"/>
      <w:pPr>
        <w:ind w:left="5400" w:hanging="360"/>
      </w:pPr>
    </w:lvl>
    <w:lvl w:ilvl="5" w:tplc="080C001B" w:tentative="1">
      <w:start w:val="1"/>
      <w:numFmt w:val="lowerRoman"/>
      <w:lvlText w:val="%6."/>
      <w:lvlJc w:val="right"/>
      <w:pPr>
        <w:ind w:left="6120" w:hanging="180"/>
      </w:pPr>
    </w:lvl>
    <w:lvl w:ilvl="6" w:tplc="080C000F" w:tentative="1">
      <w:start w:val="1"/>
      <w:numFmt w:val="decimal"/>
      <w:lvlText w:val="%7."/>
      <w:lvlJc w:val="left"/>
      <w:pPr>
        <w:ind w:left="6840" w:hanging="360"/>
      </w:pPr>
    </w:lvl>
    <w:lvl w:ilvl="7" w:tplc="080C0019" w:tentative="1">
      <w:start w:val="1"/>
      <w:numFmt w:val="lowerLetter"/>
      <w:lvlText w:val="%8."/>
      <w:lvlJc w:val="left"/>
      <w:pPr>
        <w:ind w:left="7560" w:hanging="360"/>
      </w:pPr>
    </w:lvl>
    <w:lvl w:ilvl="8" w:tplc="080C001B" w:tentative="1">
      <w:start w:val="1"/>
      <w:numFmt w:val="lowerRoman"/>
      <w:lvlText w:val="%9."/>
      <w:lvlJc w:val="right"/>
      <w:pPr>
        <w:ind w:left="8280" w:hanging="180"/>
      </w:pPr>
    </w:lvl>
  </w:abstractNum>
  <w:num w:numId="1">
    <w:abstractNumId w:val="9"/>
  </w:num>
  <w:num w:numId="2">
    <w:abstractNumId w:val="3"/>
  </w:num>
  <w:num w:numId="3">
    <w:abstractNumId w:val="25"/>
  </w:num>
  <w:num w:numId="4">
    <w:abstractNumId w:val="31"/>
  </w:num>
  <w:num w:numId="5">
    <w:abstractNumId w:val="16"/>
  </w:num>
  <w:num w:numId="6">
    <w:abstractNumId w:val="36"/>
  </w:num>
  <w:num w:numId="7">
    <w:abstractNumId w:val="41"/>
  </w:num>
  <w:num w:numId="8">
    <w:abstractNumId w:val="5"/>
  </w:num>
  <w:num w:numId="9">
    <w:abstractNumId w:val="32"/>
  </w:num>
  <w:num w:numId="10">
    <w:abstractNumId w:val="27"/>
  </w:num>
  <w:num w:numId="11">
    <w:abstractNumId w:val="24"/>
  </w:num>
  <w:num w:numId="12">
    <w:abstractNumId w:val="38"/>
  </w:num>
  <w:num w:numId="13">
    <w:abstractNumId w:val="40"/>
  </w:num>
  <w:num w:numId="14">
    <w:abstractNumId w:val="20"/>
  </w:num>
  <w:num w:numId="15">
    <w:abstractNumId w:val="14"/>
  </w:num>
  <w:num w:numId="16">
    <w:abstractNumId w:val="15"/>
  </w:num>
  <w:num w:numId="17">
    <w:abstractNumId w:val="26"/>
  </w:num>
  <w:num w:numId="18">
    <w:abstractNumId w:val="43"/>
  </w:num>
  <w:num w:numId="19">
    <w:abstractNumId w:val="35"/>
  </w:num>
  <w:num w:numId="20">
    <w:abstractNumId w:val="33"/>
  </w:num>
  <w:num w:numId="21">
    <w:abstractNumId w:val="30"/>
  </w:num>
  <w:num w:numId="22">
    <w:abstractNumId w:val="21"/>
  </w:num>
  <w:num w:numId="23">
    <w:abstractNumId w:val="13"/>
  </w:num>
  <w:num w:numId="24">
    <w:abstractNumId w:val="12"/>
  </w:num>
  <w:num w:numId="25">
    <w:abstractNumId w:val="7"/>
  </w:num>
  <w:num w:numId="26">
    <w:abstractNumId w:val="11"/>
  </w:num>
  <w:num w:numId="27">
    <w:abstractNumId w:val="39"/>
  </w:num>
  <w:num w:numId="28">
    <w:abstractNumId w:val="34"/>
  </w:num>
  <w:num w:numId="29">
    <w:abstractNumId w:val="22"/>
  </w:num>
  <w:num w:numId="30">
    <w:abstractNumId w:val="28"/>
  </w:num>
  <w:num w:numId="31">
    <w:abstractNumId w:val="1"/>
  </w:num>
  <w:num w:numId="32">
    <w:abstractNumId w:val="44"/>
  </w:num>
  <w:num w:numId="33">
    <w:abstractNumId w:val="0"/>
  </w:num>
  <w:num w:numId="34">
    <w:abstractNumId w:val="17"/>
  </w:num>
  <w:num w:numId="35">
    <w:abstractNumId w:val="42"/>
  </w:num>
  <w:num w:numId="36">
    <w:abstractNumId w:val="45"/>
  </w:num>
  <w:num w:numId="37">
    <w:abstractNumId w:val="4"/>
  </w:num>
  <w:num w:numId="38">
    <w:abstractNumId w:val="19"/>
  </w:num>
  <w:num w:numId="39">
    <w:abstractNumId w:val="29"/>
  </w:num>
  <w:num w:numId="40">
    <w:abstractNumId w:val="18"/>
  </w:num>
  <w:num w:numId="41">
    <w:abstractNumId w:val="6"/>
  </w:num>
  <w:num w:numId="42">
    <w:abstractNumId w:val="10"/>
  </w:num>
  <w:num w:numId="43">
    <w:abstractNumId w:val="37"/>
  </w:num>
  <w:num w:numId="44">
    <w:abstractNumId w:val="2"/>
  </w:num>
  <w:num w:numId="45">
    <w:abstractNumId w:val="23"/>
  </w:num>
  <w:num w:numId="4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44"/>
    <w:rsid w:val="00001EE6"/>
    <w:rsid w:val="00006793"/>
    <w:rsid w:val="00006F30"/>
    <w:rsid w:val="000127A9"/>
    <w:rsid w:val="00013258"/>
    <w:rsid w:val="000138D9"/>
    <w:rsid w:val="00014046"/>
    <w:rsid w:val="0001707A"/>
    <w:rsid w:val="00017A1A"/>
    <w:rsid w:val="00021732"/>
    <w:rsid w:val="00021775"/>
    <w:rsid w:val="00022E55"/>
    <w:rsid w:val="00023F04"/>
    <w:rsid w:val="00023FAA"/>
    <w:rsid w:val="000253D5"/>
    <w:rsid w:val="00031249"/>
    <w:rsid w:val="00032ED9"/>
    <w:rsid w:val="00034E02"/>
    <w:rsid w:val="00036AEF"/>
    <w:rsid w:val="00037C99"/>
    <w:rsid w:val="000403B8"/>
    <w:rsid w:val="00040EBC"/>
    <w:rsid w:val="00041257"/>
    <w:rsid w:val="000415A9"/>
    <w:rsid w:val="00044690"/>
    <w:rsid w:val="00044AD7"/>
    <w:rsid w:val="000463E7"/>
    <w:rsid w:val="00050355"/>
    <w:rsid w:val="00050A72"/>
    <w:rsid w:val="00050E12"/>
    <w:rsid w:val="00051F9A"/>
    <w:rsid w:val="00052AFA"/>
    <w:rsid w:val="0005462B"/>
    <w:rsid w:val="00060752"/>
    <w:rsid w:val="00060877"/>
    <w:rsid w:val="00061743"/>
    <w:rsid w:val="00062CBC"/>
    <w:rsid w:val="00063208"/>
    <w:rsid w:val="0006386E"/>
    <w:rsid w:val="00064D0A"/>
    <w:rsid w:val="00071882"/>
    <w:rsid w:val="00071946"/>
    <w:rsid w:val="00073155"/>
    <w:rsid w:val="00075A12"/>
    <w:rsid w:val="00075E72"/>
    <w:rsid w:val="00076FD9"/>
    <w:rsid w:val="000779E2"/>
    <w:rsid w:val="00077D05"/>
    <w:rsid w:val="00081D76"/>
    <w:rsid w:val="00082475"/>
    <w:rsid w:val="000845C8"/>
    <w:rsid w:val="000856D4"/>
    <w:rsid w:val="000868F6"/>
    <w:rsid w:val="00087458"/>
    <w:rsid w:val="000905F8"/>
    <w:rsid w:val="000906BB"/>
    <w:rsid w:val="0009191C"/>
    <w:rsid w:val="00093E56"/>
    <w:rsid w:val="00093F28"/>
    <w:rsid w:val="00097557"/>
    <w:rsid w:val="000979F6"/>
    <w:rsid w:val="000A0EA5"/>
    <w:rsid w:val="000A1584"/>
    <w:rsid w:val="000A16B1"/>
    <w:rsid w:val="000A2A28"/>
    <w:rsid w:val="000A3F37"/>
    <w:rsid w:val="000A7586"/>
    <w:rsid w:val="000B4DB3"/>
    <w:rsid w:val="000B67D2"/>
    <w:rsid w:val="000B6E04"/>
    <w:rsid w:val="000C1B25"/>
    <w:rsid w:val="000C2E4B"/>
    <w:rsid w:val="000C2F65"/>
    <w:rsid w:val="000C37F3"/>
    <w:rsid w:val="000C44A2"/>
    <w:rsid w:val="000C4A6B"/>
    <w:rsid w:val="000C4E96"/>
    <w:rsid w:val="000C4F3E"/>
    <w:rsid w:val="000C6D1E"/>
    <w:rsid w:val="000C7E0B"/>
    <w:rsid w:val="000D2368"/>
    <w:rsid w:val="000D3957"/>
    <w:rsid w:val="000D5378"/>
    <w:rsid w:val="000D6310"/>
    <w:rsid w:val="000D6EA2"/>
    <w:rsid w:val="000E06B1"/>
    <w:rsid w:val="000E10A3"/>
    <w:rsid w:val="000E1444"/>
    <w:rsid w:val="000E1E38"/>
    <w:rsid w:val="000E2DDB"/>
    <w:rsid w:val="000E4FCA"/>
    <w:rsid w:val="000E7B66"/>
    <w:rsid w:val="000F02F1"/>
    <w:rsid w:val="000F4131"/>
    <w:rsid w:val="000F515F"/>
    <w:rsid w:val="000F60C8"/>
    <w:rsid w:val="000F662A"/>
    <w:rsid w:val="000F6A86"/>
    <w:rsid w:val="001009A1"/>
    <w:rsid w:val="00101802"/>
    <w:rsid w:val="001018DA"/>
    <w:rsid w:val="00102F65"/>
    <w:rsid w:val="00103A2B"/>
    <w:rsid w:val="00104AF3"/>
    <w:rsid w:val="00105082"/>
    <w:rsid w:val="001066FC"/>
    <w:rsid w:val="00106F98"/>
    <w:rsid w:val="001108FF"/>
    <w:rsid w:val="00111130"/>
    <w:rsid w:val="00111496"/>
    <w:rsid w:val="00112B24"/>
    <w:rsid w:val="001149D1"/>
    <w:rsid w:val="00117010"/>
    <w:rsid w:val="00121A07"/>
    <w:rsid w:val="00121B4B"/>
    <w:rsid w:val="001233A4"/>
    <w:rsid w:val="001255DC"/>
    <w:rsid w:val="0012607A"/>
    <w:rsid w:val="0012753C"/>
    <w:rsid w:val="00130CD7"/>
    <w:rsid w:val="00131DF0"/>
    <w:rsid w:val="001343B5"/>
    <w:rsid w:val="00135F8E"/>
    <w:rsid w:val="0013621E"/>
    <w:rsid w:val="00137444"/>
    <w:rsid w:val="00137522"/>
    <w:rsid w:val="00144437"/>
    <w:rsid w:val="001449F4"/>
    <w:rsid w:val="001461A2"/>
    <w:rsid w:val="001469A0"/>
    <w:rsid w:val="00146F7F"/>
    <w:rsid w:val="0015096D"/>
    <w:rsid w:val="00151538"/>
    <w:rsid w:val="001523D9"/>
    <w:rsid w:val="00153BE2"/>
    <w:rsid w:val="00153CD7"/>
    <w:rsid w:val="001547AC"/>
    <w:rsid w:val="00155D77"/>
    <w:rsid w:val="001575F9"/>
    <w:rsid w:val="001602B3"/>
    <w:rsid w:val="00161836"/>
    <w:rsid w:val="00161891"/>
    <w:rsid w:val="00164932"/>
    <w:rsid w:val="00164E9E"/>
    <w:rsid w:val="00167E06"/>
    <w:rsid w:val="00167F20"/>
    <w:rsid w:val="00172313"/>
    <w:rsid w:val="00172C7C"/>
    <w:rsid w:val="00173E62"/>
    <w:rsid w:val="001748AD"/>
    <w:rsid w:val="001753D9"/>
    <w:rsid w:val="00175943"/>
    <w:rsid w:val="00176ADB"/>
    <w:rsid w:val="00180B2F"/>
    <w:rsid w:val="0018483F"/>
    <w:rsid w:val="00184978"/>
    <w:rsid w:val="001849BD"/>
    <w:rsid w:val="00186678"/>
    <w:rsid w:val="0018670F"/>
    <w:rsid w:val="00187B93"/>
    <w:rsid w:val="0019078B"/>
    <w:rsid w:val="00191970"/>
    <w:rsid w:val="001928AC"/>
    <w:rsid w:val="001933E2"/>
    <w:rsid w:val="00194579"/>
    <w:rsid w:val="001946F3"/>
    <w:rsid w:val="00194A62"/>
    <w:rsid w:val="00195642"/>
    <w:rsid w:val="00197042"/>
    <w:rsid w:val="00197A3C"/>
    <w:rsid w:val="001A0A0C"/>
    <w:rsid w:val="001A1106"/>
    <w:rsid w:val="001A112E"/>
    <w:rsid w:val="001A177C"/>
    <w:rsid w:val="001A1A4C"/>
    <w:rsid w:val="001A1BAA"/>
    <w:rsid w:val="001A1C8F"/>
    <w:rsid w:val="001A1EA6"/>
    <w:rsid w:val="001A2020"/>
    <w:rsid w:val="001A2DFB"/>
    <w:rsid w:val="001A36B8"/>
    <w:rsid w:val="001A40DC"/>
    <w:rsid w:val="001A63D1"/>
    <w:rsid w:val="001A6B78"/>
    <w:rsid w:val="001A7C65"/>
    <w:rsid w:val="001A7E10"/>
    <w:rsid w:val="001B0B5B"/>
    <w:rsid w:val="001B0B9A"/>
    <w:rsid w:val="001B0E14"/>
    <w:rsid w:val="001B2419"/>
    <w:rsid w:val="001B29E9"/>
    <w:rsid w:val="001B33E7"/>
    <w:rsid w:val="001B5E2B"/>
    <w:rsid w:val="001B684A"/>
    <w:rsid w:val="001C1448"/>
    <w:rsid w:val="001C2A90"/>
    <w:rsid w:val="001C2EA8"/>
    <w:rsid w:val="001C4635"/>
    <w:rsid w:val="001C5150"/>
    <w:rsid w:val="001C55EE"/>
    <w:rsid w:val="001D19C5"/>
    <w:rsid w:val="001D4477"/>
    <w:rsid w:val="001D4A74"/>
    <w:rsid w:val="001D50AA"/>
    <w:rsid w:val="001D5886"/>
    <w:rsid w:val="001D5BD6"/>
    <w:rsid w:val="001D5F7A"/>
    <w:rsid w:val="001D63DC"/>
    <w:rsid w:val="001D693C"/>
    <w:rsid w:val="001D789C"/>
    <w:rsid w:val="001D7CC0"/>
    <w:rsid w:val="001E373A"/>
    <w:rsid w:val="001E3A10"/>
    <w:rsid w:val="001E3BB5"/>
    <w:rsid w:val="001E7078"/>
    <w:rsid w:val="001F1AFB"/>
    <w:rsid w:val="001F4991"/>
    <w:rsid w:val="001F4E4E"/>
    <w:rsid w:val="001F57F0"/>
    <w:rsid w:val="001F6814"/>
    <w:rsid w:val="001F6EFE"/>
    <w:rsid w:val="001F7C21"/>
    <w:rsid w:val="00203A3A"/>
    <w:rsid w:val="002053C5"/>
    <w:rsid w:val="00205A11"/>
    <w:rsid w:val="00205F89"/>
    <w:rsid w:val="002073A3"/>
    <w:rsid w:val="002103DC"/>
    <w:rsid w:val="00210C4C"/>
    <w:rsid w:val="002114AF"/>
    <w:rsid w:val="0021303B"/>
    <w:rsid w:val="00214333"/>
    <w:rsid w:val="00217D3D"/>
    <w:rsid w:val="00220D4A"/>
    <w:rsid w:val="0022106D"/>
    <w:rsid w:val="002218A8"/>
    <w:rsid w:val="0022248B"/>
    <w:rsid w:val="00222F1A"/>
    <w:rsid w:val="00223C60"/>
    <w:rsid w:val="00224992"/>
    <w:rsid w:val="00225D95"/>
    <w:rsid w:val="002260BE"/>
    <w:rsid w:val="00226171"/>
    <w:rsid w:val="00226F83"/>
    <w:rsid w:val="002316BB"/>
    <w:rsid w:val="002336C0"/>
    <w:rsid w:val="00233A65"/>
    <w:rsid w:val="00233D9A"/>
    <w:rsid w:val="00234ABA"/>
    <w:rsid w:val="00235E93"/>
    <w:rsid w:val="0023638C"/>
    <w:rsid w:val="00237B12"/>
    <w:rsid w:val="00241229"/>
    <w:rsid w:val="00242A1C"/>
    <w:rsid w:val="0024328C"/>
    <w:rsid w:val="00243613"/>
    <w:rsid w:val="00243FF6"/>
    <w:rsid w:val="00244483"/>
    <w:rsid w:val="00245F7A"/>
    <w:rsid w:val="00246D10"/>
    <w:rsid w:val="00250831"/>
    <w:rsid w:val="00250A70"/>
    <w:rsid w:val="00251370"/>
    <w:rsid w:val="0025155A"/>
    <w:rsid w:val="00251565"/>
    <w:rsid w:val="0025199B"/>
    <w:rsid w:val="00251F8A"/>
    <w:rsid w:val="00253936"/>
    <w:rsid w:val="00253D97"/>
    <w:rsid w:val="00254413"/>
    <w:rsid w:val="00256624"/>
    <w:rsid w:val="00257379"/>
    <w:rsid w:val="00261A80"/>
    <w:rsid w:val="00262228"/>
    <w:rsid w:val="00264E24"/>
    <w:rsid w:val="00265BA6"/>
    <w:rsid w:val="002664B3"/>
    <w:rsid w:val="00267049"/>
    <w:rsid w:val="002701D0"/>
    <w:rsid w:val="00271666"/>
    <w:rsid w:val="00271827"/>
    <w:rsid w:val="00271ABF"/>
    <w:rsid w:val="00271ADF"/>
    <w:rsid w:val="00271DE2"/>
    <w:rsid w:val="002720FE"/>
    <w:rsid w:val="00272A69"/>
    <w:rsid w:val="002752D6"/>
    <w:rsid w:val="00275D1D"/>
    <w:rsid w:val="002769AF"/>
    <w:rsid w:val="00277B23"/>
    <w:rsid w:val="00277D66"/>
    <w:rsid w:val="0028037F"/>
    <w:rsid w:val="0028356B"/>
    <w:rsid w:val="00283D95"/>
    <w:rsid w:val="0029107D"/>
    <w:rsid w:val="002914F9"/>
    <w:rsid w:val="002927C2"/>
    <w:rsid w:val="00293655"/>
    <w:rsid w:val="002941C6"/>
    <w:rsid w:val="00294583"/>
    <w:rsid w:val="00295CD7"/>
    <w:rsid w:val="002A16C4"/>
    <w:rsid w:val="002A2F8A"/>
    <w:rsid w:val="002A42A0"/>
    <w:rsid w:val="002A7C3D"/>
    <w:rsid w:val="002B0364"/>
    <w:rsid w:val="002B12BA"/>
    <w:rsid w:val="002B2B1B"/>
    <w:rsid w:val="002B3B79"/>
    <w:rsid w:val="002B3BD0"/>
    <w:rsid w:val="002B439F"/>
    <w:rsid w:val="002B660A"/>
    <w:rsid w:val="002B6D91"/>
    <w:rsid w:val="002C150A"/>
    <w:rsid w:val="002C2A6C"/>
    <w:rsid w:val="002C3B5F"/>
    <w:rsid w:val="002C4216"/>
    <w:rsid w:val="002C51FA"/>
    <w:rsid w:val="002C522A"/>
    <w:rsid w:val="002C57E4"/>
    <w:rsid w:val="002C7EB9"/>
    <w:rsid w:val="002D0ADB"/>
    <w:rsid w:val="002D0BE0"/>
    <w:rsid w:val="002D0C44"/>
    <w:rsid w:val="002D0D83"/>
    <w:rsid w:val="002D1FFB"/>
    <w:rsid w:val="002D220B"/>
    <w:rsid w:val="002D40B9"/>
    <w:rsid w:val="002D56AE"/>
    <w:rsid w:val="002D7766"/>
    <w:rsid w:val="002D7844"/>
    <w:rsid w:val="002D7AF6"/>
    <w:rsid w:val="002E0E64"/>
    <w:rsid w:val="002E2340"/>
    <w:rsid w:val="002E2AD5"/>
    <w:rsid w:val="002E4E69"/>
    <w:rsid w:val="002F07B8"/>
    <w:rsid w:val="002F1F01"/>
    <w:rsid w:val="002F4FEE"/>
    <w:rsid w:val="002F544C"/>
    <w:rsid w:val="002F608D"/>
    <w:rsid w:val="002F7B6B"/>
    <w:rsid w:val="002F7DB9"/>
    <w:rsid w:val="00301FD8"/>
    <w:rsid w:val="00302265"/>
    <w:rsid w:val="00302754"/>
    <w:rsid w:val="003045A4"/>
    <w:rsid w:val="0030531D"/>
    <w:rsid w:val="003059FB"/>
    <w:rsid w:val="003060BA"/>
    <w:rsid w:val="00307C61"/>
    <w:rsid w:val="00307CDF"/>
    <w:rsid w:val="0031090C"/>
    <w:rsid w:val="00310EB6"/>
    <w:rsid w:val="0031140F"/>
    <w:rsid w:val="003114C4"/>
    <w:rsid w:val="00312465"/>
    <w:rsid w:val="00312878"/>
    <w:rsid w:val="00312C5A"/>
    <w:rsid w:val="00314373"/>
    <w:rsid w:val="003153A9"/>
    <w:rsid w:val="00315AAA"/>
    <w:rsid w:val="0031754E"/>
    <w:rsid w:val="003205CC"/>
    <w:rsid w:val="00320E4E"/>
    <w:rsid w:val="003216F8"/>
    <w:rsid w:val="003225CA"/>
    <w:rsid w:val="00322A13"/>
    <w:rsid w:val="00322C43"/>
    <w:rsid w:val="003236A1"/>
    <w:rsid w:val="00323B2A"/>
    <w:rsid w:val="00323ECE"/>
    <w:rsid w:val="003259F3"/>
    <w:rsid w:val="0032628E"/>
    <w:rsid w:val="00327C35"/>
    <w:rsid w:val="003326EF"/>
    <w:rsid w:val="003346F6"/>
    <w:rsid w:val="00334C4D"/>
    <w:rsid w:val="00335B3E"/>
    <w:rsid w:val="003369FC"/>
    <w:rsid w:val="00336D26"/>
    <w:rsid w:val="00337761"/>
    <w:rsid w:val="00341D9B"/>
    <w:rsid w:val="003425CD"/>
    <w:rsid w:val="0034286F"/>
    <w:rsid w:val="00343B23"/>
    <w:rsid w:val="003449B5"/>
    <w:rsid w:val="00344E85"/>
    <w:rsid w:val="00345809"/>
    <w:rsid w:val="0035068C"/>
    <w:rsid w:val="003514D4"/>
    <w:rsid w:val="003540B4"/>
    <w:rsid w:val="00354961"/>
    <w:rsid w:val="00357C77"/>
    <w:rsid w:val="00357EB7"/>
    <w:rsid w:val="00360B95"/>
    <w:rsid w:val="003624B3"/>
    <w:rsid w:val="003638F2"/>
    <w:rsid w:val="00364262"/>
    <w:rsid w:val="00365F06"/>
    <w:rsid w:val="00366CED"/>
    <w:rsid w:val="00366DEE"/>
    <w:rsid w:val="00370C9B"/>
    <w:rsid w:val="00374719"/>
    <w:rsid w:val="0037529F"/>
    <w:rsid w:val="00376175"/>
    <w:rsid w:val="0037619E"/>
    <w:rsid w:val="00376B8E"/>
    <w:rsid w:val="00376E7D"/>
    <w:rsid w:val="00376EA5"/>
    <w:rsid w:val="003772E3"/>
    <w:rsid w:val="003779D6"/>
    <w:rsid w:val="0038177F"/>
    <w:rsid w:val="00382808"/>
    <w:rsid w:val="003830D3"/>
    <w:rsid w:val="00385517"/>
    <w:rsid w:val="003855A0"/>
    <w:rsid w:val="00387568"/>
    <w:rsid w:val="0038765E"/>
    <w:rsid w:val="00391536"/>
    <w:rsid w:val="00393168"/>
    <w:rsid w:val="00393AA3"/>
    <w:rsid w:val="00396C2C"/>
    <w:rsid w:val="00396F66"/>
    <w:rsid w:val="003A008A"/>
    <w:rsid w:val="003A1BAC"/>
    <w:rsid w:val="003B175D"/>
    <w:rsid w:val="003B343A"/>
    <w:rsid w:val="003B4CED"/>
    <w:rsid w:val="003B5ED0"/>
    <w:rsid w:val="003B62EB"/>
    <w:rsid w:val="003B71FE"/>
    <w:rsid w:val="003C0EFE"/>
    <w:rsid w:val="003C1593"/>
    <w:rsid w:val="003C2D3D"/>
    <w:rsid w:val="003C4E6F"/>
    <w:rsid w:val="003C58C2"/>
    <w:rsid w:val="003D36C9"/>
    <w:rsid w:val="003D3943"/>
    <w:rsid w:val="003D4A9C"/>
    <w:rsid w:val="003D4F7B"/>
    <w:rsid w:val="003D52C1"/>
    <w:rsid w:val="003D62F2"/>
    <w:rsid w:val="003D6360"/>
    <w:rsid w:val="003D6BD9"/>
    <w:rsid w:val="003D6C44"/>
    <w:rsid w:val="003D7261"/>
    <w:rsid w:val="003D72C4"/>
    <w:rsid w:val="003D7AA1"/>
    <w:rsid w:val="003E02CF"/>
    <w:rsid w:val="003E0702"/>
    <w:rsid w:val="003E1587"/>
    <w:rsid w:val="003E20EE"/>
    <w:rsid w:val="003E2AFD"/>
    <w:rsid w:val="003E4AE5"/>
    <w:rsid w:val="003E4D51"/>
    <w:rsid w:val="003F01D7"/>
    <w:rsid w:val="003F05E5"/>
    <w:rsid w:val="003F2034"/>
    <w:rsid w:val="003F2B22"/>
    <w:rsid w:val="003F2CB1"/>
    <w:rsid w:val="003F470C"/>
    <w:rsid w:val="003F4A79"/>
    <w:rsid w:val="003F63F5"/>
    <w:rsid w:val="00402215"/>
    <w:rsid w:val="0040239A"/>
    <w:rsid w:val="00402BD2"/>
    <w:rsid w:val="00405C1D"/>
    <w:rsid w:val="00406D4F"/>
    <w:rsid w:val="0040709E"/>
    <w:rsid w:val="00407E28"/>
    <w:rsid w:val="00407F5F"/>
    <w:rsid w:val="0041003C"/>
    <w:rsid w:val="00410E8D"/>
    <w:rsid w:val="00411459"/>
    <w:rsid w:val="00412FDB"/>
    <w:rsid w:val="00414D9F"/>
    <w:rsid w:val="0041751A"/>
    <w:rsid w:val="004208B0"/>
    <w:rsid w:val="00420F40"/>
    <w:rsid w:val="004226B4"/>
    <w:rsid w:val="00422F9D"/>
    <w:rsid w:val="00423807"/>
    <w:rsid w:val="004238C7"/>
    <w:rsid w:val="00424D42"/>
    <w:rsid w:val="004300DF"/>
    <w:rsid w:val="00430E35"/>
    <w:rsid w:val="0043154F"/>
    <w:rsid w:val="00432092"/>
    <w:rsid w:val="00432113"/>
    <w:rsid w:val="00433052"/>
    <w:rsid w:val="0043377F"/>
    <w:rsid w:val="00434412"/>
    <w:rsid w:val="004352DF"/>
    <w:rsid w:val="00435843"/>
    <w:rsid w:val="00443F70"/>
    <w:rsid w:val="00444C08"/>
    <w:rsid w:val="004508C5"/>
    <w:rsid w:val="004516D3"/>
    <w:rsid w:val="00452138"/>
    <w:rsid w:val="00453A14"/>
    <w:rsid w:val="00453C6F"/>
    <w:rsid w:val="004547C3"/>
    <w:rsid w:val="00454FAD"/>
    <w:rsid w:val="004572EB"/>
    <w:rsid w:val="00457C02"/>
    <w:rsid w:val="00461EDE"/>
    <w:rsid w:val="00462760"/>
    <w:rsid w:val="00462EDE"/>
    <w:rsid w:val="00463DBF"/>
    <w:rsid w:val="0046616A"/>
    <w:rsid w:val="004666C2"/>
    <w:rsid w:val="004702E6"/>
    <w:rsid w:val="0047289E"/>
    <w:rsid w:val="004752B0"/>
    <w:rsid w:val="0047593D"/>
    <w:rsid w:val="00476531"/>
    <w:rsid w:val="00477D86"/>
    <w:rsid w:val="00480F4D"/>
    <w:rsid w:val="0048122D"/>
    <w:rsid w:val="00481AC4"/>
    <w:rsid w:val="004838A1"/>
    <w:rsid w:val="004839C0"/>
    <w:rsid w:val="0048428B"/>
    <w:rsid w:val="00484FBD"/>
    <w:rsid w:val="00487DA4"/>
    <w:rsid w:val="00490966"/>
    <w:rsid w:val="0049150A"/>
    <w:rsid w:val="00493DDE"/>
    <w:rsid w:val="004941C8"/>
    <w:rsid w:val="00497A97"/>
    <w:rsid w:val="004A0C78"/>
    <w:rsid w:val="004A120D"/>
    <w:rsid w:val="004A1420"/>
    <w:rsid w:val="004A3516"/>
    <w:rsid w:val="004A3C73"/>
    <w:rsid w:val="004A5A6A"/>
    <w:rsid w:val="004A7EA0"/>
    <w:rsid w:val="004B10FE"/>
    <w:rsid w:val="004B6F20"/>
    <w:rsid w:val="004B7B25"/>
    <w:rsid w:val="004B7DE8"/>
    <w:rsid w:val="004C423B"/>
    <w:rsid w:val="004C476D"/>
    <w:rsid w:val="004C49D5"/>
    <w:rsid w:val="004D2D0B"/>
    <w:rsid w:val="004D4456"/>
    <w:rsid w:val="004D5DA7"/>
    <w:rsid w:val="004D6B02"/>
    <w:rsid w:val="004D7701"/>
    <w:rsid w:val="004D7FB0"/>
    <w:rsid w:val="004E158B"/>
    <w:rsid w:val="004E2580"/>
    <w:rsid w:val="004E3029"/>
    <w:rsid w:val="004E345A"/>
    <w:rsid w:val="004E387F"/>
    <w:rsid w:val="004E3B55"/>
    <w:rsid w:val="004E457C"/>
    <w:rsid w:val="004E5E9A"/>
    <w:rsid w:val="004E6CBD"/>
    <w:rsid w:val="004E7FF5"/>
    <w:rsid w:val="004F0854"/>
    <w:rsid w:val="004F0BB1"/>
    <w:rsid w:val="004F1974"/>
    <w:rsid w:val="004F2BEE"/>
    <w:rsid w:val="004F2C16"/>
    <w:rsid w:val="004F4E89"/>
    <w:rsid w:val="004F5117"/>
    <w:rsid w:val="004F523B"/>
    <w:rsid w:val="004F5442"/>
    <w:rsid w:val="004F5C1C"/>
    <w:rsid w:val="00500C58"/>
    <w:rsid w:val="005039A1"/>
    <w:rsid w:val="00503D96"/>
    <w:rsid w:val="00504584"/>
    <w:rsid w:val="005047D7"/>
    <w:rsid w:val="0050506F"/>
    <w:rsid w:val="00505B92"/>
    <w:rsid w:val="005069EE"/>
    <w:rsid w:val="00507B89"/>
    <w:rsid w:val="00510A25"/>
    <w:rsid w:val="00510C83"/>
    <w:rsid w:val="00512BCD"/>
    <w:rsid w:val="00513AAB"/>
    <w:rsid w:val="00514E9A"/>
    <w:rsid w:val="00516FA6"/>
    <w:rsid w:val="00522CFF"/>
    <w:rsid w:val="00523932"/>
    <w:rsid w:val="0052435E"/>
    <w:rsid w:val="00524C77"/>
    <w:rsid w:val="00525231"/>
    <w:rsid w:val="00530B17"/>
    <w:rsid w:val="00531B26"/>
    <w:rsid w:val="005321E8"/>
    <w:rsid w:val="00533A3F"/>
    <w:rsid w:val="00533AEB"/>
    <w:rsid w:val="00534C5D"/>
    <w:rsid w:val="005365AD"/>
    <w:rsid w:val="00537E05"/>
    <w:rsid w:val="00541D57"/>
    <w:rsid w:val="005426C7"/>
    <w:rsid w:val="00543BEF"/>
    <w:rsid w:val="00545538"/>
    <w:rsid w:val="005459C1"/>
    <w:rsid w:val="00545C13"/>
    <w:rsid w:val="00546830"/>
    <w:rsid w:val="00547A9D"/>
    <w:rsid w:val="005504B1"/>
    <w:rsid w:val="005518C8"/>
    <w:rsid w:val="00552937"/>
    <w:rsid w:val="00552CC4"/>
    <w:rsid w:val="00554519"/>
    <w:rsid w:val="00554C74"/>
    <w:rsid w:val="005601AE"/>
    <w:rsid w:val="00561E42"/>
    <w:rsid w:val="00565DBF"/>
    <w:rsid w:val="00567031"/>
    <w:rsid w:val="00571778"/>
    <w:rsid w:val="00573F53"/>
    <w:rsid w:val="00575E09"/>
    <w:rsid w:val="00576D73"/>
    <w:rsid w:val="005771EB"/>
    <w:rsid w:val="00577333"/>
    <w:rsid w:val="005802E8"/>
    <w:rsid w:val="00581E3D"/>
    <w:rsid w:val="005822AF"/>
    <w:rsid w:val="00583473"/>
    <w:rsid w:val="00583A85"/>
    <w:rsid w:val="00583EA1"/>
    <w:rsid w:val="0058482E"/>
    <w:rsid w:val="005848AE"/>
    <w:rsid w:val="00585FD5"/>
    <w:rsid w:val="005867F3"/>
    <w:rsid w:val="00586F32"/>
    <w:rsid w:val="00592CF6"/>
    <w:rsid w:val="00593471"/>
    <w:rsid w:val="00593CA3"/>
    <w:rsid w:val="00596B92"/>
    <w:rsid w:val="005976B3"/>
    <w:rsid w:val="00597ECD"/>
    <w:rsid w:val="005A0873"/>
    <w:rsid w:val="005A087B"/>
    <w:rsid w:val="005A16D7"/>
    <w:rsid w:val="005A234F"/>
    <w:rsid w:val="005A3119"/>
    <w:rsid w:val="005A3BC5"/>
    <w:rsid w:val="005A4AF4"/>
    <w:rsid w:val="005A5A12"/>
    <w:rsid w:val="005A6BA7"/>
    <w:rsid w:val="005A6F19"/>
    <w:rsid w:val="005A75D5"/>
    <w:rsid w:val="005B0B42"/>
    <w:rsid w:val="005B18AA"/>
    <w:rsid w:val="005B25E5"/>
    <w:rsid w:val="005B31E9"/>
    <w:rsid w:val="005B4D73"/>
    <w:rsid w:val="005C29C4"/>
    <w:rsid w:val="005C46C5"/>
    <w:rsid w:val="005C6361"/>
    <w:rsid w:val="005C6983"/>
    <w:rsid w:val="005D1DB9"/>
    <w:rsid w:val="005D2582"/>
    <w:rsid w:val="005D27E5"/>
    <w:rsid w:val="005D2D57"/>
    <w:rsid w:val="005D41BD"/>
    <w:rsid w:val="005D7DE8"/>
    <w:rsid w:val="005E2230"/>
    <w:rsid w:val="005E24C5"/>
    <w:rsid w:val="005E3425"/>
    <w:rsid w:val="005E5011"/>
    <w:rsid w:val="005E64DA"/>
    <w:rsid w:val="005E79AE"/>
    <w:rsid w:val="005F0375"/>
    <w:rsid w:val="005F04BE"/>
    <w:rsid w:val="005F0935"/>
    <w:rsid w:val="005F096E"/>
    <w:rsid w:val="005F16CE"/>
    <w:rsid w:val="005F1849"/>
    <w:rsid w:val="005F6B9A"/>
    <w:rsid w:val="005F7257"/>
    <w:rsid w:val="005F7870"/>
    <w:rsid w:val="00600041"/>
    <w:rsid w:val="00601908"/>
    <w:rsid w:val="00601DBE"/>
    <w:rsid w:val="00606FF1"/>
    <w:rsid w:val="00610CF5"/>
    <w:rsid w:val="006137B5"/>
    <w:rsid w:val="00613AD7"/>
    <w:rsid w:val="00615C01"/>
    <w:rsid w:val="0061793C"/>
    <w:rsid w:val="00617EA4"/>
    <w:rsid w:val="0062009D"/>
    <w:rsid w:val="00621D7F"/>
    <w:rsid w:val="0062243C"/>
    <w:rsid w:val="00622FAD"/>
    <w:rsid w:val="0062400B"/>
    <w:rsid w:val="00624DCE"/>
    <w:rsid w:val="00625086"/>
    <w:rsid w:val="00625424"/>
    <w:rsid w:val="006260FB"/>
    <w:rsid w:val="006267C3"/>
    <w:rsid w:val="00627572"/>
    <w:rsid w:val="00627AB5"/>
    <w:rsid w:val="006302E5"/>
    <w:rsid w:val="00631841"/>
    <w:rsid w:val="00633875"/>
    <w:rsid w:val="00635CE4"/>
    <w:rsid w:val="00635D6C"/>
    <w:rsid w:val="00636F3C"/>
    <w:rsid w:val="00640213"/>
    <w:rsid w:val="006403C9"/>
    <w:rsid w:val="006409E2"/>
    <w:rsid w:val="00640AF0"/>
    <w:rsid w:val="00641791"/>
    <w:rsid w:val="006447AE"/>
    <w:rsid w:val="00645214"/>
    <w:rsid w:val="0064609A"/>
    <w:rsid w:val="006466A1"/>
    <w:rsid w:val="00647375"/>
    <w:rsid w:val="0065106A"/>
    <w:rsid w:val="00651811"/>
    <w:rsid w:val="0065235E"/>
    <w:rsid w:val="006523FC"/>
    <w:rsid w:val="006525DA"/>
    <w:rsid w:val="00652892"/>
    <w:rsid w:val="006549D0"/>
    <w:rsid w:val="0065516A"/>
    <w:rsid w:val="006553F8"/>
    <w:rsid w:val="0065586B"/>
    <w:rsid w:val="006610C0"/>
    <w:rsid w:val="006612F3"/>
    <w:rsid w:val="00661659"/>
    <w:rsid w:val="00661C7C"/>
    <w:rsid w:val="00662830"/>
    <w:rsid w:val="00663A30"/>
    <w:rsid w:val="00663AF4"/>
    <w:rsid w:val="00666821"/>
    <w:rsid w:val="00666B53"/>
    <w:rsid w:val="00667C5C"/>
    <w:rsid w:val="00673DB7"/>
    <w:rsid w:val="00674BD8"/>
    <w:rsid w:val="006759AD"/>
    <w:rsid w:val="00676BDB"/>
    <w:rsid w:val="0067750E"/>
    <w:rsid w:val="00680762"/>
    <w:rsid w:val="00680D66"/>
    <w:rsid w:val="00681F19"/>
    <w:rsid w:val="00682721"/>
    <w:rsid w:val="00682C2A"/>
    <w:rsid w:val="00683AA0"/>
    <w:rsid w:val="00684E1B"/>
    <w:rsid w:val="00685843"/>
    <w:rsid w:val="006931D4"/>
    <w:rsid w:val="00693F68"/>
    <w:rsid w:val="006940A3"/>
    <w:rsid w:val="006949A4"/>
    <w:rsid w:val="00695045"/>
    <w:rsid w:val="00697448"/>
    <w:rsid w:val="006A1048"/>
    <w:rsid w:val="006A15A7"/>
    <w:rsid w:val="006A35B8"/>
    <w:rsid w:val="006A5637"/>
    <w:rsid w:val="006B2D8A"/>
    <w:rsid w:val="006B3F43"/>
    <w:rsid w:val="006B413D"/>
    <w:rsid w:val="006B531E"/>
    <w:rsid w:val="006B5F44"/>
    <w:rsid w:val="006B6763"/>
    <w:rsid w:val="006C024F"/>
    <w:rsid w:val="006C355C"/>
    <w:rsid w:val="006C6D2F"/>
    <w:rsid w:val="006C7E0C"/>
    <w:rsid w:val="006D0F3D"/>
    <w:rsid w:val="006D2514"/>
    <w:rsid w:val="006D364A"/>
    <w:rsid w:val="006D3E13"/>
    <w:rsid w:val="006D3ECB"/>
    <w:rsid w:val="006D41BF"/>
    <w:rsid w:val="006D568D"/>
    <w:rsid w:val="006D7E72"/>
    <w:rsid w:val="006E0882"/>
    <w:rsid w:val="006E08CC"/>
    <w:rsid w:val="006E0C43"/>
    <w:rsid w:val="006E18CA"/>
    <w:rsid w:val="006E2491"/>
    <w:rsid w:val="006E27EF"/>
    <w:rsid w:val="006E2C59"/>
    <w:rsid w:val="006E355B"/>
    <w:rsid w:val="006E3E6C"/>
    <w:rsid w:val="006E4B19"/>
    <w:rsid w:val="006E7D8D"/>
    <w:rsid w:val="006F0D8D"/>
    <w:rsid w:val="006F0EDF"/>
    <w:rsid w:val="006F1674"/>
    <w:rsid w:val="006F1B84"/>
    <w:rsid w:val="006F2019"/>
    <w:rsid w:val="006F23C0"/>
    <w:rsid w:val="006F4FFF"/>
    <w:rsid w:val="006F5877"/>
    <w:rsid w:val="006F5DFC"/>
    <w:rsid w:val="006F7433"/>
    <w:rsid w:val="007015DF"/>
    <w:rsid w:val="00704886"/>
    <w:rsid w:val="00707FF2"/>
    <w:rsid w:val="00710EF0"/>
    <w:rsid w:val="00710EFB"/>
    <w:rsid w:val="00711530"/>
    <w:rsid w:val="00711C07"/>
    <w:rsid w:val="00711C77"/>
    <w:rsid w:val="00711E89"/>
    <w:rsid w:val="0071275D"/>
    <w:rsid w:val="0071523A"/>
    <w:rsid w:val="007153C2"/>
    <w:rsid w:val="0071579C"/>
    <w:rsid w:val="00720686"/>
    <w:rsid w:val="007207F8"/>
    <w:rsid w:val="00720B78"/>
    <w:rsid w:val="0072338D"/>
    <w:rsid w:val="00723654"/>
    <w:rsid w:val="00723D8F"/>
    <w:rsid w:val="00724DFC"/>
    <w:rsid w:val="00725D53"/>
    <w:rsid w:val="00732A41"/>
    <w:rsid w:val="00733149"/>
    <w:rsid w:val="00733D8A"/>
    <w:rsid w:val="00735A78"/>
    <w:rsid w:val="00736DE2"/>
    <w:rsid w:val="00740FFC"/>
    <w:rsid w:val="007415BB"/>
    <w:rsid w:val="00741C32"/>
    <w:rsid w:val="0074238D"/>
    <w:rsid w:val="007438D9"/>
    <w:rsid w:val="007439DB"/>
    <w:rsid w:val="0074452C"/>
    <w:rsid w:val="00744716"/>
    <w:rsid w:val="0074735D"/>
    <w:rsid w:val="00747A96"/>
    <w:rsid w:val="00755F1D"/>
    <w:rsid w:val="00756072"/>
    <w:rsid w:val="007565AA"/>
    <w:rsid w:val="00756D04"/>
    <w:rsid w:val="00757145"/>
    <w:rsid w:val="00757E5C"/>
    <w:rsid w:val="007610C9"/>
    <w:rsid w:val="00762769"/>
    <w:rsid w:val="00764402"/>
    <w:rsid w:val="00764792"/>
    <w:rsid w:val="00772775"/>
    <w:rsid w:val="00773DA7"/>
    <w:rsid w:val="00775B12"/>
    <w:rsid w:val="00776BA1"/>
    <w:rsid w:val="00777442"/>
    <w:rsid w:val="00777A0A"/>
    <w:rsid w:val="0078016C"/>
    <w:rsid w:val="00780F6C"/>
    <w:rsid w:val="007814F1"/>
    <w:rsid w:val="007818BE"/>
    <w:rsid w:val="00781F85"/>
    <w:rsid w:val="00783B88"/>
    <w:rsid w:val="00784ADD"/>
    <w:rsid w:val="00790BA4"/>
    <w:rsid w:val="00791D1E"/>
    <w:rsid w:val="0079209B"/>
    <w:rsid w:val="007A0F4C"/>
    <w:rsid w:val="007A1894"/>
    <w:rsid w:val="007A1B5B"/>
    <w:rsid w:val="007A6B27"/>
    <w:rsid w:val="007B108D"/>
    <w:rsid w:val="007B142C"/>
    <w:rsid w:val="007B3707"/>
    <w:rsid w:val="007B5B26"/>
    <w:rsid w:val="007B6CBB"/>
    <w:rsid w:val="007B71C0"/>
    <w:rsid w:val="007C17D3"/>
    <w:rsid w:val="007C571C"/>
    <w:rsid w:val="007C7241"/>
    <w:rsid w:val="007C7B21"/>
    <w:rsid w:val="007D300E"/>
    <w:rsid w:val="007D32AB"/>
    <w:rsid w:val="007D7FBE"/>
    <w:rsid w:val="007E15DC"/>
    <w:rsid w:val="007E456C"/>
    <w:rsid w:val="007E4B97"/>
    <w:rsid w:val="007E55E2"/>
    <w:rsid w:val="007E578E"/>
    <w:rsid w:val="007E5ED4"/>
    <w:rsid w:val="007E6664"/>
    <w:rsid w:val="007E6DC8"/>
    <w:rsid w:val="007E7893"/>
    <w:rsid w:val="007F23EC"/>
    <w:rsid w:val="007F5A1F"/>
    <w:rsid w:val="007F62C8"/>
    <w:rsid w:val="007F74C3"/>
    <w:rsid w:val="007F7655"/>
    <w:rsid w:val="007F787A"/>
    <w:rsid w:val="008012AA"/>
    <w:rsid w:val="0080228C"/>
    <w:rsid w:val="00803E6C"/>
    <w:rsid w:val="00803EE8"/>
    <w:rsid w:val="00804F2C"/>
    <w:rsid w:val="008064D7"/>
    <w:rsid w:val="00806B4D"/>
    <w:rsid w:val="00806EDD"/>
    <w:rsid w:val="008074DF"/>
    <w:rsid w:val="0080783A"/>
    <w:rsid w:val="00807910"/>
    <w:rsid w:val="00810AC7"/>
    <w:rsid w:val="0081134F"/>
    <w:rsid w:val="00812055"/>
    <w:rsid w:val="00812F4D"/>
    <w:rsid w:val="008132EC"/>
    <w:rsid w:val="008133B6"/>
    <w:rsid w:val="00816D26"/>
    <w:rsid w:val="00820AC3"/>
    <w:rsid w:val="00820AF7"/>
    <w:rsid w:val="00821C55"/>
    <w:rsid w:val="00822525"/>
    <w:rsid w:val="00824376"/>
    <w:rsid w:val="008278BC"/>
    <w:rsid w:val="00827930"/>
    <w:rsid w:val="0083059C"/>
    <w:rsid w:val="0083193E"/>
    <w:rsid w:val="00832892"/>
    <w:rsid w:val="0083715C"/>
    <w:rsid w:val="0083752D"/>
    <w:rsid w:val="00840C21"/>
    <w:rsid w:val="00841E1F"/>
    <w:rsid w:val="00844C60"/>
    <w:rsid w:val="00846601"/>
    <w:rsid w:val="00846F58"/>
    <w:rsid w:val="0085162B"/>
    <w:rsid w:val="00852447"/>
    <w:rsid w:val="00853FF1"/>
    <w:rsid w:val="0085479E"/>
    <w:rsid w:val="008570D6"/>
    <w:rsid w:val="008572A6"/>
    <w:rsid w:val="00857F44"/>
    <w:rsid w:val="00861D5D"/>
    <w:rsid w:val="00863135"/>
    <w:rsid w:val="0086383A"/>
    <w:rsid w:val="0086423E"/>
    <w:rsid w:val="0086587C"/>
    <w:rsid w:val="00865D9C"/>
    <w:rsid w:val="00866735"/>
    <w:rsid w:val="00870BFD"/>
    <w:rsid w:val="00873D34"/>
    <w:rsid w:val="00875873"/>
    <w:rsid w:val="00875C97"/>
    <w:rsid w:val="0087666E"/>
    <w:rsid w:val="008805A6"/>
    <w:rsid w:val="00880D60"/>
    <w:rsid w:val="008810A1"/>
    <w:rsid w:val="008836E3"/>
    <w:rsid w:val="00890DF6"/>
    <w:rsid w:val="00893008"/>
    <w:rsid w:val="0089327E"/>
    <w:rsid w:val="00893772"/>
    <w:rsid w:val="008949EB"/>
    <w:rsid w:val="00894C01"/>
    <w:rsid w:val="00894C0D"/>
    <w:rsid w:val="00895B1A"/>
    <w:rsid w:val="008973C5"/>
    <w:rsid w:val="008A00A7"/>
    <w:rsid w:val="008A0A78"/>
    <w:rsid w:val="008A18A3"/>
    <w:rsid w:val="008A1ADA"/>
    <w:rsid w:val="008A347D"/>
    <w:rsid w:val="008A4183"/>
    <w:rsid w:val="008A65F7"/>
    <w:rsid w:val="008B07A5"/>
    <w:rsid w:val="008B08BC"/>
    <w:rsid w:val="008B3E2A"/>
    <w:rsid w:val="008B3E62"/>
    <w:rsid w:val="008B5056"/>
    <w:rsid w:val="008C23BA"/>
    <w:rsid w:val="008C4EC5"/>
    <w:rsid w:val="008C4EEB"/>
    <w:rsid w:val="008C5349"/>
    <w:rsid w:val="008D0B85"/>
    <w:rsid w:val="008D196D"/>
    <w:rsid w:val="008D19D5"/>
    <w:rsid w:val="008D4769"/>
    <w:rsid w:val="008D4A7E"/>
    <w:rsid w:val="008D4C02"/>
    <w:rsid w:val="008D4F5C"/>
    <w:rsid w:val="008D59C2"/>
    <w:rsid w:val="008D5C96"/>
    <w:rsid w:val="008D684D"/>
    <w:rsid w:val="008D7360"/>
    <w:rsid w:val="008D78C5"/>
    <w:rsid w:val="008E013A"/>
    <w:rsid w:val="008E0F81"/>
    <w:rsid w:val="008E192C"/>
    <w:rsid w:val="008E1A43"/>
    <w:rsid w:val="008E2786"/>
    <w:rsid w:val="008E2F74"/>
    <w:rsid w:val="008E36C0"/>
    <w:rsid w:val="008E3772"/>
    <w:rsid w:val="008E39E1"/>
    <w:rsid w:val="008E4891"/>
    <w:rsid w:val="008E5EA5"/>
    <w:rsid w:val="008E64FB"/>
    <w:rsid w:val="008E6892"/>
    <w:rsid w:val="008E6BF1"/>
    <w:rsid w:val="008E748A"/>
    <w:rsid w:val="008E7BFF"/>
    <w:rsid w:val="008F3528"/>
    <w:rsid w:val="008F397E"/>
    <w:rsid w:val="008F3F74"/>
    <w:rsid w:val="008F4F19"/>
    <w:rsid w:val="008F5D08"/>
    <w:rsid w:val="008F6ECC"/>
    <w:rsid w:val="008F7F6D"/>
    <w:rsid w:val="00900AA1"/>
    <w:rsid w:val="00902DAC"/>
    <w:rsid w:val="0090321F"/>
    <w:rsid w:val="00904568"/>
    <w:rsid w:val="009049A7"/>
    <w:rsid w:val="009058FA"/>
    <w:rsid w:val="00905FED"/>
    <w:rsid w:val="00907B41"/>
    <w:rsid w:val="00907D5F"/>
    <w:rsid w:val="00911A36"/>
    <w:rsid w:val="009129E6"/>
    <w:rsid w:val="00912DC7"/>
    <w:rsid w:val="00912EEA"/>
    <w:rsid w:val="0091567C"/>
    <w:rsid w:val="00916BF1"/>
    <w:rsid w:val="009202FC"/>
    <w:rsid w:val="00923C35"/>
    <w:rsid w:val="00923EBB"/>
    <w:rsid w:val="00930593"/>
    <w:rsid w:val="00931295"/>
    <w:rsid w:val="009321D3"/>
    <w:rsid w:val="0093533A"/>
    <w:rsid w:val="00936647"/>
    <w:rsid w:val="00936963"/>
    <w:rsid w:val="00936DB9"/>
    <w:rsid w:val="0094216F"/>
    <w:rsid w:val="0094420D"/>
    <w:rsid w:val="00945364"/>
    <w:rsid w:val="0094581A"/>
    <w:rsid w:val="0094776E"/>
    <w:rsid w:val="00947FB0"/>
    <w:rsid w:val="00952A5C"/>
    <w:rsid w:val="00952AEE"/>
    <w:rsid w:val="00952B0E"/>
    <w:rsid w:val="009540D8"/>
    <w:rsid w:val="00954DA9"/>
    <w:rsid w:val="00955971"/>
    <w:rsid w:val="00955AFE"/>
    <w:rsid w:val="00955DEF"/>
    <w:rsid w:val="00957CDC"/>
    <w:rsid w:val="009629E7"/>
    <w:rsid w:val="00962FC7"/>
    <w:rsid w:val="00964587"/>
    <w:rsid w:val="00965B73"/>
    <w:rsid w:val="0096742F"/>
    <w:rsid w:val="0096799B"/>
    <w:rsid w:val="00970FD1"/>
    <w:rsid w:val="009748ED"/>
    <w:rsid w:val="00975498"/>
    <w:rsid w:val="00976A52"/>
    <w:rsid w:val="00976A78"/>
    <w:rsid w:val="00977010"/>
    <w:rsid w:val="0097723B"/>
    <w:rsid w:val="009819E4"/>
    <w:rsid w:val="009829BA"/>
    <w:rsid w:val="00983696"/>
    <w:rsid w:val="00983D3D"/>
    <w:rsid w:val="0098444D"/>
    <w:rsid w:val="009848F3"/>
    <w:rsid w:val="00985D76"/>
    <w:rsid w:val="00985DB5"/>
    <w:rsid w:val="009874BE"/>
    <w:rsid w:val="00991BBC"/>
    <w:rsid w:val="00991C1E"/>
    <w:rsid w:val="00993893"/>
    <w:rsid w:val="009946CA"/>
    <w:rsid w:val="0099674F"/>
    <w:rsid w:val="00997464"/>
    <w:rsid w:val="009A0AD5"/>
    <w:rsid w:val="009A1853"/>
    <w:rsid w:val="009A447A"/>
    <w:rsid w:val="009A4B61"/>
    <w:rsid w:val="009A5603"/>
    <w:rsid w:val="009A5DC9"/>
    <w:rsid w:val="009A5EC2"/>
    <w:rsid w:val="009A671B"/>
    <w:rsid w:val="009A6F66"/>
    <w:rsid w:val="009B0345"/>
    <w:rsid w:val="009B389C"/>
    <w:rsid w:val="009B3CB1"/>
    <w:rsid w:val="009B43AD"/>
    <w:rsid w:val="009B4B63"/>
    <w:rsid w:val="009B4B82"/>
    <w:rsid w:val="009B6E67"/>
    <w:rsid w:val="009C08F7"/>
    <w:rsid w:val="009C09F7"/>
    <w:rsid w:val="009C17C6"/>
    <w:rsid w:val="009C1F74"/>
    <w:rsid w:val="009C46F8"/>
    <w:rsid w:val="009C5884"/>
    <w:rsid w:val="009C626D"/>
    <w:rsid w:val="009C6673"/>
    <w:rsid w:val="009C7015"/>
    <w:rsid w:val="009D3617"/>
    <w:rsid w:val="009D4031"/>
    <w:rsid w:val="009D49E2"/>
    <w:rsid w:val="009D4AB3"/>
    <w:rsid w:val="009D5A88"/>
    <w:rsid w:val="009D6BBA"/>
    <w:rsid w:val="009E2BB7"/>
    <w:rsid w:val="009E3F69"/>
    <w:rsid w:val="009E4A16"/>
    <w:rsid w:val="009F030A"/>
    <w:rsid w:val="009F0C04"/>
    <w:rsid w:val="009F3D77"/>
    <w:rsid w:val="009F4681"/>
    <w:rsid w:val="009F4895"/>
    <w:rsid w:val="009F52D6"/>
    <w:rsid w:val="009F5A6A"/>
    <w:rsid w:val="009F7023"/>
    <w:rsid w:val="009F7C15"/>
    <w:rsid w:val="00A00AA4"/>
    <w:rsid w:val="00A010FC"/>
    <w:rsid w:val="00A01187"/>
    <w:rsid w:val="00A02F3D"/>
    <w:rsid w:val="00A055F1"/>
    <w:rsid w:val="00A05618"/>
    <w:rsid w:val="00A05DEB"/>
    <w:rsid w:val="00A0715C"/>
    <w:rsid w:val="00A07626"/>
    <w:rsid w:val="00A07953"/>
    <w:rsid w:val="00A07B10"/>
    <w:rsid w:val="00A128CF"/>
    <w:rsid w:val="00A13E75"/>
    <w:rsid w:val="00A20D7E"/>
    <w:rsid w:val="00A22A2C"/>
    <w:rsid w:val="00A23C25"/>
    <w:rsid w:val="00A241BF"/>
    <w:rsid w:val="00A24EF2"/>
    <w:rsid w:val="00A2571A"/>
    <w:rsid w:val="00A30070"/>
    <w:rsid w:val="00A311FC"/>
    <w:rsid w:val="00A3434B"/>
    <w:rsid w:val="00A34870"/>
    <w:rsid w:val="00A36F12"/>
    <w:rsid w:val="00A37AC3"/>
    <w:rsid w:val="00A43347"/>
    <w:rsid w:val="00A4426D"/>
    <w:rsid w:val="00A44B88"/>
    <w:rsid w:val="00A462A0"/>
    <w:rsid w:val="00A46F7E"/>
    <w:rsid w:val="00A509FC"/>
    <w:rsid w:val="00A50B46"/>
    <w:rsid w:val="00A50F67"/>
    <w:rsid w:val="00A51A45"/>
    <w:rsid w:val="00A51B3B"/>
    <w:rsid w:val="00A52095"/>
    <w:rsid w:val="00A5264B"/>
    <w:rsid w:val="00A529D9"/>
    <w:rsid w:val="00A53474"/>
    <w:rsid w:val="00A555DD"/>
    <w:rsid w:val="00A572F0"/>
    <w:rsid w:val="00A62B68"/>
    <w:rsid w:val="00A63567"/>
    <w:rsid w:val="00A656D2"/>
    <w:rsid w:val="00A664F2"/>
    <w:rsid w:val="00A66F87"/>
    <w:rsid w:val="00A70B3F"/>
    <w:rsid w:val="00A70DF8"/>
    <w:rsid w:val="00A7102E"/>
    <w:rsid w:val="00A718CD"/>
    <w:rsid w:val="00A71E44"/>
    <w:rsid w:val="00A73BF0"/>
    <w:rsid w:val="00A74FE2"/>
    <w:rsid w:val="00A762A4"/>
    <w:rsid w:val="00A806E9"/>
    <w:rsid w:val="00A80D11"/>
    <w:rsid w:val="00A83BB1"/>
    <w:rsid w:val="00A83F23"/>
    <w:rsid w:val="00A84D37"/>
    <w:rsid w:val="00A86D88"/>
    <w:rsid w:val="00A90EAC"/>
    <w:rsid w:val="00A927D3"/>
    <w:rsid w:val="00A92D75"/>
    <w:rsid w:val="00AA004E"/>
    <w:rsid w:val="00AA1CB2"/>
    <w:rsid w:val="00AA36AC"/>
    <w:rsid w:val="00AA3E5D"/>
    <w:rsid w:val="00AA5BF4"/>
    <w:rsid w:val="00AA6517"/>
    <w:rsid w:val="00AA6EEE"/>
    <w:rsid w:val="00AB0974"/>
    <w:rsid w:val="00AB09E2"/>
    <w:rsid w:val="00AB0AB4"/>
    <w:rsid w:val="00AB0B5C"/>
    <w:rsid w:val="00AB22BB"/>
    <w:rsid w:val="00AB387E"/>
    <w:rsid w:val="00AB6DD0"/>
    <w:rsid w:val="00AC0598"/>
    <w:rsid w:val="00AC0686"/>
    <w:rsid w:val="00AC06C7"/>
    <w:rsid w:val="00AC0EB0"/>
    <w:rsid w:val="00AC1030"/>
    <w:rsid w:val="00AC28B9"/>
    <w:rsid w:val="00AC377F"/>
    <w:rsid w:val="00AC3946"/>
    <w:rsid w:val="00AC6875"/>
    <w:rsid w:val="00AC6D36"/>
    <w:rsid w:val="00AD1C8D"/>
    <w:rsid w:val="00AD31A6"/>
    <w:rsid w:val="00AD4B32"/>
    <w:rsid w:val="00AD5ED5"/>
    <w:rsid w:val="00AD7227"/>
    <w:rsid w:val="00AD7574"/>
    <w:rsid w:val="00AD7D60"/>
    <w:rsid w:val="00AD7DA1"/>
    <w:rsid w:val="00AE3545"/>
    <w:rsid w:val="00AE3BEF"/>
    <w:rsid w:val="00AE4042"/>
    <w:rsid w:val="00AE5698"/>
    <w:rsid w:val="00AE5CD8"/>
    <w:rsid w:val="00AE5D16"/>
    <w:rsid w:val="00AE62A9"/>
    <w:rsid w:val="00AE7A59"/>
    <w:rsid w:val="00AF04FC"/>
    <w:rsid w:val="00AF326B"/>
    <w:rsid w:val="00AF3BBE"/>
    <w:rsid w:val="00AF45D5"/>
    <w:rsid w:val="00AF4660"/>
    <w:rsid w:val="00AF6180"/>
    <w:rsid w:val="00AF6DED"/>
    <w:rsid w:val="00AF7261"/>
    <w:rsid w:val="00AF7EEF"/>
    <w:rsid w:val="00B026A7"/>
    <w:rsid w:val="00B030C1"/>
    <w:rsid w:val="00B0404E"/>
    <w:rsid w:val="00B0419D"/>
    <w:rsid w:val="00B043B1"/>
    <w:rsid w:val="00B050D6"/>
    <w:rsid w:val="00B05227"/>
    <w:rsid w:val="00B05F2D"/>
    <w:rsid w:val="00B0703F"/>
    <w:rsid w:val="00B108AD"/>
    <w:rsid w:val="00B110D6"/>
    <w:rsid w:val="00B14364"/>
    <w:rsid w:val="00B14EFF"/>
    <w:rsid w:val="00B15AB6"/>
    <w:rsid w:val="00B17D4A"/>
    <w:rsid w:val="00B2012B"/>
    <w:rsid w:val="00B2042F"/>
    <w:rsid w:val="00B20E1C"/>
    <w:rsid w:val="00B21B36"/>
    <w:rsid w:val="00B21DA4"/>
    <w:rsid w:val="00B22B1F"/>
    <w:rsid w:val="00B23C55"/>
    <w:rsid w:val="00B30988"/>
    <w:rsid w:val="00B31226"/>
    <w:rsid w:val="00B3316B"/>
    <w:rsid w:val="00B331AB"/>
    <w:rsid w:val="00B35718"/>
    <w:rsid w:val="00B35D99"/>
    <w:rsid w:val="00B42DF5"/>
    <w:rsid w:val="00B44220"/>
    <w:rsid w:val="00B454B0"/>
    <w:rsid w:val="00B462FA"/>
    <w:rsid w:val="00B4767E"/>
    <w:rsid w:val="00B479FB"/>
    <w:rsid w:val="00B50249"/>
    <w:rsid w:val="00B53148"/>
    <w:rsid w:val="00B53C16"/>
    <w:rsid w:val="00B53E47"/>
    <w:rsid w:val="00B54BA4"/>
    <w:rsid w:val="00B551C8"/>
    <w:rsid w:val="00B55C55"/>
    <w:rsid w:val="00B56833"/>
    <w:rsid w:val="00B56894"/>
    <w:rsid w:val="00B61235"/>
    <w:rsid w:val="00B64B6B"/>
    <w:rsid w:val="00B66CE2"/>
    <w:rsid w:val="00B700A7"/>
    <w:rsid w:val="00B70F40"/>
    <w:rsid w:val="00B7104E"/>
    <w:rsid w:val="00B721CB"/>
    <w:rsid w:val="00B727FC"/>
    <w:rsid w:val="00B74464"/>
    <w:rsid w:val="00B750C3"/>
    <w:rsid w:val="00B75D5F"/>
    <w:rsid w:val="00B811F5"/>
    <w:rsid w:val="00B8196A"/>
    <w:rsid w:val="00B81D48"/>
    <w:rsid w:val="00B82473"/>
    <w:rsid w:val="00B83A96"/>
    <w:rsid w:val="00B84511"/>
    <w:rsid w:val="00B87BE7"/>
    <w:rsid w:val="00B905D2"/>
    <w:rsid w:val="00B90C47"/>
    <w:rsid w:val="00B90E51"/>
    <w:rsid w:val="00B910D6"/>
    <w:rsid w:val="00B92163"/>
    <w:rsid w:val="00B92A5C"/>
    <w:rsid w:val="00B9429D"/>
    <w:rsid w:val="00B96F5D"/>
    <w:rsid w:val="00B976E7"/>
    <w:rsid w:val="00BA0CF5"/>
    <w:rsid w:val="00BA2BD7"/>
    <w:rsid w:val="00BA445E"/>
    <w:rsid w:val="00BA4929"/>
    <w:rsid w:val="00BA4B51"/>
    <w:rsid w:val="00BA57B2"/>
    <w:rsid w:val="00BA74CA"/>
    <w:rsid w:val="00BB1390"/>
    <w:rsid w:val="00BB1B22"/>
    <w:rsid w:val="00BB21C7"/>
    <w:rsid w:val="00BB3950"/>
    <w:rsid w:val="00BB431A"/>
    <w:rsid w:val="00BB443F"/>
    <w:rsid w:val="00BB4A24"/>
    <w:rsid w:val="00BB4B1A"/>
    <w:rsid w:val="00BB6379"/>
    <w:rsid w:val="00BB7DC0"/>
    <w:rsid w:val="00BC1B3E"/>
    <w:rsid w:val="00BC2D96"/>
    <w:rsid w:val="00BC2FF4"/>
    <w:rsid w:val="00BC3943"/>
    <w:rsid w:val="00BC62FB"/>
    <w:rsid w:val="00BC72F3"/>
    <w:rsid w:val="00BD05ED"/>
    <w:rsid w:val="00BD05F6"/>
    <w:rsid w:val="00BD0D8F"/>
    <w:rsid w:val="00BD0EA4"/>
    <w:rsid w:val="00BD1399"/>
    <w:rsid w:val="00BD1F3F"/>
    <w:rsid w:val="00BD23AB"/>
    <w:rsid w:val="00BD380B"/>
    <w:rsid w:val="00BD39C8"/>
    <w:rsid w:val="00BD4160"/>
    <w:rsid w:val="00BD4EB8"/>
    <w:rsid w:val="00BD5448"/>
    <w:rsid w:val="00BD5DCE"/>
    <w:rsid w:val="00BD6DC5"/>
    <w:rsid w:val="00BE06A4"/>
    <w:rsid w:val="00BE0C5F"/>
    <w:rsid w:val="00BE11C0"/>
    <w:rsid w:val="00BE1A5D"/>
    <w:rsid w:val="00BE20F8"/>
    <w:rsid w:val="00BE5130"/>
    <w:rsid w:val="00BE52AC"/>
    <w:rsid w:val="00BF265C"/>
    <w:rsid w:val="00BF47CC"/>
    <w:rsid w:val="00BF48F6"/>
    <w:rsid w:val="00BF51E2"/>
    <w:rsid w:val="00BF6F14"/>
    <w:rsid w:val="00C002C2"/>
    <w:rsid w:val="00C0111F"/>
    <w:rsid w:val="00C01CCB"/>
    <w:rsid w:val="00C01F40"/>
    <w:rsid w:val="00C05EFA"/>
    <w:rsid w:val="00C07311"/>
    <w:rsid w:val="00C102F1"/>
    <w:rsid w:val="00C12386"/>
    <w:rsid w:val="00C14E91"/>
    <w:rsid w:val="00C15F07"/>
    <w:rsid w:val="00C2007D"/>
    <w:rsid w:val="00C2071A"/>
    <w:rsid w:val="00C20ADE"/>
    <w:rsid w:val="00C22FBC"/>
    <w:rsid w:val="00C2691C"/>
    <w:rsid w:val="00C30C5C"/>
    <w:rsid w:val="00C319DC"/>
    <w:rsid w:val="00C31C74"/>
    <w:rsid w:val="00C32A1C"/>
    <w:rsid w:val="00C32A64"/>
    <w:rsid w:val="00C32A9B"/>
    <w:rsid w:val="00C33069"/>
    <w:rsid w:val="00C3448A"/>
    <w:rsid w:val="00C35869"/>
    <w:rsid w:val="00C360F5"/>
    <w:rsid w:val="00C3626F"/>
    <w:rsid w:val="00C43103"/>
    <w:rsid w:val="00C434C8"/>
    <w:rsid w:val="00C440A5"/>
    <w:rsid w:val="00C447F8"/>
    <w:rsid w:val="00C44D7D"/>
    <w:rsid w:val="00C45D2E"/>
    <w:rsid w:val="00C516D5"/>
    <w:rsid w:val="00C51C3F"/>
    <w:rsid w:val="00C5362F"/>
    <w:rsid w:val="00C54692"/>
    <w:rsid w:val="00C554E1"/>
    <w:rsid w:val="00C56750"/>
    <w:rsid w:val="00C600AA"/>
    <w:rsid w:val="00C63C40"/>
    <w:rsid w:val="00C645C9"/>
    <w:rsid w:val="00C6478B"/>
    <w:rsid w:val="00C64D29"/>
    <w:rsid w:val="00C660FF"/>
    <w:rsid w:val="00C679B3"/>
    <w:rsid w:val="00C70033"/>
    <w:rsid w:val="00C73351"/>
    <w:rsid w:val="00C7567B"/>
    <w:rsid w:val="00C7593E"/>
    <w:rsid w:val="00C76229"/>
    <w:rsid w:val="00C76743"/>
    <w:rsid w:val="00C7747F"/>
    <w:rsid w:val="00C779B6"/>
    <w:rsid w:val="00C77AD5"/>
    <w:rsid w:val="00C77C26"/>
    <w:rsid w:val="00C80C32"/>
    <w:rsid w:val="00C81524"/>
    <w:rsid w:val="00C81D82"/>
    <w:rsid w:val="00C83B93"/>
    <w:rsid w:val="00C8500B"/>
    <w:rsid w:val="00C851BC"/>
    <w:rsid w:val="00C868FA"/>
    <w:rsid w:val="00C91001"/>
    <w:rsid w:val="00C94AD8"/>
    <w:rsid w:val="00C9697A"/>
    <w:rsid w:val="00CA1CFE"/>
    <w:rsid w:val="00CA3B70"/>
    <w:rsid w:val="00CA5537"/>
    <w:rsid w:val="00CA5AF1"/>
    <w:rsid w:val="00CA65EA"/>
    <w:rsid w:val="00CA675C"/>
    <w:rsid w:val="00CA7D62"/>
    <w:rsid w:val="00CB062F"/>
    <w:rsid w:val="00CB086A"/>
    <w:rsid w:val="00CB11F3"/>
    <w:rsid w:val="00CB29AD"/>
    <w:rsid w:val="00CB2D02"/>
    <w:rsid w:val="00CB2F37"/>
    <w:rsid w:val="00CB3098"/>
    <w:rsid w:val="00CB3E3B"/>
    <w:rsid w:val="00CB50D2"/>
    <w:rsid w:val="00CB615D"/>
    <w:rsid w:val="00CB620C"/>
    <w:rsid w:val="00CB6EA6"/>
    <w:rsid w:val="00CC0BFA"/>
    <w:rsid w:val="00CC24DE"/>
    <w:rsid w:val="00CC3A31"/>
    <w:rsid w:val="00CC450A"/>
    <w:rsid w:val="00CC4B86"/>
    <w:rsid w:val="00CC5766"/>
    <w:rsid w:val="00CC67D7"/>
    <w:rsid w:val="00CC6DA5"/>
    <w:rsid w:val="00CD277C"/>
    <w:rsid w:val="00CD33ED"/>
    <w:rsid w:val="00CD5429"/>
    <w:rsid w:val="00CD6006"/>
    <w:rsid w:val="00CD6A28"/>
    <w:rsid w:val="00CD7A35"/>
    <w:rsid w:val="00CE0C79"/>
    <w:rsid w:val="00CE21D2"/>
    <w:rsid w:val="00CE3119"/>
    <w:rsid w:val="00CE424D"/>
    <w:rsid w:val="00CE587A"/>
    <w:rsid w:val="00CE72F0"/>
    <w:rsid w:val="00CF01DE"/>
    <w:rsid w:val="00CF05B6"/>
    <w:rsid w:val="00CF05DE"/>
    <w:rsid w:val="00CF1C80"/>
    <w:rsid w:val="00CF4116"/>
    <w:rsid w:val="00CF417B"/>
    <w:rsid w:val="00D0044E"/>
    <w:rsid w:val="00D01C54"/>
    <w:rsid w:val="00D02A78"/>
    <w:rsid w:val="00D0388B"/>
    <w:rsid w:val="00D03C1C"/>
    <w:rsid w:val="00D07014"/>
    <w:rsid w:val="00D125AD"/>
    <w:rsid w:val="00D14DA4"/>
    <w:rsid w:val="00D15792"/>
    <w:rsid w:val="00D15D42"/>
    <w:rsid w:val="00D163DE"/>
    <w:rsid w:val="00D1713E"/>
    <w:rsid w:val="00D1777E"/>
    <w:rsid w:val="00D17D4E"/>
    <w:rsid w:val="00D17F25"/>
    <w:rsid w:val="00D17F7A"/>
    <w:rsid w:val="00D21249"/>
    <w:rsid w:val="00D220CE"/>
    <w:rsid w:val="00D22F52"/>
    <w:rsid w:val="00D240B0"/>
    <w:rsid w:val="00D2562A"/>
    <w:rsid w:val="00D25C29"/>
    <w:rsid w:val="00D30925"/>
    <w:rsid w:val="00D30AEB"/>
    <w:rsid w:val="00D32124"/>
    <w:rsid w:val="00D32156"/>
    <w:rsid w:val="00D34AE3"/>
    <w:rsid w:val="00D35A09"/>
    <w:rsid w:val="00D36C41"/>
    <w:rsid w:val="00D370F1"/>
    <w:rsid w:val="00D37D90"/>
    <w:rsid w:val="00D4056D"/>
    <w:rsid w:val="00D4093D"/>
    <w:rsid w:val="00D44EBA"/>
    <w:rsid w:val="00D4543D"/>
    <w:rsid w:val="00D46BC0"/>
    <w:rsid w:val="00D4703F"/>
    <w:rsid w:val="00D47742"/>
    <w:rsid w:val="00D5069C"/>
    <w:rsid w:val="00D5191D"/>
    <w:rsid w:val="00D51D10"/>
    <w:rsid w:val="00D5238C"/>
    <w:rsid w:val="00D53D99"/>
    <w:rsid w:val="00D570E8"/>
    <w:rsid w:val="00D5746D"/>
    <w:rsid w:val="00D57C06"/>
    <w:rsid w:val="00D63590"/>
    <w:rsid w:val="00D65800"/>
    <w:rsid w:val="00D66CBF"/>
    <w:rsid w:val="00D673E0"/>
    <w:rsid w:val="00D71037"/>
    <w:rsid w:val="00D72406"/>
    <w:rsid w:val="00D729DC"/>
    <w:rsid w:val="00D7340B"/>
    <w:rsid w:val="00D73F70"/>
    <w:rsid w:val="00D76A44"/>
    <w:rsid w:val="00D76DBD"/>
    <w:rsid w:val="00D77754"/>
    <w:rsid w:val="00D77B00"/>
    <w:rsid w:val="00D8139F"/>
    <w:rsid w:val="00D816F3"/>
    <w:rsid w:val="00D81934"/>
    <w:rsid w:val="00D81A36"/>
    <w:rsid w:val="00D82765"/>
    <w:rsid w:val="00D82F7E"/>
    <w:rsid w:val="00D8374B"/>
    <w:rsid w:val="00D856BF"/>
    <w:rsid w:val="00D90012"/>
    <w:rsid w:val="00D9066E"/>
    <w:rsid w:val="00D940DD"/>
    <w:rsid w:val="00D94340"/>
    <w:rsid w:val="00D94EE4"/>
    <w:rsid w:val="00D95A92"/>
    <w:rsid w:val="00D95B95"/>
    <w:rsid w:val="00DA01D6"/>
    <w:rsid w:val="00DA34CC"/>
    <w:rsid w:val="00DA3BD0"/>
    <w:rsid w:val="00DA4517"/>
    <w:rsid w:val="00DA70B9"/>
    <w:rsid w:val="00DB117C"/>
    <w:rsid w:val="00DB3E18"/>
    <w:rsid w:val="00DB4444"/>
    <w:rsid w:val="00DB4C93"/>
    <w:rsid w:val="00DB5943"/>
    <w:rsid w:val="00DB660A"/>
    <w:rsid w:val="00DB739C"/>
    <w:rsid w:val="00DC1382"/>
    <w:rsid w:val="00DC1EE8"/>
    <w:rsid w:val="00DC2224"/>
    <w:rsid w:val="00DC2476"/>
    <w:rsid w:val="00DC2714"/>
    <w:rsid w:val="00DC2A2B"/>
    <w:rsid w:val="00DC2ED8"/>
    <w:rsid w:val="00DC30C1"/>
    <w:rsid w:val="00DC477E"/>
    <w:rsid w:val="00DC49CE"/>
    <w:rsid w:val="00DC5F1D"/>
    <w:rsid w:val="00DC779E"/>
    <w:rsid w:val="00DC7E40"/>
    <w:rsid w:val="00DD11B7"/>
    <w:rsid w:val="00DD1344"/>
    <w:rsid w:val="00DD2241"/>
    <w:rsid w:val="00DD2C17"/>
    <w:rsid w:val="00DD3C45"/>
    <w:rsid w:val="00DD61F0"/>
    <w:rsid w:val="00DD7E96"/>
    <w:rsid w:val="00DE0F96"/>
    <w:rsid w:val="00DE0FD0"/>
    <w:rsid w:val="00DE3403"/>
    <w:rsid w:val="00DE3B64"/>
    <w:rsid w:val="00DE579B"/>
    <w:rsid w:val="00DE776E"/>
    <w:rsid w:val="00DF1123"/>
    <w:rsid w:val="00DF55CA"/>
    <w:rsid w:val="00E032A0"/>
    <w:rsid w:val="00E0471C"/>
    <w:rsid w:val="00E04E1A"/>
    <w:rsid w:val="00E05EC6"/>
    <w:rsid w:val="00E0632D"/>
    <w:rsid w:val="00E07A10"/>
    <w:rsid w:val="00E10BAE"/>
    <w:rsid w:val="00E10DAB"/>
    <w:rsid w:val="00E11D7F"/>
    <w:rsid w:val="00E12CB8"/>
    <w:rsid w:val="00E1767A"/>
    <w:rsid w:val="00E204F5"/>
    <w:rsid w:val="00E20CE5"/>
    <w:rsid w:val="00E21914"/>
    <w:rsid w:val="00E24AEF"/>
    <w:rsid w:val="00E24E44"/>
    <w:rsid w:val="00E279FE"/>
    <w:rsid w:val="00E31149"/>
    <w:rsid w:val="00E3350B"/>
    <w:rsid w:val="00E34242"/>
    <w:rsid w:val="00E34E67"/>
    <w:rsid w:val="00E3524D"/>
    <w:rsid w:val="00E375C0"/>
    <w:rsid w:val="00E41EF3"/>
    <w:rsid w:val="00E420AC"/>
    <w:rsid w:val="00E448AB"/>
    <w:rsid w:val="00E4568F"/>
    <w:rsid w:val="00E4625B"/>
    <w:rsid w:val="00E4637E"/>
    <w:rsid w:val="00E46526"/>
    <w:rsid w:val="00E471B0"/>
    <w:rsid w:val="00E5044E"/>
    <w:rsid w:val="00E513A3"/>
    <w:rsid w:val="00E5489E"/>
    <w:rsid w:val="00E55E1C"/>
    <w:rsid w:val="00E56418"/>
    <w:rsid w:val="00E57824"/>
    <w:rsid w:val="00E6154E"/>
    <w:rsid w:val="00E61625"/>
    <w:rsid w:val="00E6295A"/>
    <w:rsid w:val="00E62CB0"/>
    <w:rsid w:val="00E66915"/>
    <w:rsid w:val="00E66C11"/>
    <w:rsid w:val="00E66D26"/>
    <w:rsid w:val="00E679DF"/>
    <w:rsid w:val="00E70E84"/>
    <w:rsid w:val="00E72D06"/>
    <w:rsid w:val="00E757CF"/>
    <w:rsid w:val="00E759DA"/>
    <w:rsid w:val="00E76FA2"/>
    <w:rsid w:val="00E80B6C"/>
    <w:rsid w:val="00E82E91"/>
    <w:rsid w:val="00E831AA"/>
    <w:rsid w:val="00E8352C"/>
    <w:rsid w:val="00E839AC"/>
    <w:rsid w:val="00E84D8D"/>
    <w:rsid w:val="00E84FEB"/>
    <w:rsid w:val="00E85121"/>
    <w:rsid w:val="00E8569B"/>
    <w:rsid w:val="00E85DF7"/>
    <w:rsid w:val="00E86BB0"/>
    <w:rsid w:val="00E877AC"/>
    <w:rsid w:val="00E91C4E"/>
    <w:rsid w:val="00E91CA4"/>
    <w:rsid w:val="00E95D3E"/>
    <w:rsid w:val="00E96592"/>
    <w:rsid w:val="00E96BE1"/>
    <w:rsid w:val="00EA0162"/>
    <w:rsid w:val="00EA0C5B"/>
    <w:rsid w:val="00EA1BE6"/>
    <w:rsid w:val="00EA2A46"/>
    <w:rsid w:val="00EA31DD"/>
    <w:rsid w:val="00EA3E7B"/>
    <w:rsid w:val="00EA4A5D"/>
    <w:rsid w:val="00EA5275"/>
    <w:rsid w:val="00EA56BF"/>
    <w:rsid w:val="00EA5785"/>
    <w:rsid w:val="00EA629F"/>
    <w:rsid w:val="00EB2AC2"/>
    <w:rsid w:val="00EB2D79"/>
    <w:rsid w:val="00EB3A53"/>
    <w:rsid w:val="00EB3F29"/>
    <w:rsid w:val="00EB451A"/>
    <w:rsid w:val="00EB45C2"/>
    <w:rsid w:val="00EB4948"/>
    <w:rsid w:val="00EC0CF4"/>
    <w:rsid w:val="00EC0DDF"/>
    <w:rsid w:val="00EC15B2"/>
    <w:rsid w:val="00EC2A40"/>
    <w:rsid w:val="00EC2F00"/>
    <w:rsid w:val="00EC6968"/>
    <w:rsid w:val="00EC7719"/>
    <w:rsid w:val="00EC7DE2"/>
    <w:rsid w:val="00ED1ECA"/>
    <w:rsid w:val="00ED22EA"/>
    <w:rsid w:val="00ED2A30"/>
    <w:rsid w:val="00ED60EE"/>
    <w:rsid w:val="00ED66C0"/>
    <w:rsid w:val="00ED7EDB"/>
    <w:rsid w:val="00EE1371"/>
    <w:rsid w:val="00EE1E4D"/>
    <w:rsid w:val="00EE29D4"/>
    <w:rsid w:val="00EE329E"/>
    <w:rsid w:val="00EE6F4C"/>
    <w:rsid w:val="00EE7AC0"/>
    <w:rsid w:val="00EF0443"/>
    <w:rsid w:val="00EF1629"/>
    <w:rsid w:val="00EF1B0C"/>
    <w:rsid w:val="00EF78D8"/>
    <w:rsid w:val="00F0034A"/>
    <w:rsid w:val="00F01007"/>
    <w:rsid w:val="00F028C2"/>
    <w:rsid w:val="00F03648"/>
    <w:rsid w:val="00F038CD"/>
    <w:rsid w:val="00F05D54"/>
    <w:rsid w:val="00F07363"/>
    <w:rsid w:val="00F07FF2"/>
    <w:rsid w:val="00F1029D"/>
    <w:rsid w:val="00F11DD1"/>
    <w:rsid w:val="00F13253"/>
    <w:rsid w:val="00F13676"/>
    <w:rsid w:val="00F142C5"/>
    <w:rsid w:val="00F14333"/>
    <w:rsid w:val="00F15CCD"/>
    <w:rsid w:val="00F201B6"/>
    <w:rsid w:val="00F20241"/>
    <w:rsid w:val="00F20D1E"/>
    <w:rsid w:val="00F21760"/>
    <w:rsid w:val="00F23B8B"/>
    <w:rsid w:val="00F249CA"/>
    <w:rsid w:val="00F25D13"/>
    <w:rsid w:val="00F26025"/>
    <w:rsid w:val="00F2744E"/>
    <w:rsid w:val="00F305FA"/>
    <w:rsid w:val="00F31798"/>
    <w:rsid w:val="00F31DEC"/>
    <w:rsid w:val="00F32BEE"/>
    <w:rsid w:val="00F35E52"/>
    <w:rsid w:val="00F36554"/>
    <w:rsid w:val="00F379D3"/>
    <w:rsid w:val="00F37B83"/>
    <w:rsid w:val="00F4235D"/>
    <w:rsid w:val="00F4254E"/>
    <w:rsid w:val="00F44831"/>
    <w:rsid w:val="00F450DD"/>
    <w:rsid w:val="00F46241"/>
    <w:rsid w:val="00F477B4"/>
    <w:rsid w:val="00F506FE"/>
    <w:rsid w:val="00F53084"/>
    <w:rsid w:val="00F54664"/>
    <w:rsid w:val="00F546B0"/>
    <w:rsid w:val="00F55D07"/>
    <w:rsid w:val="00F5700D"/>
    <w:rsid w:val="00F57AAB"/>
    <w:rsid w:val="00F63DF9"/>
    <w:rsid w:val="00F66A8A"/>
    <w:rsid w:val="00F66AE6"/>
    <w:rsid w:val="00F71D4D"/>
    <w:rsid w:val="00F72766"/>
    <w:rsid w:val="00F72F5B"/>
    <w:rsid w:val="00F7377D"/>
    <w:rsid w:val="00F743A6"/>
    <w:rsid w:val="00F80AA3"/>
    <w:rsid w:val="00F81308"/>
    <w:rsid w:val="00F8150B"/>
    <w:rsid w:val="00F81758"/>
    <w:rsid w:val="00F82082"/>
    <w:rsid w:val="00F824C5"/>
    <w:rsid w:val="00F83C43"/>
    <w:rsid w:val="00F83DAB"/>
    <w:rsid w:val="00F862A2"/>
    <w:rsid w:val="00F87759"/>
    <w:rsid w:val="00F87D14"/>
    <w:rsid w:val="00F903C9"/>
    <w:rsid w:val="00F91531"/>
    <w:rsid w:val="00F917E8"/>
    <w:rsid w:val="00F917F1"/>
    <w:rsid w:val="00F92863"/>
    <w:rsid w:val="00F92A24"/>
    <w:rsid w:val="00F93AA2"/>
    <w:rsid w:val="00F95CDE"/>
    <w:rsid w:val="00FA0230"/>
    <w:rsid w:val="00FA0C6A"/>
    <w:rsid w:val="00FA38AA"/>
    <w:rsid w:val="00FA7F71"/>
    <w:rsid w:val="00FB09AA"/>
    <w:rsid w:val="00FB10DC"/>
    <w:rsid w:val="00FB3843"/>
    <w:rsid w:val="00FB4363"/>
    <w:rsid w:val="00FB48FB"/>
    <w:rsid w:val="00FB4F2D"/>
    <w:rsid w:val="00FB5051"/>
    <w:rsid w:val="00FB6C7C"/>
    <w:rsid w:val="00FB7A5F"/>
    <w:rsid w:val="00FB7AA7"/>
    <w:rsid w:val="00FB7CA2"/>
    <w:rsid w:val="00FC38AD"/>
    <w:rsid w:val="00FC3A38"/>
    <w:rsid w:val="00FC5678"/>
    <w:rsid w:val="00FC56AC"/>
    <w:rsid w:val="00FC6DF0"/>
    <w:rsid w:val="00FC7384"/>
    <w:rsid w:val="00FD207B"/>
    <w:rsid w:val="00FD2B5F"/>
    <w:rsid w:val="00FD56F5"/>
    <w:rsid w:val="00FE100E"/>
    <w:rsid w:val="00FE3284"/>
    <w:rsid w:val="00FE5773"/>
    <w:rsid w:val="00FE67D8"/>
    <w:rsid w:val="00FE6988"/>
    <w:rsid w:val="00FE7188"/>
    <w:rsid w:val="00FE72E5"/>
    <w:rsid w:val="00FE7C70"/>
    <w:rsid w:val="00FF1504"/>
    <w:rsid w:val="00FF309E"/>
    <w:rsid w:val="00FF31BE"/>
    <w:rsid w:val="00FF3C44"/>
    <w:rsid w:val="00FF4C25"/>
    <w:rsid w:val="00FF54CF"/>
    <w:rsid w:val="00FF6CC6"/>
    <w:rsid w:val="00FF7140"/>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5F76BB"/>
  <w15:docId w15:val="{10121B91-5A08-480E-9321-A9ED939B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44"/>
    <w:pPr>
      <w:spacing w:after="0" w:line="360" w:lineRule="auto"/>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407F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05D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05D5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647375"/>
    <w:pPr>
      <w:keepNext/>
      <w:keepLines/>
      <w:spacing w:before="40"/>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qFormat/>
    <w:rsid w:val="00DB4444"/>
    <w:pPr>
      <w:keepNext/>
      <w:spacing w:before="140" w:after="540"/>
      <w:outlineLvl w:val="6"/>
    </w:pPr>
    <w:rPr>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DB4444"/>
    <w:rPr>
      <w:rFonts w:ascii="Arial" w:eastAsia="Times New Roman" w:hAnsi="Arial" w:cs="Times New Roman"/>
      <w:sz w:val="48"/>
      <w:szCs w:val="20"/>
      <w:lang w:eastAsia="fr-FR"/>
    </w:rPr>
  </w:style>
  <w:style w:type="paragraph" w:styleId="En-tte">
    <w:name w:val="header"/>
    <w:basedOn w:val="Normal"/>
    <w:link w:val="En-tteCar"/>
    <w:uiPriority w:val="99"/>
    <w:unhideWhenUsed/>
    <w:rsid w:val="00F450DD"/>
    <w:pPr>
      <w:tabs>
        <w:tab w:val="center" w:pos="4536"/>
        <w:tab w:val="right" w:pos="9072"/>
      </w:tabs>
      <w:spacing w:line="240" w:lineRule="auto"/>
    </w:pPr>
  </w:style>
  <w:style w:type="character" w:customStyle="1" w:styleId="En-tteCar">
    <w:name w:val="En-tête Car"/>
    <w:basedOn w:val="Policepardfaut"/>
    <w:link w:val="En-tte"/>
    <w:uiPriority w:val="99"/>
    <w:rsid w:val="00F450DD"/>
    <w:rPr>
      <w:rFonts w:ascii="Arial" w:eastAsia="Times New Roman" w:hAnsi="Arial" w:cs="Times New Roman"/>
      <w:szCs w:val="20"/>
      <w:lang w:eastAsia="fr-FR"/>
    </w:rPr>
  </w:style>
  <w:style w:type="paragraph" w:styleId="Pieddepage">
    <w:name w:val="footer"/>
    <w:basedOn w:val="Normal"/>
    <w:link w:val="PieddepageCar"/>
    <w:uiPriority w:val="99"/>
    <w:unhideWhenUsed/>
    <w:rsid w:val="00F450DD"/>
    <w:pPr>
      <w:tabs>
        <w:tab w:val="center" w:pos="4536"/>
        <w:tab w:val="right" w:pos="9072"/>
      </w:tabs>
      <w:spacing w:line="240" w:lineRule="auto"/>
    </w:pPr>
  </w:style>
  <w:style w:type="character" w:customStyle="1" w:styleId="PieddepageCar">
    <w:name w:val="Pied de page Car"/>
    <w:basedOn w:val="Policepardfaut"/>
    <w:link w:val="Pieddepage"/>
    <w:uiPriority w:val="99"/>
    <w:rsid w:val="00F450DD"/>
    <w:rPr>
      <w:rFonts w:ascii="Arial" w:eastAsia="Times New Roman" w:hAnsi="Arial" w:cs="Times New Roman"/>
      <w:szCs w:val="20"/>
      <w:lang w:eastAsia="fr-FR"/>
    </w:rPr>
  </w:style>
  <w:style w:type="paragraph" w:styleId="Paragraphedeliste">
    <w:name w:val="List Paragraph"/>
    <w:basedOn w:val="Normal"/>
    <w:uiPriority w:val="34"/>
    <w:qFormat/>
    <w:rsid w:val="006F0EDF"/>
    <w:pPr>
      <w:ind w:left="720"/>
      <w:contextualSpacing/>
    </w:pPr>
  </w:style>
  <w:style w:type="table" w:styleId="Grilledutableau">
    <w:name w:val="Table Grid"/>
    <w:basedOn w:val="TableauNormal"/>
    <w:uiPriority w:val="39"/>
    <w:rsid w:val="00503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1">
    <w:name w:val="Tableau Grille 1 Clair1"/>
    <w:basedOn w:val="TableauNormal"/>
    <w:uiPriority w:val="46"/>
    <w:rsid w:val="00503D9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41">
    <w:name w:val="Tableau Grille 41"/>
    <w:basedOn w:val="TableauNormal"/>
    <w:uiPriority w:val="49"/>
    <w:rsid w:val="00503D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1">
    <w:name w:val="Tableau Grille 6 Couleur1"/>
    <w:basedOn w:val="TableauNormal"/>
    <w:uiPriority w:val="51"/>
    <w:rsid w:val="00503D9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tedebasdepage">
    <w:name w:val="footnote text"/>
    <w:basedOn w:val="Normal"/>
    <w:link w:val="NotedebasdepageCar"/>
    <w:uiPriority w:val="99"/>
    <w:unhideWhenUsed/>
    <w:rsid w:val="00A4426D"/>
    <w:pPr>
      <w:spacing w:line="240" w:lineRule="auto"/>
    </w:pPr>
    <w:rPr>
      <w:sz w:val="20"/>
    </w:rPr>
  </w:style>
  <w:style w:type="character" w:customStyle="1" w:styleId="NotedebasdepageCar">
    <w:name w:val="Note de bas de page Car"/>
    <w:basedOn w:val="Policepardfaut"/>
    <w:link w:val="Notedebasdepage"/>
    <w:uiPriority w:val="99"/>
    <w:rsid w:val="00A4426D"/>
    <w:rPr>
      <w:rFonts w:ascii="Arial" w:eastAsia="Times New Roman" w:hAnsi="Arial" w:cs="Times New Roman"/>
      <w:sz w:val="20"/>
      <w:szCs w:val="20"/>
      <w:lang w:eastAsia="fr-FR"/>
    </w:rPr>
  </w:style>
  <w:style w:type="character" w:styleId="Appelnotedebasdep">
    <w:name w:val="footnote reference"/>
    <w:basedOn w:val="Policepardfaut"/>
    <w:uiPriority w:val="99"/>
    <w:unhideWhenUsed/>
    <w:rsid w:val="00A4426D"/>
    <w:rPr>
      <w:vertAlign w:val="superscript"/>
    </w:rPr>
  </w:style>
  <w:style w:type="character" w:customStyle="1" w:styleId="Titre4Car">
    <w:name w:val="Titre 4 Car"/>
    <w:basedOn w:val="Policepardfaut"/>
    <w:link w:val="Titre4"/>
    <w:uiPriority w:val="9"/>
    <w:semiHidden/>
    <w:rsid w:val="00647375"/>
    <w:rPr>
      <w:rFonts w:asciiTheme="majorHAnsi" w:eastAsiaTheme="majorEastAsia" w:hAnsiTheme="majorHAnsi" w:cstheme="majorBidi"/>
      <w:i/>
      <w:iCs/>
      <w:color w:val="2E74B5" w:themeColor="accent1" w:themeShade="BF"/>
      <w:szCs w:val="20"/>
      <w:lang w:eastAsia="fr-FR"/>
    </w:rPr>
  </w:style>
  <w:style w:type="character" w:styleId="Lienhypertexte">
    <w:name w:val="Hyperlink"/>
    <w:basedOn w:val="Policepardfaut"/>
    <w:uiPriority w:val="99"/>
    <w:unhideWhenUsed/>
    <w:rsid w:val="00D4056D"/>
    <w:rPr>
      <w:color w:val="0563C1" w:themeColor="hyperlink"/>
      <w:u w:val="single"/>
    </w:rPr>
  </w:style>
  <w:style w:type="character" w:styleId="Lienhypertextesuivivisit">
    <w:name w:val="FollowedHyperlink"/>
    <w:basedOn w:val="Policepardfaut"/>
    <w:uiPriority w:val="99"/>
    <w:semiHidden/>
    <w:unhideWhenUsed/>
    <w:rsid w:val="00772775"/>
    <w:rPr>
      <w:color w:val="954F72" w:themeColor="followedHyperlink"/>
      <w:u w:val="single"/>
    </w:rPr>
  </w:style>
  <w:style w:type="paragraph" w:styleId="Textedebulles">
    <w:name w:val="Balloon Text"/>
    <w:basedOn w:val="Normal"/>
    <w:link w:val="TextedebullesCar"/>
    <w:uiPriority w:val="99"/>
    <w:semiHidden/>
    <w:unhideWhenUsed/>
    <w:rsid w:val="002316B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16BB"/>
    <w:rPr>
      <w:rFonts w:ascii="Segoe UI" w:eastAsia="Times New Roman" w:hAnsi="Segoe UI" w:cs="Segoe UI"/>
      <w:sz w:val="18"/>
      <w:szCs w:val="18"/>
      <w:lang w:eastAsia="fr-FR"/>
    </w:rPr>
  </w:style>
  <w:style w:type="paragraph" w:styleId="TM1">
    <w:name w:val="toc 1"/>
    <w:basedOn w:val="Normal"/>
    <w:next w:val="Normal"/>
    <w:autoRedefine/>
    <w:uiPriority w:val="39"/>
    <w:unhideWhenUsed/>
    <w:rsid w:val="00407F5F"/>
    <w:pPr>
      <w:spacing w:before="120" w:after="120"/>
      <w:jc w:val="left"/>
    </w:pPr>
    <w:rPr>
      <w:rFonts w:asciiTheme="minorHAnsi" w:hAnsiTheme="minorHAnsi" w:cstheme="minorHAnsi"/>
      <w:b/>
      <w:bCs/>
      <w:caps/>
      <w:sz w:val="20"/>
    </w:rPr>
  </w:style>
  <w:style w:type="paragraph" w:styleId="TM2">
    <w:name w:val="toc 2"/>
    <w:basedOn w:val="Normal"/>
    <w:next w:val="Normal"/>
    <w:autoRedefine/>
    <w:uiPriority w:val="39"/>
    <w:unhideWhenUsed/>
    <w:rsid w:val="00407F5F"/>
    <w:pPr>
      <w:ind w:left="220"/>
      <w:jc w:val="left"/>
    </w:pPr>
    <w:rPr>
      <w:rFonts w:asciiTheme="minorHAnsi" w:hAnsiTheme="minorHAnsi" w:cstheme="minorHAnsi"/>
      <w:smallCaps/>
      <w:sz w:val="20"/>
    </w:rPr>
  </w:style>
  <w:style w:type="paragraph" w:styleId="TM3">
    <w:name w:val="toc 3"/>
    <w:basedOn w:val="Normal"/>
    <w:next w:val="Normal"/>
    <w:autoRedefine/>
    <w:uiPriority w:val="39"/>
    <w:unhideWhenUsed/>
    <w:rsid w:val="00407F5F"/>
    <w:pPr>
      <w:ind w:left="440"/>
      <w:jc w:val="left"/>
    </w:pPr>
    <w:rPr>
      <w:rFonts w:asciiTheme="minorHAnsi" w:hAnsiTheme="minorHAnsi" w:cstheme="minorHAnsi"/>
      <w:i/>
      <w:iCs/>
      <w:sz w:val="20"/>
    </w:rPr>
  </w:style>
  <w:style w:type="paragraph" w:styleId="TM4">
    <w:name w:val="toc 4"/>
    <w:basedOn w:val="Normal"/>
    <w:next w:val="Normal"/>
    <w:autoRedefine/>
    <w:uiPriority w:val="39"/>
    <w:unhideWhenUsed/>
    <w:rsid w:val="00407F5F"/>
    <w:pPr>
      <w:ind w:left="66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407F5F"/>
    <w:pPr>
      <w:ind w:left="88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407F5F"/>
    <w:pPr>
      <w:ind w:left="11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407F5F"/>
    <w:pPr>
      <w:ind w:left="132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407F5F"/>
    <w:pPr>
      <w:ind w:left="154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407F5F"/>
    <w:pPr>
      <w:ind w:left="1760"/>
      <w:jc w:val="left"/>
    </w:pPr>
    <w:rPr>
      <w:rFonts w:asciiTheme="minorHAnsi" w:hAnsiTheme="minorHAnsi" w:cstheme="minorHAnsi"/>
      <w:sz w:val="18"/>
      <w:szCs w:val="18"/>
    </w:rPr>
  </w:style>
  <w:style w:type="character" w:customStyle="1" w:styleId="Titre1Car">
    <w:name w:val="Titre 1 Car"/>
    <w:basedOn w:val="Policepardfaut"/>
    <w:link w:val="Titre1"/>
    <w:uiPriority w:val="9"/>
    <w:rsid w:val="00407F5F"/>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B70F40"/>
    <w:pPr>
      <w:spacing w:line="259" w:lineRule="auto"/>
      <w:jc w:val="left"/>
      <w:outlineLvl w:val="9"/>
    </w:pPr>
    <w:rPr>
      <w:lang w:eastAsia="fr-BE"/>
    </w:rPr>
  </w:style>
  <w:style w:type="character" w:customStyle="1" w:styleId="Titre2Car">
    <w:name w:val="Titre 2 Car"/>
    <w:basedOn w:val="Policepardfaut"/>
    <w:link w:val="Titre2"/>
    <w:uiPriority w:val="9"/>
    <w:rsid w:val="00F05D54"/>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rsid w:val="00F05D54"/>
    <w:rPr>
      <w:rFonts w:asciiTheme="majorHAnsi" w:eastAsiaTheme="majorEastAsia" w:hAnsiTheme="majorHAnsi" w:cstheme="majorBidi"/>
      <w:color w:val="1F4D78" w:themeColor="accent1" w:themeShade="7F"/>
      <w:sz w:val="24"/>
      <w:szCs w:val="24"/>
      <w:lang w:eastAsia="fr-FR"/>
    </w:rPr>
  </w:style>
  <w:style w:type="table" w:styleId="Tableausimple2">
    <w:name w:val="Plain Table 2"/>
    <w:basedOn w:val="TableauNormal"/>
    <w:uiPriority w:val="99"/>
    <w:rsid w:val="00F546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5">
    <w:name w:val="Plain Table 5"/>
    <w:basedOn w:val="TableauNormal"/>
    <w:uiPriority w:val="99"/>
    <w:rsid w:val="00F546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2-Accentuation5">
    <w:name w:val="Grid Table 2 Accent 5"/>
    <w:basedOn w:val="TableauNormal"/>
    <w:uiPriority w:val="47"/>
    <w:rsid w:val="005F093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
    <w:name w:val="Grid Table 6 Colorful"/>
    <w:basedOn w:val="TableauNormal"/>
    <w:uiPriority w:val="51"/>
    <w:rsid w:val="00E91C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BE52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tedefin">
    <w:name w:val="endnote text"/>
    <w:basedOn w:val="Normal"/>
    <w:link w:val="NotedefinCar"/>
    <w:uiPriority w:val="99"/>
    <w:semiHidden/>
    <w:unhideWhenUsed/>
    <w:rsid w:val="008064D7"/>
    <w:pPr>
      <w:spacing w:line="240" w:lineRule="auto"/>
    </w:pPr>
    <w:rPr>
      <w:sz w:val="20"/>
    </w:rPr>
  </w:style>
  <w:style w:type="character" w:customStyle="1" w:styleId="NotedefinCar">
    <w:name w:val="Note de fin Car"/>
    <w:basedOn w:val="Policepardfaut"/>
    <w:link w:val="Notedefin"/>
    <w:uiPriority w:val="99"/>
    <w:semiHidden/>
    <w:rsid w:val="008064D7"/>
    <w:rPr>
      <w:rFonts w:ascii="Arial" w:eastAsia="Times New Roman" w:hAnsi="Arial" w:cs="Times New Roman"/>
      <w:sz w:val="20"/>
      <w:szCs w:val="20"/>
      <w:lang w:eastAsia="fr-FR"/>
    </w:rPr>
  </w:style>
  <w:style w:type="character" w:styleId="Appeldenotedefin">
    <w:name w:val="endnote reference"/>
    <w:basedOn w:val="Policepardfaut"/>
    <w:uiPriority w:val="99"/>
    <w:semiHidden/>
    <w:unhideWhenUsed/>
    <w:rsid w:val="008064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39403">
      <w:bodyDiv w:val="1"/>
      <w:marLeft w:val="0"/>
      <w:marRight w:val="0"/>
      <w:marTop w:val="0"/>
      <w:marBottom w:val="0"/>
      <w:divBdr>
        <w:top w:val="none" w:sz="0" w:space="0" w:color="auto"/>
        <w:left w:val="none" w:sz="0" w:space="0" w:color="auto"/>
        <w:bottom w:val="none" w:sz="0" w:space="0" w:color="auto"/>
        <w:right w:val="none" w:sz="0" w:space="0" w:color="auto"/>
      </w:divBdr>
      <w:divsChild>
        <w:div w:id="1751269818">
          <w:marLeft w:val="0"/>
          <w:marRight w:val="0"/>
          <w:marTop w:val="0"/>
          <w:marBottom w:val="0"/>
          <w:divBdr>
            <w:top w:val="none" w:sz="0" w:space="0" w:color="auto"/>
            <w:left w:val="none" w:sz="0" w:space="0" w:color="auto"/>
            <w:bottom w:val="none" w:sz="0" w:space="0" w:color="auto"/>
            <w:right w:val="none" w:sz="0" w:space="0" w:color="auto"/>
          </w:divBdr>
          <w:divsChild>
            <w:div w:id="32387415">
              <w:marLeft w:val="0"/>
              <w:marRight w:val="0"/>
              <w:marTop w:val="0"/>
              <w:marBottom w:val="0"/>
              <w:divBdr>
                <w:top w:val="none" w:sz="0" w:space="0" w:color="auto"/>
                <w:left w:val="none" w:sz="0" w:space="0" w:color="auto"/>
                <w:bottom w:val="none" w:sz="0" w:space="0" w:color="auto"/>
                <w:right w:val="none" w:sz="0" w:space="0" w:color="auto"/>
              </w:divBdr>
            </w:div>
            <w:div w:id="409739079">
              <w:marLeft w:val="0"/>
              <w:marRight w:val="0"/>
              <w:marTop w:val="0"/>
              <w:marBottom w:val="0"/>
              <w:divBdr>
                <w:top w:val="none" w:sz="0" w:space="0" w:color="auto"/>
                <w:left w:val="none" w:sz="0" w:space="0" w:color="auto"/>
                <w:bottom w:val="none" w:sz="0" w:space="0" w:color="auto"/>
                <w:right w:val="none" w:sz="0" w:space="0" w:color="auto"/>
              </w:divBdr>
            </w:div>
            <w:div w:id="537546042">
              <w:marLeft w:val="0"/>
              <w:marRight w:val="0"/>
              <w:marTop w:val="0"/>
              <w:marBottom w:val="0"/>
              <w:divBdr>
                <w:top w:val="none" w:sz="0" w:space="0" w:color="auto"/>
                <w:left w:val="none" w:sz="0" w:space="0" w:color="auto"/>
                <w:bottom w:val="none" w:sz="0" w:space="0" w:color="auto"/>
                <w:right w:val="none" w:sz="0" w:space="0" w:color="auto"/>
              </w:divBdr>
            </w:div>
            <w:div w:id="614026685">
              <w:marLeft w:val="0"/>
              <w:marRight w:val="0"/>
              <w:marTop w:val="0"/>
              <w:marBottom w:val="0"/>
              <w:divBdr>
                <w:top w:val="none" w:sz="0" w:space="0" w:color="auto"/>
                <w:left w:val="none" w:sz="0" w:space="0" w:color="auto"/>
                <w:bottom w:val="none" w:sz="0" w:space="0" w:color="auto"/>
                <w:right w:val="none" w:sz="0" w:space="0" w:color="auto"/>
              </w:divBdr>
            </w:div>
            <w:div w:id="659701512">
              <w:marLeft w:val="0"/>
              <w:marRight w:val="0"/>
              <w:marTop w:val="0"/>
              <w:marBottom w:val="0"/>
              <w:divBdr>
                <w:top w:val="none" w:sz="0" w:space="0" w:color="auto"/>
                <w:left w:val="none" w:sz="0" w:space="0" w:color="auto"/>
                <w:bottom w:val="none" w:sz="0" w:space="0" w:color="auto"/>
                <w:right w:val="none" w:sz="0" w:space="0" w:color="auto"/>
              </w:divBdr>
            </w:div>
            <w:div w:id="914390810">
              <w:marLeft w:val="0"/>
              <w:marRight w:val="0"/>
              <w:marTop w:val="0"/>
              <w:marBottom w:val="0"/>
              <w:divBdr>
                <w:top w:val="none" w:sz="0" w:space="0" w:color="auto"/>
                <w:left w:val="none" w:sz="0" w:space="0" w:color="auto"/>
                <w:bottom w:val="none" w:sz="0" w:space="0" w:color="auto"/>
                <w:right w:val="none" w:sz="0" w:space="0" w:color="auto"/>
              </w:divBdr>
            </w:div>
            <w:div w:id="1176841126">
              <w:marLeft w:val="0"/>
              <w:marRight w:val="0"/>
              <w:marTop w:val="0"/>
              <w:marBottom w:val="0"/>
              <w:divBdr>
                <w:top w:val="none" w:sz="0" w:space="0" w:color="auto"/>
                <w:left w:val="none" w:sz="0" w:space="0" w:color="auto"/>
                <w:bottom w:val="none" w:sz="0" w:space="0" w:color="auto"/>
                <w:right w:val="none" w:sz="0" w:space="0" w:color="auto"/>
              </w:divBdr>
            </w:div>
            <w:div w:id="1233194232">
              <w:marLeft w:val="0"/>
              <w:marRight w:val="0"/>
              <w:marTop w:val="0"/>
              <w:marBottom w:val="0"/>
              <w:divBdr>
                <w:top w:val="none" w:sz="0" w:space="0" w:color="auto"/>
                <w:left w:val="none" w:sz="0" w:space="0" w:color="auto"/>
                <w:bottom w:val="none" w:sz="0" w:space="0" w:color="auto"/>
                <w:right w:val="none" w:sz="0" w:space="0" w:color="auto"/>
              </w:divBdr>
            </w:div>
            <w:div w:id="1300962348">
              <w:marLeft w:val="0"/>
              <w:marRight w:val="0"/>
              <w:marTop w:val="0"/>
              <w:marBottom w:val="0"/>
              <w:divBdr>
                <w:top w:val="none" w:sz="0" w:space="0" w:color="auto"/>
                <w:left w:val="none" w:sz="0" w:space="0" w:color="auto"/>
                <w:bottom w:val="none" w:sz="0" w:space="0" w:color="auto"/>
                <w:right w:val="none" w:sz="0" w:space="0" w:color="auto"/>
              </w:divBdr>
            </w:div>
            <w:div w:id="1391460443">
              <w:marLeft w:val="0"/>
              <w:marRight w:val="0"/>
              <w:marTop w:val="0"/>
              <w:marBottom w:val="0"/>
              <w:divBdr>
                <w:top w:val="none" w:sz="0" w:space="0" w:color="auto"/>
                <w:left w:val="none" w:sz="0" w:space="0" w:color="auto"/>
                <w:bottom w:val="none" w:sz="0" w:space="0" w:color="auto"/>
                <w:right w:val="none" w:sz="0" w:space="0" w:color="auto"/>
              </w:divBdr>
            </w:div>
            <w:div w:id="1666590422">
              <w:marLeft w:val="0"/>
              <w:marRight w:val="0"/>
              <w:marTop w:val="0"/>
              <w:marBottom w:val="0"/>
              <w:divBdr>
                <w:top w:val="none" w:sz="0" w:space="0" w:color="auto"/>
                <w:left w:val="none" w:sz="0" w:space="0" w:color="auto"/>
                <w:bottom w:val="none" w:sz="0" w:space="0" w:color="auto"/>
                <w:right w:val="none" w:sz="0" w:space="0" w:color="auto"/>
              </w:divBdr>
            </w:div>
            <w:div w:id="1967544978">
              <w:marLeft w:val="0"/>
              <w:marRight w:val="0"/>
              <w:marTop w:val="0"/>
              <w:marBottom w:val="0"/>
              <w:divBdr>
                <w:top w:val="none" w:sz="0" w:space="0" w:color="auto"/>
                <w:left w:val="none" w:sz="0" w:space="0" w:color="auto"/>
                <w:bottom w:val="none" w:sz="0" w:space="0" w:color="auto"/>
                <w:right w:val="none" w:sz="0" w:space="0" w:color="auto"/>
              </w:divBdr>
            </w:div>
            <w:div w:id="2048288737">
              <w:marLeft w:val="0"/>
              <w:marRight w:val="0"/>
              <w:marTop w:val="0"/>
              <w:marBottom w:val="0"/>
              <w:divBdr>
                <w:top w:val="none" w:sz="0" w:space="0" w:color="auto"/>
                <w:left w:val="none" w:sz="0" w:space="0" w:color="auto"/>
                <w:bottom w:val="none" w:sz="0" w:space="0" w:color="auto"/>
                <w:right w:val="none" w:sz="0" w:space="0" w:color="auto"/>
              </w:divBdr>
            </w:div>
            <w:div w:id="20913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5388">
      <w:bodyDiv w:val="1"/>
      <w:marLeft w:val="0"/>
      <w:marRight w:val="0"/>
      <w:marTop w:val="0"/>
      <w:marBottom w:val="0"/>
      <w:divBdr>
        <w:top w:val="none" w:sz="0" w:space="0" w:color="auto"/>
        <w:left w:val="none" w:sz="0" w:space="0" w:color="auto"/>
        <w:bottom w:val="none" w:sz="0" w:space="0" w:color="auto"/>
        <w:right w:val="none" w:sz="0" w:space="0" w:color="auto"/>
      </w:divBdr>
      <w:divsChild>
        <w:div w:id="681201270">
          <w:marLeft w:val="0"/>
          <w:marRight w:val="0"/>
          <w:marTop w:val="0"/>
          <w:marBottom w:val="0"/>
          <w:divBdr>
            <w:top w:val="none" w:sz="0" w:space="0" w:color="auto"/>
            <w:left w:val="none" w:sz="0" w:space="0" w:color="auto"/>
            <w:bottom w:val="none" w:sz="0" w:space="0" w:color="auto"/>
            <w:right w:val="none" w:sz="0" w:space="0" w:color="auto"/>
          </w:divBdr>
        </w:div>
        <w:div w:id="757795201">
          <w:marLeft w:val="0"/>
          <w:marRight w:val="0"/>
          <w:marTop w:val="0"/>
          <w:marBottom w:val="0"/>
          <w:divBdr>
            <w:top w:val="none" w:sz="0" w:space="0" w:color="auto"/>
            <w:left w:val="none" w:sz="0" w:space="0" w:color="auto"/>
            <w:bottom w:val="none" w:sz="0" w:space="0" w:color="auto"/>
            <w:right w:val="none" w:sz="0" w:space="0" w:color="auto"/>
          </w:divBdr>
        </w:div>
      </w:divsChild>
    </w:div>
    <w:div w:id="991635561">
      <w:bodyDiv w:val="1"/>
      <w:marLeft w:val="0"/>
      <w:marRight w:val="0"/>
      <w:marTop w:val="0"/>
      <w:marBottom w:val="0"/>
      <w:divBdr>
        <w:top w:val="none" w:sz="0" w:space="0" w:color="auto"/>
        <w:left w:val="none" w:sz="0" w:space="0" w:color="auto"/>
        <w:bottom w:val="none" w:sz="0" w:space="0" w:color="auto"/>
        <w:right w:val="none" w:sz="0" w:space="0" w:color="auto"/>
      </w:divBdr>
    </w:div>
    <w:div w:id="1424298511">
      <w:bodyDiv w:val="1"/>
      <w:marLeft w:val="0"/>
      <w:marRight w:val="0"/>
      <w:marTop w:val="0"/>
      <w:marBottom w:val="0"/>
      <w:divBdr>
        <w:top w:val="none" w:sz="0" w:space="0" w:color="auto"/>
        <w:left w:val="none" w:sz="0" w:space="0" w:color="auto"/>
        <w:bottom w:val="none" w:sz="0" w:space="0" w:color="auto"/>
        <w:right w:val="none" w:sz="0" w:space="0" w:color="auto"/>
      </w:divBdr>
      <w:divsChild>
        <w:div w:id="780035488">
          <w:marLeft w:val="0"/>
          <w:marRight w:val="0"/>
          <w:marTop w:val="0"/>
          <w:marBottom w:val="0"/>
          <w:divBdr>
            <w:top w:val="none" w:sz="0" w:space="0" w:color="auto"/>
            <w:left w:val="none" w:sz="0" w:space="0" w:color="auto"/>
            <w:bottom w:val="none" w:sz="0" w:space="0" w:color="auto"/>
            <w:right w:val="none" w:sz="0" w:space="0" w:color="auto"/>
          </w:divBdr>
        </w:div>
      </w:divsChild>
    </w:div>
    <w:div w:id="1702391097">
      <w:bodyDiv w:val="1"/>
      <w:marLeft w:val="0"/>
      <w:marRight w:val="0"/>
      <w:marTop w:val="0"/>
      <w:marBottom w:val="0"/>
      <w:divBdr>
        <w:top w:val="none" w:sz="0" w:space="0" w:color="auto"/>
        <w:left w:val="none" w:sz="0" w:space="0" w:color="auto"/>
        <w:bottom w:val="none" w:sz="0" w:space="0" w:color="auto"/>
        <w:right w:val="none" w:sz="0" w:space="0" w:color="auto"/>
      </w:divBdr>
      <w:divsChild>
        <w:div w:id="953899872">
          <w:marLeft w:val="0"/>
          <w:marRight w:val="0"/>
          <w:marTop w:val="0"/>
          <w:marBottom w:val="0"/>
          <w:divBdr>
            <w:top w:val="none" w:sz="0" w:space="0" w:color="auto"/>
            <w:left w:val="none" w:sz="0" w:space="0" w:color="auto"/>
            <w:bottom w:val="none" w:sz="0" w:space="0" w:color="auto"/>
            <w:right w:val="none" w:sz="0" w:space="0" w:color="auto"/>
          </w:divBdr>
          <w:divsChild>
            <w:div w:id="1221020412">
              <w:marLeft w:val="0"/>
              <w:marRight w:val="0"/>
              <w:marTop w:val="0"/>
              <w:marBottom w:val="0"/>
              <w:divBdr>
                <w:top w:val="none" w:sz="0" w:space="0" w:color="auto"/>
                <w:left w:val="none" w:sz="0" w:space="0" w:color="auto"/>
                <w:bottom w:val="none" w:sz="0" w:space="0" w:color="auto"/>
                <w:right w:val="none" w:sz="0" w:space="0" w:color="auto"/>
              </w:divBdr>
              <w:divsChild>
                <w:div w:id="1661347017">
                  <w:marLeft w:val="0"/>
                  <w:marRight w:val="0"/>
                  <w:marTop w:val="0"/>
                  <w:marBottom w:val="0"/>
                  <w:divBdr>
                    <w:top w:val="none" w:sz="0" w:space="0" w:color="auto"/>
                    <w:left w:val="none" w:sz="0" w:space="0" w:color="auto"/>
                    <w:bottom w:val="none" w:sz="0" w:space="0" w:color="auto"/>
                    <w:right w:val="none" w:sz="0" w:space="0" w:color="auto"/>
                  </w:divBdr>
                  <w:divsChild>
                    <w:div w:id="1461530656">
                      <w:marLeft w:val="0"/>
                      <w:marRight w:val="0"/>
                      <w:marTop w:val="0"/>
                      <w:marBottom w:val="0"/>
                      <w:divBdr>
                        <w:top w:val="none" w:sz="0" w:space="0" w:color="auto"/>
                        <w:left w:val="none" w:sz="0" w:space="0" w:color="auto"/>
                        <w:bottom w:val="none" w:sz="0" w:space="0" w:color="auto"/>
                        <w:right w:val="none" w:sz="0" w:space="0" w:color="auto"/>
                      </w:divBdr>
                      <w:divsChild>
                        <w:div w:id="351885317">
                          <w:marLeft w:val="0"/>
                          <w:marRight w:val="0"/>
                          <w:marTop w:val="0"/>
                          <w:marBottom w:val="0"/>
                          <w:divBdr>
                            <w:top w:val="none" w:sz="0" w:space="0" w:color="auto"/>
                            <w:left w:val="none" w:sz="0" w:space="0" w:color="auto"/>
                            <w:bottom w:val="none" w:sz="0" w:space="0" w:color="auto"/>
                            <w:right w:val="none" w:sz="0" w:space="0" w:color="auto"/>
                          </w:divBdr>
                          <w:divsChild>
                            <w:div w:id="1017583114">
                              <w:marLeft w:val="0"/>
                              <w:marRight w:val="300"/>
                              <w:marTop w:val="180"/>
                              <w:marBottom w:val="0"/>
                              <w:divBdr>
                                <w:top w:val="none" w:sz="0" w:space="0" w:color="auto"/>
                                <w:left w:val="none" w:sz="0" w:space="0" w:color="auto"/>
                                <w:bottom w:val="none" w:sz="0" w:space="0" w:color="auto"/>
                                <w:right w:val="none" w:sz="0" w:space="0" w:color="auto"/>
                              </w:divBdr>
                              <w:divsChild>
                                <w:div w:id="3199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68879">
          <w:marLeft w:val="0"/>
          <w:marRight w:val="0"/>
          <w:marTop w:val="0"/>
          <w:marBottom w:val="0"/>
          <w:divBdr>
            <w:top w:val="none" w:sz="0" w:space="0" w:color="auto"/>
            <w:left w:val="none" w:sz="0" w:space="0" w:color="auto"/>
            <w:bottom w:val="none" w:sz="0" w:space="0" w:color="auto"/>
            <w:right w:val="none" w:sz="0" w:space="0" w:color="auto"/>
          </w:divBdr>
          <w:divsChild>
            <w:div w:id="1046836825">
              <w:marLeft w:val="0"/>
              <w:marRight w:val="0"/>
              <w:marTop w:val="0"/>
              <w:marBottom w:val="0"/>
              <w:divBdr>
                <w:top w:val="none" w:sz="0" w:space="0" w:color="auto"/>
                <w:left w:val="none" w:sz="0" w:space="0" w:color="auto"/>
                <w:bottom w:val="none" w:sz="0" w:space="0" w:color="auto"/>
                <w:right w:val="none" w:sz="0" w:space="0" w:color="auto"/>
              </w:divBdr>
              <w:divsChild>
                <w:div w:id="485441879">
                  <w:marLeft w:val="0"/>
                  <w:marRight w:val="0"/>
                  <w:marTop w:val="0"/>
                  <w:marBottom w:val="0"/>
                  <w:divBdr>
                    <w:top w:val="none" w:sz="0" w:space="0" w:color="auto"/>
                    <w:left w:val="none" w:sz="0" w:space="0" w:color="auto"/>
                    <w:bottom w:val="none" w:sz="0" w:space="0" w:color="auto"/>
                    <w:right w:val="none" w:sz="0" w:space="0" w:color="auto"/>
                  </w:divBdr>
                  <w:divsChild>
                    <w:div w:id="800418324">
                      <w:marLeft w:val="0"/>
                      <w:marRight w:val="0"/>
                      <w:marTop w:val="0"/>
                      <w:marBottom w:val="0"/>
                      <w:divBdr>
                        <w:top w:val="none" w:sz="0" w:space="0" w:color="auto"/>
                        <w:left w:val="none" w:sz="0" w:space="0" w:color="auto"/>
                        <w:bottom w:val="none" w:sz="0" w:space="0" w:color="auto"/>
                        <w:right w:val="none" w:sz="0" w:space="0" w:color="auto"/>
                      </w:divBdr>
                      <w:divsChild>
                        <w:div w:id="3045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Aversion_au_risque" TargetMode="External"/><Relationship Id="rId13" Type="http://schemas.openxmlformats.org/officeDocument/2006/relationships/hyperlink" Target="https://fr.wikipedia.org/wiki/Bulle_sp%C3%A9culativ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Taux_non_risqu%C3%A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mprunt_d%27%C3%89ta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fr.wikipedia.org/wiki/Action_(fin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Investisseur" TargetMode="External"/><Relationship Id="rId14" Type="http://schemas.openxmlformats.org/officeDocument/2006/relationships/hyperlink" Target="https://fr.wikipedia.org/w/index.php?title=Neutralit%C3%A9_au_risque&amp;action=edit&amp;redlink=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nte.experts-comptables.com/csoec/content/download/992338/25831426/version/2/file/%28M%C3%89THODES+D+EVAL+RETENUES+ET+ECARTEES+-+2012+04+10%29.pdf" TargetMode="External"/><Relationship Id="rId2" Type="http://schemas.openxmlformats.org/officeDocument/2006/relationships/hyperlink" Target="https://doc.ibr-ire.be/fr/Documents/plateforme-evaluation-d-entreprises/Tom-Vanacker-FR-methodes-evaluation.pdf" TargetMode="External"/><Relationship Id="rId1" Type="http://schemas.openxmlformats.org/officeDocument/2006/relationships/hyperlink" Target="https://www.ibr-ire.be/fr/notre-profession/secteurs-dintervention/pme/plateforme-evaluation-d-entreprises/m-thodes-d-valu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BCE9-2BFF-4AB7-8F2E-1F5E9D50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119</Pages>
  <Words>49637</Words>
  <Characters>273007</Characters>
  <Application>Microsoft Office Word</Application>
  <DocSecurity>0</DocSecurity>
  <Lines>2275</Lines>
  <Paragraphs>643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Fatiha EL HADDADI</dc:creator>
  <cp:keywords/>
  <dc:description>La règle "In the Money" en droit belge de l'insolvabilité version du 12.11.2020</dc:description>
  <cp:lastModifiedBy>Yves Brulard / DBB DEFENSO</cp:lastModifiedBy>
  <cp:revision>3</cp:revision>
  <cp:lastPrinted>2020-11-01T09:36:00Z</cp:lastPrinted>
  <dcterms:created xsi:type="dcterms:W3CDTF">2020-11-09T10:22:00Z</dcterms:created>
  <dcterms:modified xsi:type="dcterms:W3CDTF">2021-02-14T10:15:00Z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Code">
    <vt:lpwstr>400105</vt:lpwstr>
  </property>
</Properties>
</file>