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12" w:rsidRDefault="009A6B12" w:rsidP="009A6B12">
      <w:r>
        <w:t xml:space="preserve">Le </w:t>
      </w:r>
      <w:r>
        <w:rPr>
          <w:b/>
          <w:bCs/>
          <w:u w:val="single"/>
        </w:rPr>
        <w:t>31 août 2023, à partir de 14 h 30</w:t>
      </w:r>
      <w:r>
        <w:t>, le tribunal de l’entreprise du Hainaut organisera, en lien avec le tribunal de l’entreprise du Brabant wallon, une formation d’une demi-journée sur les importantes modifications apportées au Livre XX du Code de droit économique par la loi « </w:t>
      </w:r>
      <w:r>
        <w:rPr>
          <w:i/>
          <w:iCs/>
        </w:rPr>
        <w:t>transposant la directive (UE) 2019/1023 du Parlement européen et du Conseil du 20 juin 2019 relative aux cadres de restructuration</w:t>
      </w:r>
      <w:r>
        <w:t xml:space="preserve"> (…) » qui doit être adoptée par la Chambre ce 25 mai et entrera en vigueur le 1</w:t>
      </w:r>
      <w:r>
        <w:rPr>
          <w:vertAlign w:val="superscript"/>
        </w:rPr>
        <w:t>er</w:t>
      </w:r>
      <w:r>
        <w:t xml:space="preserve"> septembre 2023. </w:t>
      </w:r>
    </w:p>
    <w:p w:rsidR="009A6B12" w:rsidRDefault="009A6B12" w:rsidP="009A6B12"/>
    <w:p w:rsidR="009A6B12" w:rsidRDefault="009A6B12" w:rsidP="009A6B12">
      <w:r>
        <w:t>Ces modifications portent sur :</w:t>
      </w:r>
    </w:p>
    <w:p w:rsidR="009A6B12" w:rsidRDefault="009A6B12" w:rsidP="009A6B12"/>
    <w:p w:rsidR="009A6B12" w:rsidRDefault="009A6B12" w:rsidP="009A6B12">
      <w:pPr>
        <w:numPr>
          <w:ilvl w:val="0"/>
          <w:numId w:val="1"/>
        </w:numPr>
        <w:rPr>
          <w:rFonts w:eastAsia="Times New Roman"/>
        </w:rPr>
      </w:pPr>
      <w:r>
        <w:rPr>
          <w:rFonts w:eastAsia="Times New Roman"/>
        </w:rPr>
        <w:t>La prévention : la chambre des entreprises en difficulté voit ses compétences étendues, les mesures provisoires sont restructurées,</w:t>
      </w:r>
    </w:p>
    <w:p w:rsidR="009A6B12" w:rsidRDefault="009A6B12" w:rsidP="009A6B12">
      <w:pPr>
        <w:numPr>
          <w:ilvl w:val="0"/>
          <w:numId w:val="1"/>
        </w:numPr>
        <w:rPr>
          <w:rFonts w:eastAsia="Times New Roman"/>
        </w:rPr>
      </w:pPr>
      <w:r>
        <w:rPr>
          <w:rFonts w:eastAsia="Times New Roman"/>
        </w:rPr>
        <w:t>La réorganisation : dans la PRJ, un système dual est mis en place avec, d’une part,  la possibilité pour les PME de maintenir la procédure actuelle d’approbation du plan, d’autre part le vote par classes, obligatoire pour les grandes entreprises et optionnel pour les PME,</w:t>
      </w:r>
    </w:p>
    <w:p w:rsidR="009A6B12" w:rsidRDefault="009A6B12" w:rsidP="009A6B12">
      <w:pPr>
        <w:numPr>
          <w:ilvl w:val="0"/>
          <w:numId w:val="1"/>
        </w:numPr>
        <w:rPr>
          <w:rFonts w:eastAsia="Times New Roman"/>
        </w:rPr>
      </w:pPr>
      <w:r>
        <w:rPr>
          <w:rFonts w:eastAsia="Times New Roman"/>
        </w:rPr>
        <w:t>La faillite et la liquidation : le législateur profite  de la transposition de la directive pour organiser une procédure préparatoire  de la faillite, pour prévoir une alternative à la faillite par le biais de la dissolution judiciaire et pour revoir certaines règles.</w:t>
      </w:r>
    </w:p>
    <w:p w:rsidR="009A6B12" w:rsidRDefault="009A6B12" w:rsidP="009A6B12"/>
    <w:p w:rsidR="009A6B12" w:rsidRDefault="009A6B12" w:rsidP="009A6B12"/>
    <w:p w:rsidR="009A6B12" w:rsidRDefault="009A6B12" w:rsidP="009A6B12">
      <w:pPr>
        <w:rPr>
          <w:color w:val="1F497D"/>
          <w:sz w:val="24"/>
          <w:szCs w:val="24"/>
          <w:lang w:val="fr-FR"/>
        </w:rPr>
      </w:pPr>
      <w:bookmarkStart w:id="0" w:name="_GoBack"/>
      <w:bookmarkEnd w:id="0"/>
    </w:p>
    <w:p w:rsidR="009A6B12" w:rsidRDefault="009A6B12" w:rsidP="009A6B12">
      <w:pPr>
        <w:rPr>
          <w:color w:val="1F497D"/>
          <w:lang w:eastAsia="en-GB"/>
        </w:rPr>
      </w:pPr>
      <w:r>
        <w:rPr>
          <w:noProof/>
          <w:color w:val="1F497D"/>
          <w:lang w:eastAsia="fr-BE"/>
        </w:rPr>
        <w:drawing>
          <wp:inline distT="0" distB="0" distL="0" distR="0">
            <wp:extent cx="889000" cy="482600"/>
            <wp:effectExtent l="0" t="0" r="6350" b="0"/>
            <wp:docPr id="1" name="Image 1" descr="cid:image001.png@01D9880A.70A08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9880A.70A089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89000" cy="482600"/>
                    </a:xfrm>
                    <a:prstGeom prst="rect">
                      <a:avLst/>
                    </a:prstGeom>
                    <a:noFill/>
                    <a:ln>
                      <a:noFill/>
                    </a:ln>
                  </pic:spPr>
                </pic:pic>
              </a:graphicData>
            </a:graphic>
          </wp:inline>
        </w:drawing>
      </w:r>
      <w:r>
        <w:rPr>
          <w:color w:val="1F497D"/>
          <w:lang w:eastAsia="en-GB"/>
        </w:rPr>
        <w:t xml:space="preserve">           </w:t>
      </w:r>
    </w:p>
    <w:p w:rsidR="009A6B12" w:rsidRDefault="009A6B12" w:rsidP="009A6B12">
      <w:pPr>
        <w:rPr>
          <w:color w:val="1F497D"/>
          <w:lang w:eastAsia="en-GB"/>
        </w:rPr>
      </w:pPr>
    </w:p>
    <w:p w:rsidR="009A6B12" w:rsidRDefault="009A6B12" w:rsidP="009A6B12">
      <w:pPr>
        <w:rPr>
          <w:b/>
          <w:bCs/>
          <w:i/>
          <w:iCs/>
          <w:color w:val="1F497D"/>
          <w:lang w:eastAsia="en-GB"/>
        </w:rPr>
      </w:pPr>
      <w:r>
        <w:rPr>
          <w:b/>
          <w:bCs/>
          <w:i/>
          <w:iCs/>
          <w:color w:val="1F497D"/>
          <w:lang w:eastAsia="en-GB"/>
        </w:rPr>
        <w:t>Jean-Philippe LEBEAU</w:t>
      </w:r>
    </w:p>
    <w:p w:rsidR="009A6B12" w:rsidRDefault="009A6B12" w:rsidP="009A6B12">
      <w:pPr>
        <w:rPr>
          <w:color w:val="5B9BD5"/>
          <w:sz w:val="18"/>
          <w:szCs w:val="18"/>
          <w:lang w:eastAsia="en-GB"/>
        </w:rPr>
      </w:pPr>
      <w:r>
        <w:rPr>
          <w:color w:val="5B9BD5"/>
          <w:sz w:val="18"/>
          <w:szCs w:val="18"/>
          <w:lang w:eastAsia="en-GB"/>
        </w:rPr>
        <w:t xml:space="preserve">Président </w:t>
      </w:r>
    </w:p>
    <w:p w:rsidR="009A6B12" w:rsidRDefault="009A6B12" w:rsidP="009A6B12">
      <w:pPr>
        <w:rPr>
          <w:color w:val="5B9BD5"/>
          <w:sz w:val="18"/>
          <w:szCs w:val="18"/>
          <w:lang w:eastAsia="en-GB"/>
        </w:rPr>
      </w:pPr>
      <w:r>
        <w:rPr>
          <w:color w:val="1F497D"/>
          <w:sz w:val="18"/>
          <w:szCs w:val="18"/>
          <w:lang w:eastAsia="en-GB"/>
        </w:rPr>
        <w:t>Tribunal de l’entreprise du Hainaut</w:t>
      </w:r>
    </w:p>
    <w:p w:rsidR="009A6B12" w:rsidRDefault="009A6B12" w:rsidP="009A6B12">
      <w:pPr>
        <w:rPr>
          <w:color w:val="1F497D"/>
          <w:lang w:eastAsia="en-GB"/>
        </w:rPr>
      </w:pPr>
    </w:p>
    <w:p w:rsidR="009A6B12" w:rsidRDefault="009A6B12" w:rsidP="009A6B12"/>
    <w:p w:rsidR="00427B4D" w:rsidRDefault="009A6B12"/>
    <w:sectPr w:rsidR="00427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3659D"/>
    <w:multiLevelType w:val="hybridMultilevel"/>
    <w:tmpl w:val="55922B00"/>
    <w:lvl w:ilvl="0" w:tplc="54F6F39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12"/>
    <w:rsid w:val="004E40A3"/>
    <w:rsid w:val="009A6B12"/>
    <w:rsid w:val="00D17F32"/>
    <w:rsid w:val="00D509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90B6F-1F8A-4F59-9C95-0B935508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12"/>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880A.70A089C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Brulard / DBB DEFENSO</dc:creator>
  <cp:keywords/>
  <dc:description/>
  <cp:lastModifiedBy>Yves Brulard / DBB DEFENSO</cp:lastModifiedBy>
  <cp:revision>1</cp:revision>
  <dcterms:created xsi:type="dcterms:W3CDTF">2023-05-30T15:12:00Z</dcterms:created>
  <dcterms:modified xsi:type="dcterms:W3CDTF">2023-05-30T15:13:00Z</dcterms:modified>
</cp:coreProperties>
</file>